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0" w:beforeAutospacing="0" w:after="0" w:afterAutospacing="0" w:line="555" w:lineRule="atLeast"/>
        <w:ind w:left="0" w:right="0" w:firstLine="420"/>
        <w:jc w:val="center"/>
      </w:pPr>
      <w:bookmarkStart w:id="0" w:name="_GoBack"/>
      <w:bookmarkEnd w:id="0"/>
      <w:r>
        <w:rPr>
          <w:rFonts w:hint="eastAsia" w:ascii="方正小标宋简体" w:hAnsi="方正小标宋简体" w:eastAsia="方正小标宋简体" w:cs="方正小标宋简体"/>
          <w:sz w:val="43"/>
          <w:szCs w:val="43"/>
          <w:shd w:val="clear" w:fill="FFFFFF"/>
        </w:rPr>
        <w:t>汶上县卫生健康局2020年政府信息公开工作年度报告</w:t>
      </w:r>
      <w:r>
        <w:rPr>
          <w:rFonts w:ascii="方正小标宋简体" w:hAnsi="方正小标宋简体" w:eastAsia="方正小标宋简体" w:cs="方正小标宋简体"/>
          <w:sz w:val="43"/>
          <w:szCs w:val="43"/>
          <w:shd w:val="clear" w:fill="FFFFFF"/>
        </w:rPr>
        <w:br w:type="textWrapping"/>
      </w:r>
    </w:p>
    <w:p>
      <w:pPr>
        <w:pStyle w:val="5"/>
        <w:keepNext w:val="0"/>
        <w:keepLines w:val="0"/>
        <w:widowControl/>
        <w:suppressLineNumbers w:val="0"/>
        <w:shd w:val="clear" w:fill="FFFFFF"/>
        <w:spacing w:before="0" w:beforeAutospacing="0" w:after="240" w:afterAutospacing="0" w:line="420" w:lineRule="atLeast"/>
        <w:ind w:left="0" w:right="0" w:firstLine="420"/>
        <w:jc w:val="both"/>
      </w:pPr>
      <w:r>
        <w:rPr>
          <w:rStyle w:val="9"/>
          <w:rFonts w:hint="eastAsia" w:ascii="宋体" w:hAnsi="宋体" w:eastAsia="宋体" w:cs="宋体"/>
          <w:sz w:val="24"/>
          <w:szCs w:val="24"/>
          <w:shd w:val="clear" w:fill="FFFFFF"/>
        </w:rPr>
        <w:t>根据《中华人民共和国政府信息公开条例》规定和县政府《关于做好2019年度政府信息公开年度报告编制发布工作的通知》安排部署，县卫生健康局认真贯彻落实文件精神，研究编制了《汶上县卫生健康局2020年政府信息公开工作年度报告》，现予以公开发布。本报告内容包括：总体情况；主动公开情况；主动公开政府信息情况、收到和处理政府信息公开申请情况、政府信息公开行政复议、行政诉讼情况、存在的主要问题及改进情况、其他需要报告的事项等六个部分组成。报告中所列数据的日期自2020年1月1日起至2020年12月31日止。如对本报告有任何疑问，请与汶上县卫生健康局政府信息公开工作领导小组办公室联系（地址：汶上县中都街道明星路2355号汶上县卫生健康局，邮编：272500，电话：0537—7212338)。</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一、总体情况</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2020年，汶上县卫生健康局按照县委、县政府的统一部署，认真贯彻落实《中华人民共和国政府信息公开条例》和省、市、县关于政府信息公开工作的要求，紧扣本单位的工作实际，扎实推进政府信息公开工作，现将我单位2020年度政府信息公开工作报告如下：</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Fonts w:hint="eastAsia" w:ascii="宋体" w:hAnsi="宋体" w:eastAsia="宋体" w:cs="宋体"/>
          <w:b/>
          <w:bCs/>
          <w:sz w:val="24"/>
          <w:szCs w:val="24"/>
          <w:shd w:val="clear" w:fill="FFFFFF"/>
        </w:rPr>
        <w:t>（一）</w:t>
      </w:r>
      <w:r>
        <w:rPr>
          <w:rStyle w:val="9"/>
          <w:rFonts w:hint="eastAsia" w:ascii="宋体" w:hAnsi="宋体" w:eastAsia="宋体" w:cs="宋体"/>
          <w:sz w:val="24"/>
          <w:szCs w:val="24"/>
          <w:shd w:val="clear" w:fill="FFFFFF"/>
        </w:rPr>
        <w:t>主动公开情况</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2020年县卫生健康局主动公开政府信息258条，其中通过部门微信公众号公开136条信息，通过政府网站公开93条信息，承办人大代表建议3条，答复政协委员提案26条；内容主要涉及公开机构职能信息、执法监督信息、医疗机构信息、医疗机构院务公开；提升基层中医药服务能力；完善基层医疗卫生卫生服务体系；加快医养结合建设；加快卫生健康人才队伍建设以及加强卫生健康行业监管力度等多个方面。提供了高质量的政务信息。同时，县卫生健康局通过市长热线和O2O服务平台回复群众问题756件，办结率100%，主要内容包括卫生计生、执法执纪、公共服务等各个方面。为广大汶上人民提供了优质的咨询服务。</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（二）依申请公开情况</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2020年县卫生健康局未收到群众对于依申请公开事项的申请。</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（三）政府信息管理情况</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县卫生健康局的政务信息公开工作有汶上县卫生健康局政务公开工作领导小组专门进行工作管理，局机关配备了1名专职工作人员，2名兼职工作人员开展日常政务信息工作，工作开展良好。</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（四）平台建设情况</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县卫生健康局政务信息公开工作主要依托于县政府网站和县卫生健康局微信公众号进行政务信息公开，目前两个平台运转良好，可以满足当前群众需要，后续我们还会继续寻找更多的平台，</w:t>
      </w:r>
      <w:r>
        <w:rPr>
          <w:rStyle w:val="9"/>
          <w:rFonts w:hint="eastAsia" w:ascii="宋体" w:hAnsi="宋体" w:eastAsia="宋体" w:cs="宋体"/>
          <w:sz w:val="24"/>
          <w:szCs w:val="24"/>
          <w:shd w:val="clear" w:fill="FFFFFF"/>
          <w:lang w:eastAsia="zh-CN"/>
        </w:rPr>
        <w:t>更好地为</w:t>
      </w:r>
      <w:r>
        <w:rPr>
          <w:rStyle w:val="9"/>
          <w:rFonts w:hint="eastAsia" w:ascii="宋体" w:hAnsi="宋体" w:eastAsia="宋体" w:cs="宋体"/>
          <w:sz w:val="24"/>
          <w:szCs w:val="24"/>
          <w:shd w:val="clear" w:fill="FFFFFF"/>
        </w:rPr>
        <w:t>人民群众服务。</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（五）监督保障情况</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为加强对政务信息公开工作的组织领导，县卫生健康局对汶上县卫生健康局政务公开工作领导小组进行相应调整，确定了以局党组书记、局长王玉彬同志为组长，以局党组副书记赵建生同志为副主任的汶上县卫生健康局政务公开工作领导小组监督保障政务信息公开工作开展，目前政务信息公开工作总体上进展有序，各项工作按照既定目标顺利推进。</w:t>
      </w:r>
    </w:p>
    <w:p>
      <w:pPr>
        <w:pStyle w:val="5"/>
        <w:keepNext w:val="0"/>
        <w:keepLines w:val="0"/>
        <w:widowControl/>
        <w:suppressLineNumbers w:val="0"/>
        <w:shd w:val="clear" w:fill="FFFFFF"/>
        <w:spacing w:before="0" w:beforeAutospacing="0" w:after="240" w:afterAutospacing="0" w:line="420" w:lineRule="atLeast"/>
        <w:ind w:left="0" w:right="0" w:firstLine="420"/>
        <w:jc w:val="both"/>
      </w:pPr>
      <w:r>
        <w:rPr>
          <w:rStyle w:val="9"/>
          <w:rFonts w:hint="eastAsia" w:ascii="宋体" w:hAnsi="宋体" w:eastAsia="宋体" w:cs="宋体"/>
          <w:sz w:val="24"/>
          <w:szCs w:val="24"/>
          <w:shd w:val="clear" w:fill="FFFFFF"/>
        </w:rPr>
        <w:t>二、主动公开政府信息情况</w:t>
      </w:r>
    </w:p>
    <w:tbl>
      <w:tblPr>
        <w:tblStyle w:val="6"/>
        <w:tblW w:w="8640" w:type="dxa"/>
        <w:jc w:val="center"/>
        <w:shd w:val="clear" w:color="auto" w:fill="auto"/>
        <w:tblLayout w:type="autofit"/>
        <w:tblCellMar>
          <w:top w:w="15" w:type="dxa"/>
          <w:left w:w="15" w:type="dxa"/>
          <w:bottom w:w="15" w:type="dxa"/>
          <w:right w:w="15" w:type="dxa"/>
        </w:tblCellMar>
      </w:tblPr>
      <w:tblGrid>
        <w:gridCol w:w="3300"/>
        <w:gridCol w:w="1995"/>
        <w:gridCol w:w="1350"/>
        <w:gridCol w:w="1995"/>
      </w:tblGrid>
      <w:tr>
        <w:tblPrEx>
          <w:tblCellMar>
            <w:top w:w="15" w:type="dxa"/>
            <w:left w:w="15" w:type="dxa"/>
            <w:bottom w:w="15" w:type="dxa"/>
            <w:right w:w="15" w:type="dxa"/>
          </w:tblCellMar>
        </w:tblPrEx>
        <w:trPr>
          <w:trHeight w:val="450" w:hRule="atLeast"/>
          <w:jc w:val="center"/>
        </w:trPr>
        <w:tc>
          <w:tcPr>
            <w:tcW w:w="864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第二十条第（一）项</w:t>
            </w:r>
          </w:p>
        </w:tc>
      </w:tr>
      <w:tr>
        <w:tblPrEx>
          <w:shd w:val="clear" w:color="auto" w:fill="auto"/>
          <w:tblCellMar>
            <w:top w:w="15" w:type="dxa"/>
            <w:left w:w="15" w:type="dxa"/>
            <w:bottom w:w="15" w:type="dxa"/>
            <w:right w:w="15" w:type="dxa"/>
          </w:tblCellMar>
        </w:tblPrEx>
        <w:trPr>
          <w:trHeight w:val="7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本年新</w:t>
            </w:r>
            <w:r>
              <w:rPr>
                <w:rStyle w:val="9"/>
                <w:rFonts w:hint="eastAsia" w:ascii="宋体" w:hAnsi="宋体" w:eastAsia="宋体" w:cs="宋体"/>
                <w:sz w:val="19"/>
                <w:szCs w:val="19"/>
              </w:rPr>
              <w:br w:type="textWrapping"/>
            </w:r>
            <w:r>
              <w:rPr>
                <w:rStyle w:val="9"/>
                <w:rFonts w:ascii="Calibri" w:hAnsi="Calibri" w:cs="Calibri"/>
                <w:sz w:val="19"/>
                <w:szCs w:val="19"/>
              </w:rPr>
              <w:t>制作数量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本年新</w:t>
            </w:r>
            <w:r>
              <w:rPr>
                <w:rStyle w:val="9"/>
                <w:rFonts w:hint="eastAsia" w:ascii="宋体" w:hAnsi="宋体" w:eastAsia="宋体" w:cs="宋体"/>
                <w:sz w:val="19"/>
                <w:szCs w:val="19"/>
              </w:rPr>
              <w:br w:type="textWrapping"/>
            </w:r>
            <w:r>
              <w:rPr>
                <w:rStyle w:val="9"/>
                <w:rFonts w:hint="default" w:ascii="Calibri" w:hAnsi="Calibri" w:cs="Calibri"/>
                <w:sz w:val="19"/>
                <w:szCs w:val="19"/>
              </w:rPr>
              <w:t>公开数量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对外公开总数量</w:t>
            </w:r>
          </w:p>
        </w:tc>
      </w:tr>
      <w:tr>
        <w:tblPrEx>
          <w:shd w:val="clear" w:color="auto" w:fill="auto"/>
          <w:tblCellMar>
            <w:top w:w="15" w:type="dxa"/>
            <w:left w:w="15" w:type="dxa"/>
            <w:bottom w:w="15" w:type="dxa"/>
            <w:right w:w="15" w:type="dxa"/>
          </w:tblCellMar>
        </w:tblPrEx>
        <w:trPr>
          <w:trHeight w:val="46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规章</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3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42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规范性文件</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3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435"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第二十条第（五）项</w:t>
            </w:r>
          </w:p>
        </w:tc>
      </w:tr>
      <w:tr>
        <w:tblPrEx>
          <w:shd w:val="clear" w:color="auto" w:fill="auto"/>
          <w:tblCellMar>
            <w:top w:w="15" w:type="dxa"/>
            <w:left w:w="15" w:type="dxa"/>
            <w:bottom w:w="15" w:type="dxa"/>
            <w:right w:w="15" w:type="dxa"/>
          </w:tblCellMar>
        </w:tblPrEx>
        <w:trPr>
          <w:trHeight w:val="57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上一年项目数量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本年增/减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处理决定数量</w:t>
            </w:r>
          </w:p>
        </w:tc>
      </w:tr>
      <w:tr>
        <w:tblPrEx>
          <w:shd w:val="clear" w:color="auto" w:fill="auto"/>
          <w:tblCellMar>
            <w:top w:w="15" w:type="dxa"/>
            <w:left w:w="15" w:type="dxa"/>
            <w:bottom w:w="15" w:type="dxa"/>
            <w:right w:w="15" w:type="dxa"/>
          </w:tblCellMar>
        </w:tblPrEx>
        <w:trPr>
          <w:trHeight w:val="48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行政许可</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4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其他对外管理服务事项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36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第二十条第（六）项</w:t>
            </w:r>
          </w:p>
        </w:tc>
      </w:tr>
      <w:tr>
        <w:tblPrEx>
          <w:shd w:val="clear" w:color="auto" w:fill="auto"/>
          <w:tblCellMar>
            <w:top w:w="15" w:type="dxa"/>
            <w:left w:w="15" w:type="dxa"/>
            <w:bottom w:w="15" w:type="dxa"/>
            <w:right w:w="15" w:type="dxa"/>
          </w:tblCellMar>
        </w:tblPrEx>
        <w:trPr>
          <w:trHeight w:val="57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上一年项目数量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本年增/减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处理决定数量</w:t>
            </w:r>
          </w:p>
        </w:tc>
      </w:tr>
      <w:tr>
        <w:tblPrEx>
          <w:shd w:val="clear" w:color="auto" w:fill="auto"/>
          <w:tblCellMar>
            <w:top w:w="15" w:type="dxa"/>
            <w:left w:w="15" w:type="dxa"/>
            <w:bottom w:w="15" w:type="dxa"/>
            <w:right w:w="15" w:type="dxa"/>
          </w:tblCellMar>
        </w:tblPrEx>
        <w:trPr>
          <w:trHeight w:val="39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行政处罚</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590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975</w:t>
            </w:r>
          </w:p>
        </w:tc>
      </w:tr>
      <w:tr>
        <w:tblPrEx>
          <w:shd w:val="clear" w:color="auto" w:fill="auto"/>
          <w:tblCellMar>
            <w:top w:w="15" w:type="dxa"/>
            <w:left w:w="15" w:type="dxa"/>
            <w:bottom w:w="15" w:type="dxa"/>
            <w:right w:w="15" w:type="dxa"/>
          </w:tblCellMar>
        </w:tblPrEx>
        <w:trPr>
          <w:trHeight w:val="37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行政强制</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11</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55</w:t>
            </w:r>
          </w:p>
        </w:tc>
      </w:tr>
      <w:tr>
        <w:tblPrEx>
          <w:shd w:val="clear" w:color="auto" w:fill="auto"/>
          <w:tblCellMar>
            <w:top w:w="15" w:type="dxa"/>
            <w:left w:w="15" w:type="dxa"/>
            <w:bottom w:w="15" w:type="dxa"/>
            <w:right w:w="15" w:type="dxa"/>
          </w:tblCellMar>
        </w:tblPrEx>
        <w:trPr>
          <w:trHeight w:val="42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第二十条第（八）项</w:t>
            </w:r>
          </w:p>
        </w:tc>
      </w:tr>
      <w:tr>
        <w:tblPrEx>
          <w:shd w:val="clear" w:color="auto" w:fill="auto"/>
          <w:tblCellMar>
            <w:top w:w="15" w:type="dxa"/>
            <w:left w:w="15" w:type="dxa"/>
            <w:bottom w:w="15" w:type="dxa"/>
            <w:right w:w="15" w:type="dxa"/>
          </w:tblCellMar>
        </w:tblPrEx>
        <w:trPr>
          <w:trHeight w:val="24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上一年项目数量</w:t>
            </w:r>
          </w:p>
        </w:tc>
        <w:tc>
          <w:tcPr>
            <w:tcW w:w="334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本年增/减</w:t>
            </w:r>
          </w:p>
        </w:tc>
      </w:tr>
      <w:tr>
        <w:tblPrEx>
          <w:shd w:val="clear" w:color="auto" w:fill="auto"/>
          <w:tblCellMar>
            <w:top w:w="15" w:type="dxa"/>
            <w:left w:w="15" w:type="dxa"/>
            <w:bottom w:w="15" w:type="dxa"/>
            <w:right w:w="15" w:type="dxa"/>
          </w:tblCellMar>
        </w:tblPrEx>
        <w:trPr>
          <w:trHeight w:val="4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行政事业性收费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334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435"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第二十条第（九）项</w:t>
            </w:r>
          </w:p>
        </w:tc>
      </w:tr>
      <w:tr>
        <w:tblPrEx>
          <w:shd w:val="clear" w:color="auto" w:fill="auto"/>
          <w:tblCellMar>
            <w:top w:w="15" w:type="dxa"/>
            <w:left w:w="15" w:type="dxa"/>
            <w:bottom w:w="15" w:type="dxa"/>
            <w:right w:w="15" w:type="dxa"/>
          </w:tblCellMar>
        </w:tblPrEx>
        <w:trPr>
          <w:trHeight w:val="52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采购项目数量</w:t>
            </w:r>
          </w:p>
        </w:tc>
        <w:tc>
          <w:tcPr>
            <w:tcW w:w="334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采购总金额</w:t>
            </w:r>
          </w:p>
        </w:tc>
      </w:tr>
      <w:tr>
        <w:tblPrEx>
          <w:shd w:val="clear" w:color="auto" w:fill="auto"/>
          <w:tblCellMar>
            <w:top w:w="15" w:type="dxa"/>
            <w:left w:w="15" w:type="dxa"/>
            <w:bottom w:w="15" w:type="dxa"/>
            <w:right w:w="15" w:type="dxa"/>
          </w:tblCellMar>
        </w:tblPrEx>
        <w:trPr>
          <w:trHeight w:val="48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政府集中采购</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18</w:t>
            </w:r>
          </w:p>
        </w:tc>
        <w:tc>
          <w:tcPr>
            <w:tcW w:w="334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4"/>
                <w:szCs w:val="24"/>
              </w:rPr>
              <w:t>10万元</w:t>
            </w:r>
          </w:p>
        </w:tc>
      </w:tr>
    </w:tbl>
    <w:p>
      <w:pPr>
        <w:pStyle w:val="5"/>
        <w:keepNext w:val="0"/>
        <w:keepLines w:val="0"/>
        <w:widowControl/>
        <w:suppressLineNumbers w:val="0"/>
        <w:shd w:val="clear" w:fill="FFFFFF"/>
        <w:spacing w:before="0" w:beforeAutospacing="0" w:after="0" w:afterAutospacing="0" w:line="420" w:lineRule="atLeast"/>
        <w:ind w:left="0" w:right="0"/>
        <w:jc w:val="both"/>
      </w:pPr>
      <w:r>
        <w:rPr>
          <w:rStyle w:val="9"/>
          <w:rFonts w:hint="eastAsia" w:ascii="宋体" w:hAnsi="宋体" w:eastAsia="宋体" w:cs="宋体"/>
          <w:sz w:val="24"/>
          <w:szCs w:val="24"/>
          <w:shd w:val="clear" w:fill="FFFFFF"/>
        </w:rPr>
        <w:t> </w:t>
      </w:r>
    </w:p>
    <w:p>
      <w:pPr>
        <w:pStyle w:val="5"/>
        <w:keepNext w:val="0"/>
        <w:keepLines w:val="0"/>
        <w:widowControl/>
        <w:suppressLineNumbers w:val="0"/>
        <w:shd w:val="clear" w:fill="FFFFFF"/>
        <w:spacing w:before="0" w:beforeAutospacing="0" w:after="240" w:afterAutospacing="0" w:line="420" w:lineRule="atLeast"/>
        <w:ind w:left="0" w:right="0" w:firstLine="420"/>
        <w:jc w:val="both"/>
      </w:pPr>
      <w:r>
        <w:rPr>
          <w:rStyle w:val="9"/>
          <w:rFonts w:hint="eastAsia" w:ascii="宋体" w:hAnsi="宋体" w:eastAsia="宋体" w:cs="宋体"/>
          <w:sz w:val="24"/>
          <w:szCs w:val="24"/>
          <w:shd w:val="clear" w:fill="FFFFFF"/>
        </w:rPr>
        <w:t>三、收到和处理政府信息公开申请情况</w:t>
      </w:r>
    </w:p>
    <w:tbl>
      <w:tblPr>
        <w:tblStyle w:val="6"/>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5"/>
        <w:gridCol w:w="855"/>
        <w:gridCol w:w="2340"/>
        <w:gridCol w:w="810"/>
        <w:gridCol w:w="750"/>
        <w:gridCol w:w="750"/>
        <w:gridCol w:w="810"/>
        <w:gridCol w:w="975"/>
        <w:gridCol w:w="705"/>
        <w:gridCol w:w="7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381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（本列数据的勾稽关系为：第一项加第二项之和，等于第三项加第四项之和）</w:t>
            </w:r>
          </w:p>
        </w:tc>
        <w:tc>
          <w:tcPr>
            <w:tcW w:w="5505"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5" w:hRule="atLeast"/>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自然人</w:t>
            </w:r>
          </w:p>
        </w:tc>
        <w:tc>
          <w:tcPr>
            <w:tcW w:w="399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5" w:hRule="atLeast"/>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商业企业</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科研机构</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社会公益组织</w:t>
            </w:r>
          </w:p>
        </w:tc>
        <w:tc>
          <w:tcPr>
            <w:tcW w:w="9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法律服务机构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其他</w:t>
            </w:r>
          </w:p>
        </w:tc>
        <w:tc>
          <w:tcPr>
            <w:tcW w:w="69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一、本年新收政府信息公开申请数量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二、上年结转政府信息公开申请数量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三、本年度办理结果</w:t>
            </w: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r>
              <w:rPr>
                <w:rStyle w:val="9"/>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r>
              <w:rPr>
                <w:rStyle w:val="9"/>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四、结转下年度继续办理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p>
        </w:tc>
      </w:tr>
    </w:tbl>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 </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四、政府信息公开行政复议、行政诉讼情况</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 </w:t>
      </w:r>
    </w:p>
    <w:tbl>
      <w:tblPr>
        <w:tblStyle w:val="6"/>
        <w:tblW w:w="90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default" w:ascii="Calibri" w:hAnsi="Calibri" w:cs="Calibri"/>
                <w:sz w:val="19"/>
                <w:szCs w:val="19"/>
              </w:rPr>
              <w:t> </w:t>
            </w:r>
            <w:r>
              <w:rPr>
                <w:rStyle w:val="9"/>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default" w:ascii="Calibri" w:hAnsi="Calibri" w:cs="Calibri"/>
                <w:sz w:val="19"/>
                <w:szCs w:val="19"/>
              </w:rPr>
              <w:t> </w:t>
            </w:r>
            <w:r>
              <w:rPr>
                <w:rStyle w:val="9"/>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default" w:ascii="Calibri" w:hAnsi="Calibri" w:cs="Calibri"/>
                <w:sz w:val="19"/>
                <w:szCs w:val="19"/>
              </w:rPr>
              <w:t> </w:t>
            </w:r>
            <w:r>
              <w:rPr>
                <w:rStyle w:val="9"/>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r>
              <w:rPr>
                <w:rStyle w:val="9"/>
                <w:rFonts w:hint="default" w:ascii="Calibri" w:hAnsi="Calibri" w:cs="Calibri"/>
                <w:sz w:val="19"/>
                <w:szCs w:val="19"/>
              </w:rPr>
              <w:t>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r>
              <w:rPr>
                <w:rStyle w:val="9"/>
                <w:rFonts w:hint="default" w:ascii="Calibri" w:hAnsi="Calibri" w:cs="Calibri"/>
                <w:sz w:val="19"/>
                <w:szCs w:val="19"/>
              </w:rPr>
              <w:t> </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4"/>
                <w:szCs w:val="24"/>
              </w:rPr>
              <w:t>0</w:t>
            </w:r>
          </w:p>
        </w:tc>
      </w:tr>
    </w:tbl>
    <w:p>
      <w:pPr>
        <w:pStyle w:val="5"/>
        <w:keepNext w:val="0"/>
        <w:keepLines w:val="0"/>
        <w:widowControl/>
        <w:suppressLineNumbers w:val="0"/>
        <w:shd w:val="clear" w:fill="FFFFFF"/>
        <w:spacing w:before="0" w:beforeAutospacing="0" w:after="0" w:afterAutospacing="0" w:line="420" w:lineRule="atLeast"/>
        <w:ind w:left="0" w:right="0"/>
        <w:jc w:val="center"/>
        <w:rPr>
          <w:sz w:val="21"/>
          <w:szCs w:val="21"/>
        </w:rPr>
      </w:pPr>
      <w:r>
        <w:rPr>
          <w:rStyle w:val="9"/>
          <w:rFonts w:hint="eastAsia" w:ascii="宋体" w:hAnsi="宋体" w:eastAsia="宋体" w:cs="宋体"/>
          <w:sz w:val="24"/>
          <w:szCs w:val="24"/>
          <w:shd w:val="clear" w:fill="FFFFFF"/>
        </w:rPr>
        <w:t> </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五、存在的主要问题及改进措施</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（一）主要问题</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1.政务公开工作队伍建设有待加强。</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2.政务公开工作制度建设有待完善。</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3.2019年度政务公开工作中主动性不够强烈。</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（二）改进措施</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1.加强政府信息公开工作人员教育培训，安排懂业务、善学习的同志具体负责政务公开工作，每年至少开展2—3次专题培训，及时更新优化业务知识结构。</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2.建立完善政务公开工作机制，按时培训，推进政府信息公开工作实现规范化。加大主动公开力度，按照《政府信息公开条例》规定的主动公开范围，主动进行政务公开。</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3.积极主动开展政务公开工作。</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六、其他需要报告的事项</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本年度报告中所列数据的统计期限从2020年1月1日到2020年12月31日止。</w:t>
      </w:r>
    </w:p>
    <w:p>
      <w:pPr>
        <w:pStyle w:val="5"/>
        <w:keepNext w:val="0"/>
        <w:keepLines w:val="0"/>
        <w:widowControl/>
        <w:suppressLineNumbers w:val="0"/>
        <w:shd w:val="clear" w:fill="FFFFFF"/>
        <w:spacing w:before="0" w:beforeAutospacing="0" w:after="240" w:afterAutospacing="0" w:line="420" w:lineRule="atLeast"/>
        <w:ind w:left="0" w:right="0" w:firstLine="420"/>
        <w:jc w:val="both"/>
      </w:pPr>
      <w:r>
        <w:rPr>
          <w:rStyle w:val="9"/>
          <w:rFonts w:hint="eastAsia" w:ascii="宋体" w:hAnsi="宋体" w:eastAsia="宋体" w:cs="宋体"/>
          <w:sz w:val="24"/>
          <w:szCs w:val="24"/>
          <w:shd w:val="clear" w:fill="FFFFFF"/>
        </w:rPr>
        <w:t>一、总体情况</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2020年，汶上县卫生健康局按照县委、县政府的统一部署，认真贯彻落实《中华人民共和国政府信息公开条例》和省、市、县关于政府信息公开工作的要求，紧扣本单位的工作实际，扎实推进政府信息公开工作，现将我单位2020年度政府信息公开工作报告如下：</w:t>
      </w:r>
    </w:p>
    <w:p>
      <w:pPr>
        <w:pStyle w:val="5"/>
        <w:keepNext w:val="0"/>
        <w:keepLines w:val="0"/>
        <w:widowControl/>
        <w:suppressLineNumbers w:val="0"/>
        <w:shd w:val="clear" w:fill="FFFFFF"/>
        <w:spacing w:before="0" w:beforeAutospacing="0" w:after="0" w:afterAutospacing="0" w:line="420" w:lineRule="atLeast"/>
        <w:ind w:left="0" w:right="0" w:firstLine="480"/>
        <w:jc w:val="both"/>
      </w:pPr>
      <w:r>
        <w:rPr>
          <w:rStyle w:val="9"/>
          <w:rFonts w:hint="eastAsia" w:ascii="宋体" w:hAnsi="宋体" w:eastAsia="宋体" w:cs="宋体"/>
          <w:sz w:val="24"/>
          <w:szCs w:val="24"/>
          <w:shd w:val="clear" w:fill="FFFFFF"/>
        </w:rPr>
        <w:t>（一）加强组织领导。为加强对政务信息公开工作的组织领导，县卫生健康局对汶上县卫生健康局政务公开工作领导小组进行相应调整，确定了以局党组书记、局长王玉彬同志为组长，以局党组副书记赵建生同志为副主任的汶上县卫生健康局政务公开工作领导小组，专门配备了1名专职工作人员，2名兼职工作人员，设立了信息公开受理点和查阅点。目前政务信息公开工作总体上进展有序，各项工作按照既定目标顺利推进。</w:t>
      </w:r>
    </w:p>
    <w:p>
      <w:pPr>
        <w:pStyle w:val="5"/>
        <w:keepNext w:val="0"/>
        <w:keepLines w:val="0"/>
        <w:widowControl/>
        <w:suppressLineNumbers w:val="0"/>
        <w:shd w:val="clear" w:fill="FFFFFF"/>
        <w:spacing w:before="0" w:beforeAutospacing="0" w:after="0" w:afterAutospacing="0" w:line="420" w:lineRule="atLeast"/>
        <w:ind w:left="420" w:right="0"/>
        <w:jc w:val="both"/>
      </w:pPr>
      <w:r>
        <w:rPr>
          <w:rStyle w:val="9"/>
          <w:rFonts w:hint="eastAsia" w:ascii="宋体" w:hAnsi="宋体" w:eastAsia="宋体" w:cs="宋体"/>
          <w:sz w:val="24"/>
          <w:szCs w:val="24"/>
          <w:shd w:val="clear" w:fill="FFFFFF"/>
        </w:rPr>
        <w:t>（二）明确机构职能</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为方便群众咨询卫健系统相关问题，汶上县卫生健康局将本单位机构职能按照条例相关要求主动公开，具体职能如下：</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贯彻执行国家和省、市关于国民健康政策和卫生健康、中医药事业发展的法律、法规、规章、技术规范、标准，拟订全县卫生健康、中医药事业发展的相关规划、政策措施并组织实施。统筹规划全县卫生健康资源配置，编制区域卫生健康规划并组织实施。制定并组织实施推进卫生健康基本公共服务均等化、普惠化、便捷化和公共资源向基层延伸等政策措施。</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协调推进全县深化医药卫生体制改革，研究提出深化医药卫生体制改革重大政策、措施的建议。组织深化公立医院综合改革，推进管办分离，健全现代医院管理制度，制定并组织实施推动卫生健康公共服务提供主体多元化、提供方式多样化的政策措施，提出医疗服务和药品价格政策建议。</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3.制定并组织落实全县疾病预防控制规划、免疫规划以及严重危害人民健康公共卫生问题的干预措施。协调有关部门对重大疾病实施综合防控与干预。负责卫生应急工作。组织和指导全县突发公共卫生事件的预防控制和各类突发公共事件的医疗卫生救援。</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4.组织拟订并协调落实应对人口老龄化政策措施，负责推进老年健康服务体系建设和医养结合工作。拟订全县健康产业发展规划、政策并组织实施，协调推进健康产业与相关产业融合，推动健康新业态发展。承担新旧动能转换卫生健康行业有关具体工作。负责相关产业的招商引资工作。</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5.组织实施国家药物政策、国家基本药物制度，执行国家和省、市并拟定全县有关政策措施。开展药品使用监测、临床综合评价和短缺药品预警，提出全县基本药物价格政策的建议。组织开展食品安全风险监测评估。</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6.负责职责范围内的职业卫生、放射卫生、环境卫生、学校卫生、公共场所卫生、饮用水卫生等公共卫生的监督管理。负责传染病防治监督。健全卫生健康综合监督体系。</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7.制定全县医疗机构和医疗服务行业管理办法并监督实施。建立医疗服务评价和监督管理体系，会同有关部门贯彻执行国家和省、市卫生健康专业技术人员资格标准，组织实施医疗服务规范、标准和卫生健康专业技术人员执业规则、服务规范。承担人才工作相关职责。负责全县卫生健康系统行业作风建设工作，建设和谐医患关系。</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8.负责全县计划生育服务和管理工作，开展人口监测预警，研究提出人口与家庭发展相关政策建议，完善计划生育政策。</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9.负责全县中医药工作，拟订全县中医药中长期发展规划和政策并组织实施。继承和发展中医药文化，促进中药资源的保护、研究开发和合理利用。</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10.指导乡镇（街道）卫生健康工作，指导基层医疗卫生、妇幼健康服务体系和全科医生队伍建设。推进卫生健康科技创新发展。</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11.负责重要会议和重大活动的医疗卫生保障工作。</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12.承担县老龄工作委员会、县深化医药卫生体制改革领导小组、县属公立医院管理委员会、县爱国卫生运动委员会、县政府防治艾滋病工作委员会、县人口与计划生育领导小组日常工作。指导县计划生育协会的业务工作。</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13.在职责范围内负责本单位、本行业领域的安全生产和消防安全工作。</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14.贯彻落实全面从严治党要求，切实履行机关党建工作、党风廉政建设和意识形态主体责任，全面推进党的政治建设、思想建设、组织建设、作风建设、纪律建设，把制度建设贯穿其中，领导所属单位抓好党的建设工作。按照县委非公有制经济组织和社会组织工委委员单位职责分工做好相关工作。</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15.完成县委、县政府交办的其他任务。</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16.职能转变。按照省委、省政府关于转变政府职能、深化放管服改革，深入推进审批服务便民化的决策部署，认真落实省、市、县深化“一次办好”改革的要求，组织推进本系统转变政府职能，负责已划转至行政审批部门的行政许可及关联事项的事中事后监管。牢固树立大卫生、大健康理念，推动实施健康汶上战略，以改革创新为动力，坚持中西医并重，以促健康、转模式、强基层、重保障为着力点，把以治病为中心转变到以人民健康为中心，为人民群众提供全方位全周期健康服务。</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（1）更加注重预防为主和健康促进，加强预防控制重大疾病工作，积极应对人口老龄化，健全健康服务体系。</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（2）更加注重工作重心下移和资源下沉，推进卫生健康公共资源向基层延伸、向农村覆盖、向边远地区和生活困难群众倾斜。</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（3）更加注重提高服务质量和水平，推进卫生健康基本公共服务均等化、普惠化、便捷化。</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（4）协调推进深化医药卫生体制改革，加大公立医院改革力度，推进管办分离，推动卫生健康公共服务提供主体多元化、提供方式多样化。</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（5）充分发挥中医药特色优势，加快中医药传承发展，促进全民健康。</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（三）政务公开情况</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2020年县卫生健康局主动公开政府信息258条，其中通过部门微信公众号公开136条信息，通过政府网站公开93条信息，承办人大代表建议3条，答复政协委员提案26条；内容主要涉及公开机构职能信息、执法监督信息、医疗机构信息、医疗机构院务公开；提升基层中医药服务能力；完善基层医疗卫生卫生服务体系；加快医养结合建设；加快卫生健康人才队伍建设以及加强卫生健康行业监管力度等多个方面。提供了高质量的政务信息。同时，县卫生健康局通过市长热线和O2O服务平台回复群众问题756件，办结率100%，主要内容包括卫生计生、执法执纪、公共服务等各个方面。为广大汶上人民提供了优质的咨询服务。</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 </w:t>
      </w:r>
    </w:p>
    <w:p>
      <w:pPr>
        <w:pStyle w:val="5"/>
        <w:keepNext w:val="0"/>
        <w:keepLines w:val="0"/>
        <w:widowControl/>
        <w:suppressLineNumbers w:val="0"/>
        <w:shd w:val="clear" w:fill="FFFFFF"/>
        <w:spacing w:before="0" w:beforeAutospacing="0" w:after="240" w:afterAutospacing="0" w:line="420" w:lineRule="atLeast"/>
        <w:ind w:left="0" w:right="0" w:firstLine="420"/>
        <w:jc w:val="both"/>
      </w:pPr>
      <w:r>
        <w:rPr>
          <w:rStyle w:val="9"/>
          <w:rFonts w:hint="eastAsia" w:ascii="宋体" w:hAnsi="宋体" w:eastAsia="宋体" w:cs="宋体"/>
          <w:sz w:val="24"/>
          <w:szCs w:val="24"/>
          <w:shd w:val="clear" w:fill="FFFFFF"/>
        </w:rPr>
        <w:t>二、主动公开政府信息情况</w:t>
      </w:r>
    </w:p>
    <w:tbl>
      <w:tblPr>
        <w:tblStyle w:val="6"/>
        <w:tblW w:w="8640" w:type="dxa"/>
        <w:jc w:val="center"/>
        <w:shd w:val="clear" w:color="auto" w:fill="auto"/>
        <w:tblLayout w:type="autofit"/>
        <w:tblCellMar>
          <w:top w:w="15" w:type="dxa"/>
          <w:left w:w="15" w:type="dxa"/>
          <w:bottom w:w="15" w:type="dxa"/>
          <w:right w:w="15" w:type="dxa"/>
        </w:tblCellMar>
      </w:tblPr>
      <w:tblGrid>
        <w:gridCol w:w="3300"/>
        <w:gridCol w:w="1995"/>
        <w:gridCol w:w="1350"/>
        <w:gridCol w:w="1995"/>
      </w:tblGrid>
      <w:tr>
        <w:tblPrEx>
          <w:tblCellMar>
            <w:top w:w="15" w:type="dxa"/>
            <w:left w:w="15" w:type="dxa"/>
            <w:bottom w:w="15" w:type="dxa"/>
            <w:right w:w="15" w:type="dxa"/>
          </w:tblCellMar>
        </w:tblPrEx>
        <w:trPr>
          <w:trHeight w:val="450" w:hRule="atLeast"/>
          <w:jc w:val="center"/>
        </w:trPr>
        <w:tc>
          <w:tcPr>
            <w:tcW w:w="864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第二十条第（一）项</w:t>
            </w:r>
          </w:p>
        </w:tc>
      </w:tr>
      <w:tr>
        <w:tblPrEx>
          <w:shd w:val="clear" w:color="auto" w:fill="auto"/>
          <w:tblCellMar>
            <w:top w:w="15" w:type="dxa"/>
            <w:left w:w="15" w:type="dxa"/>
            <w:bottom w:w="15" w:type="dxa"/>
            <w:right w:w="15" w:type="dxa"/>
          </w:tblCellMar>
        </w:tblPrEx>
        <w:trPr>
          <w:trHeight w:val="7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本年新</w:t>
            </w:r>
            <w:r>
              <w:rPr>
                <w:rStyle w:val="9"/>
                <w:rFonts w:hint="eastAsia" w:ascii="宋体" w:hAnsi="宋体" w:eastAsia="宋体" w:cs="宋体"/>
                <w:sz w:val="19"/>
                <w:szCs w:val="19"/>
              </w:rPr>
              <w:br w:type="textWrapping"/>
            </w:r>
            <w:r>
              <w:rPr>
                <w:rStyle w:val="9"/>
                <w:rFonts w:hint="default" w:ascii="Calibri" w:hAnsi="Calibri" w:cs="Calibri"/>
                <w:sz w:val="19"/>
                <w:szCs w:val="19"/>
              </w:rPr>
              <w:t>制作数量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本年新</w:t>
            </w:r>
            <w:r>
              <w:rPr>
                <w:rStyle w:val="9"/>
                <w:rFonts w:hint="eastAsia" w:ascii="宋体" w:hAnsi="宋体" w:eastAsia="宋体" w:cs="宋体"/>
                <w:sz w:val="19"/>
                <w:szCs w:val="19"/>
              </w:rPr>
              <w:br w:type="textWrapping"/>
            </w:r>
            <w:r>
              <w:rPr>
                <w:rStyle w:val="9"/>
                <w:rFonts w:hint="default" w:ascii="Calibri" w:hAnsi="Calibri" w:cs="Calibri"/>
                <w:sz w:val="19"/>
                <w:szCs w:val="19"/>
              </w:rPr>
              <w:t>公开数量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对外公开总数量</w:t>
            </w:r>
          </w:p>
        </w:tc>
      </w:tr>
      <w:tr>
        <w:tblPrEx>
          <w:shd w:val="clear" w:color="auto" w:fill="auto"/>
          <w:tblCellMar>
            <w:top w:w="15" w:type="dxa"/>
            <w:left w:w="15" w:type="dxa"/>
            <w:bottom w:w="15" w:type="dxa"/>
            <w:right w:w="15" w:type="dxa"/>
          </w:tblCellMar>
        </w:tblPrEx>
        <w:trPr>
          <w:trHeight w:val="46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规章</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3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42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规范性文件</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3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435"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第二十条第（五）项</w:t>
            </w:r>
          </w:p>
        </w:tc>
      </w:tr>
      <w:tr>
        <w:tblPrEx>
          <w:shd w:val="clear" w:color="auto" w:fill="auto"/>
          <w:tblCellMar>
            <w:top w:w="15" w:type="dxa"/>
            <w:left w:w="15" w:type="dxa"/>
            <w:bottom w:w="15" w:type="dxa"/>
            <w:right w:w="15" w:type="dxa"/>
          </w:tblCellMar>
        </w:tblPrEx>
        <w:trPr>
          <w:trHeight w:val="57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上一年项目数量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本年增/减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处理决定数量</w:t>
            </w:r>
          </w:p>
        </w:tc>
      </w:tr>
      <w:tr>
        <w:tblPrEx>
          <w:shd w:val="clear" w:color="auto" w:fill="auto"/>
          <w:tblCellMar>
            <w:top w:w="15" w:type="dxa"/>
            <w:left w:w="15" w:type="dxa"/>
            <w:bottom w:w="15" w:type="dxa"/>
            <w:right w:w="15" w:type="dxa"/>
          </w:tblCellMar>
        </w:tblPrEx>
        <w:trPr>
          <w:trHeight w:val="48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行政许可</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4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其他对外管理服务事项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36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第二十条第（六）项</w:t>
            </w:r>
          </w:p>
        </w:tc>
      </w:tr>
      <w:tr>
        <w:tblPrEx>
          <w:shd w:val="clear" w:color="auto" w:fill="auto"/>
          <w:tblCellMar>
            <w:top w:w="15" w:type="dxa"/>
            <w:left w:w="15" w:type="dxa"/>
            <w:bottom w:w="15" w:type="dxa"/>
            <w:right w:w="15" w:type="dxa"/>
          </w:tblCellMar>
        </w:tblPrEx>
        <w:trPr>
          <w:trHeight w:val="57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上一年项目数量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本年增/减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处理决定数量</w:t>
            </w:r>
          </w:p>
        </w:tc>
      </w:tr>
      <w:tr>
        <w:tblPrEx>
          <w:shd w:val="clear" w:color="auto" w:fill="auto"/>
          <w:tblCellMar>
            <w:top w:w="15" w:type="dxa"/>
            <w:left w:w="15" w:type="dxa"/>
            <w:bottom w:w="15" w:type="dxa"/>
            <w:right w:w="15" w:type="dxa"/>
          </w:tblCellMar>
        </w:tblPrEx>
        <w:trPr>
          <w:trHeight w:val="39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行政处罚</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590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975</w:t>
            </w:r>
          </w:p>
        </w:tc>
      </w:tr>
      <w:tr>
        <w:tblPrEx>
          <w:shd w:val="clear" w:color="auto" w:fill="auto"/>
          <w:tblCellMar>
            <w:top w:w="15" w:type="dxa"/>
            <w:left w:w="15" w:type="dxa"/>
            <w:bottom w:w="15" w:type="dxa"/>
            <w:right w:w="15" w:type="dxa"/>
          </w:tblCellMar>
        </w:tblPrEx>
        <w:trPr>
          <w:trHeight w:val="37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行政强制</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11</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55</w:t>
            </w:r>
          </w:p>
        </w:tc>
      </w:tr>
      <w:tr>
        <w:tblPrEx>
          <w:shd w:val="clear" w:color="auto" w:fill="auto"/>
          <w:tblCellMar>
            <w:top w:w="15" w:type="dxa"/>
            <w:left w:w="15" w:type="dxa"/>
            <w:bottom w:w="15" w:type="dxa"/>
            <w:right w:w="15" w:type="dxa"/>
          </w:tblCellMar>
        </w:tblPrEx>
        <w:trPr>
          <w:trHeight w:val="42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第二十条第（八）项</w:t>
            </w:r>
          </w:p>
        </w:tc>
      </w:tr>
      <w:tr>
        <w:tblPrEx>
          <w:shd w:val="clear" w:color="auto" w:fill="auto"/>
          <w:tblCellMar>
            <w:top w:w="15" w:type="dxa"/>
            <w:left w:w="15" w:type="dxa"/>
            <w:bottom w:w="15" w:type="dxa"/>
            <w:right w:w="15" w:type="dxa"/>
          </w:tblCellMar>
        </w:tblPrEx>
        <w:trPr>
          <w:trHeight w:val="24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上一年项目数量</w:t>
            </w:r>
          </w:p>
        </w:tc>
        <w:tc>
          <w:tcPr>
            <w:tcW w:w="334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本年增/减</w:t>
            </w:r>
          </w:p>
        </w:tc>
      </w:tr>
      <w:tr>
        <w:tblPrEx>
          <w:shd w:val="clear" w:color="auto" w:fill="auto"/>
          <w:tblCellMar>
            <w:top w:w="15" w:type="dxa"/>
            <w:left w:w="15" w:type="dxa"/>
            <w:bottom w:w="15" w:type="dxa"/>
            <w:right w:w="15" w:type="dxa"/>
          </w:tblCellMar>
        </w:tblPrEx>
        <w:trPr>
          <w:trHeight w:val="4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行政事业性收费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1"/>
                <w:szCs w:val="21"/>
              </w:rPr>
              <w:t>0</w:t>
            </w:r>
          </w:p>
        </w:tc>
        <w:tc>
          <w:tcPr>
            <w:tcW w:w="334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9"/>
                <w:rFonts w:hint="eastAsia" w:ascii="宋体" w:hAnsi="宋体" w:eastAsia="宋体" w:cs="宋体"/>
                <w:sz w:val="21"/>
                <w:szCs w:val="21"/>
              </w:rPr>
              <w:t>0</w:t>
            </w:r>
          </w:p>
        </w:tc>
      </w:tr>
      <w:tr>
        <w:tblPrEx>
          <w:shd w:val="clear" w:color="auto" w:fill="auto"/>
          <w:tblCellMar>
            <w:top w:w="15" w:type="dxa"/>
            <w:left w:w="15" w:type="dxa"/>
            <w:bottom w:w="15" w:type="dxa"/>
            <w:right w:w="15" w:type="dxa"/>
          </w:tblCellMar>
        </w:tblPrEx>
        <w:trPr>
          <w:trHeight w:val="435"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第二十条第（九）项</w:t>
            </w:r>
          </w:p>
        </w:tc>
      </w:tr>
      <w:tr>
        <w:tblPrEx>
          <w:shd w:val="clear" w:color="auto" w:fill="auto"/>
          <w:tblCellMar>
            <w:top w:w="15" w:type="dxa"/>
            <w:left w:w="15" w:type="dxa"/>
            <w:bottom w:w="15" w:type="dxa"/>
            <w:right w:w="15" w:type="dxa"/>
          </w:tblCellMar>
        </w:tblPrEx>
        <w:trPr>
          <w:trHeight w:val="52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信息内容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采购项目数量</w:t>
            </w:r>
          </w:p>
        </w:tc>
        <w:tc>
          <w:tcPr>
            <w:tcW w:w="334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采购总金额</w:t>
            </w:r>
          </w:p>
        </w:tc>
      </w:tr>
      <w:tr>
        <w:tblPrEx>
          <w:shd w:val="clear" w:color="auto" w:fill="auto"/>
          <w:tblCellMar>
            <w:top w:w="15" w:type="dxa"/>
            <w:left w:w="15" w:type="dxa"/>
            <w:bottom w:w="15" w:type="dxa"/>
            <w:right w:w="15" w:type="dxa"/>
          </w:tblCellMar>
        </w:tblPrEx>
        <w:trPr>
          <w:trHeight w:val="48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政府集中采购</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18</w:t>
            </w:r>
          </w:p>
        </w:tc>
        <w:tc>
          <w:tcPr>
            <w:tcW w:w="334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4"/>
                <w:szCs w:val="24"/>
              </w:rPr>
              <w:t>10万元</w:t>
            </w:r>
          </w:p>
        </w:tc>
      </w:tr>
    </w:tbl>
    <w:p>
      <w:pPr>
        <w:pStyle w:val="5"/>
        <w:keepNext w:val="0"/>
        <w:keepLines w:val="0"/>
        <w:widowControl/>
        <w:suppressLineNumbers w:val="0"/>
        <w:shd w:val="clear" w:fill="FFFFFF"/>
        <w:spacing w:before="0" w:beforeAutospacing="0" w:after="0" w:afterAutospacing="0" w:line="420" w:lineRule="atLeast"/>
        <w:ind w:left="0" w:right="0"/>
        <w:jc w:val="both"/>
      </w:pPr>
      <w:r>
        <w:rPr>
          <w:rStyle w:val="9"/>
          <w:rFonts w:hint="eastAsia" w:ascii="宋体" w:hAnsi="宋体" w:eastAsia="宋体" w:cs="宋体"/>
          <w:sz w:val="24"/>
          <w:szCs w:val="24"/>
          <w:shd w:val="clear" w:fill="FFFFFF"/>
        </w:rPr>
        <w:t> </w:t>
      </w:r>
    </w:p>
    <w:p>
      <w:pPr>
        <w:pStyle w:val="5"/>
        <w:keepNext w:val="0"/>
        <w:keepLines w:val="0"/>
        <w:widowControl/>
        <w:suppressLineNumbers w:val="0"/>
        <w:shd w:val="clear" w:fill="FFFFFF"/>
        <w:spacing w:before="0" w:beforeAutospacing="0" w:after="240" w:afterAutospacing="0" w:line="420" w:lineRule="atLeast"/>
        <w:ind w:left="0" w:right="0" w:firstLine="420"/>
        <w:jc w:val="both"/>
      </w:pPr>
      <w:r>
        <w:rPr>
          <w:rStyle w:val="9"/>
          <w:rFonts w:hint="eastAsia" w:ascii="宋体" w:hAnsi="宋体" w:eastAsia="宋体" w:cs="宋体"/>
          <w:sz w:val="24"/>
          <w:szCs w:val="24"/>
          <w:shd w:val="clear" w:fill="FFFFFF"/>
        </w:rPr>
        <w:t>三、收到和处理政府信息公开申请情况</w:t>
      </w:r>
    </w:p>
    <w:tbl>
      <w:tblPr>
        <w:tblStyle w:val="6"/>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5"/>
        <w:gridCol w:w="855"/>
        <w:gridCol w:w="2340"/>
        <w:gridCol w:w="810"/>
        <w:gridCol w:w="750"/>
        <w:gridCol w:w="750"/>
        <w:gridCol w:w="810"/>
        <w:gridCol w:w="975"/>
        <w:gridCol w:w="705"/>
        <w:gridCol w:w="7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381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（本列数据的勾稽关系为：第一项加第二项之和，等于第三项加第四项之和）</w:t>
            </w:r>
          </w:p>
        </w:tc>
        <w:tc>
          <w:tcPr>
            <w:tcW w:w="5505"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5" w:hRule="atLeast"/>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自然人</w:t>
            </w:r>
          </w:p>
        </w:tc>
        <w:tc>
          <w:tcPr>
            <w:tcW w:w="399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5" w:hRule="atLeast"/>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商业企业</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科研机构</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社会公益组织</w:t>
            </w:r>
          </w:p>
        </w:tc>
        <w:tc>
          <w:tcPr>
            <w:tcW w:w="9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法律服务机构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其他</w:t>
            </w:r>
          </w:p>
        </w:tc>
        <w:tc>
          <w:tcPr>
            <w:tcW w:w="69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一、本年新收政府信息公开申请数量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二、上年结转政府信息公开申请数量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三、本年度办理结果</w:t>
            </w: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ascii="楷体" w:hAnsi="楷体" w:eastAsia="楷体" w:cs="楷体"/>
                <w:sz w:val="19"/>
                <w:szCs w:val="19"/>
              </w:rPr>
              <w:t>（一）予以公开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（二）部分公开（区分处理的，只计这一情形，不计其他情形）</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（三）不予公开</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1.属于国家秘密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2.其他法律行政法规禁止公开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3.危及“三安全一稳定”</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4.保护第三方合法权益</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5.属于三类内部事务信息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6.属于四类过程性信息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7.属于行政执法案卷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8.属于行政查询事项</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（四）无法提供</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1.本机关不掌握相关政府信息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2.没有现成信息需要另行制作</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3.补正后申请内容仍不明确</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（五）不予处理</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1.信访举报投诉类申请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2.重复申请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3.要求提供公开出版物</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4.无正当理由大量反复申请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5.要求行政机关确认或重新出具已获取信息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（六）其他处理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楷体" w:hAnsi="楷体" w:eastAsia="楷体" w:cs="楷体"/>
                <w:sz w:val="19"/>
                <w:szCs w:val="19"/>
              </w:rPr>
              <w:t>（七）总计</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19"/>
                <w:szCs w:val="19"/>
              </w:rPr>
              <w:t>四、结转下年度继续办理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 </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四、政府信息公开行政复议、行政诉讼情况</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 </w:t>
      </w:r>
    </w:p>
    <w:tbl>
      <w:tblPr>
        <w:tblStyle w:val="6"/>
        <w:tblW w:w="90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default" w:ascii="Calibri" w:hAnsi="Calibri" w:cs="Calibri"/>
                <w:sz w:val="19"/>
                <w:szCs w:val="19"/>
              </w:rPr>
              <w:t> </w:t>
            </w:r>
            <w:r>
              <w:rPr>
                <w:rStyle w:val="9"/>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default" w:ascii="Calibri" w:hAnsi="Calibri" w:cs="Calibri"/>
                <w:sz w:val="19"/>
                <w:szCs w:val="19"/>
              </w:rPr>
              <w:t> </w:t>
            </w:r>
            <w:r>
              <w:rPr>
                <w:rStyle w:val="9"/>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default" w:ascii="Calibri" w:hAnsi="Calibri" w:cs="Calibri"/>
                <w:sz w:val="19"/>
                <w:szCs w:val="19"/>
              </w:rPr>
              <w:t> </w:t>
            </w:r>
            <w:r>
              <w:rPr>
                <w:rStyle w:val="9"/>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r>
              <w:rPr>
                <w:rStyle w:val="9"/>
                <w:rFonts w:hint="default" w:ascii="Calibri" w:hAnsi="Calibri" w:cs="Calibri"/>
                <w:sz w:val="19"/>
                <w:szCs w:val="19"/>
              </w:rPr>
              <w:t>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w:t>
            </w:r>
            <w:r>
              <w:rPr>
                <w:rStyle w:val="9"/>
                <w:rFonts w:hint="default" w:ascii="Calibri" w:hAnsi="Calibri" w:cs="Calibri"/>
                <w:sz w:val="19"/>
                <w:szCs w:val="19"/>
              </w:rPr>
              <w:t> </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1</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1</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9"/>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9"/>
                <w:rFonts w:hint="eastAsia" w:ascii="宋体" w:hAnsi="宋体" w:eastAsia="宋体" w:cs="宋体"/>
                <w:sz w:val="24"/>
                <w:szCs w:val="24"/>
              </w:rPr>
              <w:t>0</w:t>
            </w:r>
          </w:p>
        </w:tc>
      </w:tr>
    </w:tbl>
    <w:p>
      <w:pPr>
        <w:pStyle w:val="5"/>
        <w:keepNext w:val="0"/>
        <w:keepLines w:val="0"/>
        <w:widowControl/>
        <w:suppressLineNumbers w:val="0"/>
        <w:shd w:val="clear" w:fill="FFFFFF"/>
        <w:spacing w:before="0" w:beforeAutospacing="0" w:after="0" w:afterAutospacing="0" w:line="420" w:lineRule="atLeast"/>
        <w:ind w:left="0" w:right="0"/>
        <w:jc w:val="center"/>
        <w:rPr>
          <w:sz w:val="21"/>
          <w:szCs w:val="21"/>
        </w:rPr>
      </w:pPr>
      <w:r>
        <w:rPr>
          <w:rStyle w:val="9"/>
          <w:rFonts w:hint="eastAsia" w:ascii="宋体" w:hAnsi="宋体" w:eastAsia="宋体" w:cs="宋体"/>
          <w:sz w:val="24"/>
          <w:szCs w:val="24"/>
          <w:shd w:val="clear" w:fill="FFFFFF"/>
        </w:rPr>
        <w:t> </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五、存在的主要问题及改进措施</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（一）主要问题</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1.政务公开工作队伍建设有待加强。</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2.政务公开工作制度建设有待完善。</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（二）改进措施</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1.加强政府信息公开工作人员教育培训，安排懂业务、善学习的同志具体负责政务公开工作，每年至少开展2—3次专题培训，及时更新优化业务知识结构。</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2.建立完善政务公开工作机制，按时培训，推进政府信息公开工作实现规范化。加大主动公开力度，按照《政府信息公开条例》规定的主动公开范围，主动进行政务公开。</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六、其他需要报告的事项</w:t>
      </w:r>
    </w:p>
    <w:p>
      <w:pPr>
        <w:pStyle w:val="5"/>
        <w:keepNext w:val="0"/>
        <w:keepLines w:val="0"/>
        <w:widowControl/>
        <w:suppressLineNumbers w:val="0"/>
        <w:shd w:val="clear" w:fill="FFFFFF"/>
        <w:spacing w:before="0" w:beforeAutospacing="0" w:after="0" w:afterAutospacing="0" w:line="420" w:lineRule="atLeast"/>
        <w:ind w:left="0" w:right="0" w:firstLine="420"/>
        <w:jc w:val="both"/>
      </w:pPr>
      <w:r>
        <w:rPr>
          <w:rStyle w:val="9"/>
          <w:rFonts w:hint="eastAsia" w:ascii="宋体" w:hAnsi="宋体" w:eastAsia="宋体" w:cs="宋体"/>
          <w:sz w:val="24"/>
          <w:szCs w:val="24"/>
          <w:shd w:val="clear" w:fill="FFFFFF"/>
        </w:rPr>
        <w:t>本年度报告中所列数据的统计期限从2020年1月1日到2020年12月31日止。</w:t>
      </w:r>
    </w:p>
    <w:p>
      <w:pPr>
        <w:pStyle w:val="5"/>
        <w:keepNext w:val="0"/>
        <w:keepLines w:val="0"/>
        <w:widowControl/>
        <w:suppressLineNumbers w:val="0"/>
        <w:spacing w:before="0" w:beforeAutospacing="0" w:after="0" w:afterAutospacing="0" w:line="420" w:lineRule="atLeast"/>
        <w:ind w:left="0" w:right="0"/>
      </w:pPr>
    </w:p>
    <w:p>
      <w:pPr>
        <w:pStyle w:val="10"/>
        <w:keepNext w:val="0"/>
        <w:keepLines w:val="0"/>
        <w:pageBreakBefore w:val="0"/>
        <w:widowControl/>
        <w:kinsoku/>
        <w:wordWrap w:val="0"/>
        <w:overflowPunct/>
        <w:topLinePunct w:val="0"/>
        <w:autoSpaceDE/>
        <w:autoSpaceDN/>
        <w:bidi w:val="0"/>
        <w:adjustRightInd/>
        <w:snapToGrid/>
        <w:spacing w:line="600" w:lineRule="exact"/>
        <w:ind w:left="0" w:leftChars="0" w:firstLine="0" w:firstLineChars="0"/>
        <w:jc w:val="both"/>
        <w:textAlignment w:val="bottom"/>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701" w:right="1417"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5222240</wp:posOffset>
              </wp:positionH>
              <wp:positionV relativeFrom="paragraph">
                <wp:posOffset>-62230</wp:posOffset>
              </wp:positionV>
              <wp:extent cx="502285" cy="34671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02285"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411.2pt;margin-top:-4.9pt;height:27.3pt;width:39.55pt;mso-position-horizontal-relative:margin;z-index:251659264;mso-width-relative:page;mso-height-relative:page;" filled="f" stroked="f" coordsize="21600,21600" o:gfxdata="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Cwp4X2AAAAAkBAAAPAAAAAAAAAAEAIAAAADgAAABkcnMvZG93bnJl&#10;di54bWxQSwECFAAUAAAACACHTuJANjdIZCACAAApBAAADgAAAAAAAAABACAAAAA9AQAAZHJzL2Uy&#10;b0RvYy54bWxQSwUGAAAAAAYABgBZAQAAzwU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C28B5"/>
    <w:rsid w:val="0D0E11A0"/>
    <w:rsid w:val="10BE3D21"/>
    <w:rsid w:val="149E10D8"/>
    <w:rsid w:val="199F6B21"/>
    <w:rsid w:val="1EBF032E"/>
    <w:rsid w:val="208F0CDD"/>
    <w:rsid w:val="21B128D4"/>
    <w:rsid w:val="21E94EC1"/>
    <w:rsid w:val="235C2B34"/>
    <w:rsid w:val="25DB5FA0"/>
    <w:rsid w:val="304F5FA5"/>
    <w:rsid w:val="387E58F5"/>
    <w:rsid w:val="39283306"/>
    <w:rsid w:val="3E3C532A"/>
    <w:rsid w:val="4592030B"/>
    <w:rsid w:val="4E0943BC"/>
    <w:rsid w:val="55637B1F"/>
    <w:rsid w:val="566C1585"/>
    <w:rsid w:val="582D5697"/>
    <w:rsid w:val="60080F61"/>
    <w:rsid w:val="65E871D5"/>
    <w:rsid w:val="681D0232"/>
    <w:rsid w:val="6F930591"/>
    <w:rsid w:val="73063055"/>
    <w:rsid w:val="77FC23D1"/>
    <w:rsid w:val="78732B7A"/>
    <w:rsid w:val="7D51B1E5"/>
    <w:rsid w:val="7DF4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文件格式"/>
    <w:qFormat/>
    <w:uiPriority w:val="0"/>
    <w:pPr>
      <w:spacing w:line="460" w:lineRule="atLeast"/>
      <w:ind w:left="1" w:firstLine="419"/>
      <w:jc w:val="both"/>
      <w:textAlignment w:val="bottom"/>
    </w:pPr>
    <w:rPr>
      <w:rFonts w:ascii="Times New Roman" w:hAnsi="Times New Roman" w:eastAsia="仿宋_GB2312"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2020-07-15T12:56:00Z</dcterms:created>
  <dc:creator>Administrator</dc:creator>
  <cp:lastModifiedBy>user</cp:lastModifiedBy>
  <dcterms:modified xsi:type="dcterms:W3CDTF">2023-06-07T14:21:39Z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88CD581B1DE442B695FBF3D9A398BDD2</vt:lpwstr>
  </property>
</Properties>
</file>