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textAlignment w:val="auto"/>
        <w:rPr>
          <w:rFonts w:hint="eastAsia"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760" w:lineRule="exact"/>
        <w:textAlignment w:val="auto"/>
        <w:rPr>
          <w:rFonts w:hint="eastAsia"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760" w:lineRule="exact"/>
        <w:textAlignment w:val="auto"/>
        <w:rPr>
          <w:rFonts w:hint="eastAsia"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760" w:lineRule="exact"/>
        <w:textAlignment w:val="auto"/>
        <w:rPr>
          <w:rFonts w:hint="eastAsia" w:ascii="Times New Roman" w:hAnsi="Times New Roman" w:eastAsia="黑体" w:cs="Times New Roman"/>
          <w:sz w:val="32"/>
          <w:szCs w:val="32"/>
        </w:rPr>
      </w:pPr>
    </w:p>
    <w:p>
      <w:pPr>
        <w:spacing w:line="576" w:lineRule="exact"/>
        <w:jc w:val="center"/>
        <w:rPr>
          <w:rFonts w:ascii="Times New Roman" w:hAnsi="Times New Roman" w:eastAsia="文星仿宋"/>
          <w:sz w:val="32"/>
          <w:szCs w:val="32"/>
        </w:rPr>
      </w:pPr>
    </w:p>
    <w:p>
      <w:pPr>
        <w:pStyle w:val="2"/>
        <w:keepNext w:val="0"/>
        <w:keepLines w:val="0"/>
        <w:pageBreakBefore w:val="0"/>
        <w:widowControl w:val="0"/>
        <w:kinsoku/>
        <w:wordWrap/>
        <w:overflowPunct/>
        <w:topLinePunct w:val="0"/>
        <w:autoSpaceDE/>
        <w:autoSpaceDN/>
        <w:bidi w:val="0"/>
        <w:adjustRightInd/>
        <w:snapToGrid/>
        <w:spacing w:line="160" w:lineRule="exact"/>
        <w:textAlignment w:val="auto"/>
        <w:rPr>
          <w:rFonts w:ascii="Times New Roman" w:hAnsi="Times New Roman" w:eastAsia="文星仿宋"/>
          <w:sz w:val="32"/>
          <w:szCs w:val="32"/>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ascii="Times New Roman" w:hAnsi="Times New Roman" w:eastAsia="文星仿宋"/>
          <w:sz w:val="32"/>
          <w:szCs w:val="32"/>
        </w:rPr>
      </w:pPr>
    </w:p>
    <w:p>
      <w:pPr>
        <w:widowControl/>
        <w:adjustRightInd w:val="0"/>
        <w:snapToGrid w:val="0"/>
        <w:spacing w:after="200" w:line="360" w:lineRule="auto"/>
        <w:jc w:val="center"/>
        <w:rPr>
          <w:rFonts w:ascii="Times New Roman" w:hAnsi="Times New Roman" w:eastAsia="仿宋" w:cs="Times New Roman"/>
          <w:bCs/>
          <w:color w:val="000000"/>
          <w:spacing w:val="-14"/>
          <w:kern w:val="0"/>
          <w:sz w:val="32"/>
          <w:szCs w:val="32"/>
        </w:rPr>
      </w:pPr>
      <w:r>
        <w:rPr>
          <w:rFonts w:hint="eastAsia" w:ascii="Times New Roman" w:hAnsi="Times New Roman" w:eastAsia="仿宋" w:cs="Times New Roman"/>
          <w:bCs/>
          <w:color w:val="000000"/>
          <w:spacing w:val="-14"/>
          <w:kern w:val="0"/>
          <w:sz w:val="32"/>
          <w:szCs w:val="32"/>
        </w:rPr>
        <w:t>汶发改</w:t>
      </w:r>
      <w:r>
        <w:rPr>
          <w:rFonts w:hint="eastAsia" w:ascii="Times New Roman" w:hAnsi="Times New Roman" w:eastAsia="方正仿宋简体" w:cs="Times New Roman"/>
          <w:kern w:val="0"/>
          <w:sz w:val="32"/>
          <w:szCs w:val="32"/>
        </w:rPr>
        <w:t>〔</w:t>
      </w:r>
      <w:r>
        <w:rPr>
          <w:rFonts w:hint="eastAsia" w:ascii="Times New Roman" w:hAnsi="Times New Roman" w:eastAsia="方正仿宋简体" w:cs="Times New Roman"/>
          <w:kern w:val="0"/>
          <w:sz w:val="32"/>
          <w:szCs w:val="32"/>
          <w:lang w:val="en-US" w:eastAsia="zh-CN"/>
        </w:rPr>
        <w:t>2022</w:t>
      </w:r>
      <w:r>
        <w:rPr>
          <w:rFonts w:hint="eastAsia" w:ascii="Times New Roman" w:hAnsi="Times New Roman" w:eastAsia="方正仿宋简体" w:cs="Times New Roman"/>
          <w:kern w:val="0"/>
          <w:sz w:val="32"/>
          <w:szCs w:val="32"/>
        </w:rPr>
        <w:t>〕</w:t>
      </w:r>
      <w:r>
        <w:rPr>
          <w:rFonts w:hint="eastAsia" w:ascii="Times New Roman" w:hAnsi="Times New Roman" w:eastAsia="方正仿宋简体" w:cs="Times New Roman"/>
          <w:kern w:val="0"/>
          <w:sz w:val="32"/>
          <w:szCs w:val="32"/>
          <w:lang w:val="en-US" w:eastAsia="zh-CN"/>
        </w:rPr>
        <w:t>80</w:t>
      </w:r>
      <w:r>
        <w:rPr>
          <w:rFonts w:hint="eastAsia" w:ascii="Times New Roman" w:hAnsi="Times New Roman" w:eastAsia="仿宋" w:cs="Times New Roman"/>
          <w:bCs/>
          <w:color w:val="000000"/>
          <w:spacing w:val="-14"/>
          <w:kern w:val="0"/>
          <w:sz w:val="32"/>
          <w:szCs w:val="32"/>
        </w:rPr>
        <w:t>号</w:t>
      </w:r>
    </w:p>
    <w:p>
      <w:pPr>
        <w:spacing w:line="576" w:lineRule="exact"/>
        <w:jc w:val="both"/>
        <w:rPr>
          <w:rFonts w:ascii="Times New Roman" w:hAnsi="Times New Roman" w:eastAsia="文星仿宋"/>
          <w:sz w:val="32"/>
          <w:szCs w:val="32"/>
        </w:rPr>
      </w:pPr>
    </w:p>
    <w:p>
      <w:pPr>
        <w:pStyle w:val="5"/>
        <w:widowControl/>
        <w:adjustRightInd/>
        <w:snapToGrid/>
        <w:spacing w:before="0" w:beforeAutospacing="0" w:after="0" w:afterAutospacing="0" w:line="600" w:lineRule="exact"/>
        <w:ind w:left="0" w:right="0"/>
        <w:jc w:val="center"/>
        <w:rPr>
          <w:rStyle w:val="8"/>
          <w:rFonts w:hint="eastAsia" w:ascii="Times New Roman" w:hAnsi="Times New Roman" w:eastAsia="方正大标宋简体" w:cs="Times New Roman"/>
          <w:b w:val="0"/>
          <w:bCs w:val="0"/>
          <w:kern w:val="0"/>
          <w:sz w:val="44"/>
          <w:szCs w:val="44"/>
          <w:lang w:bidi="ar-SA"/>
        </w:rPr>
      </w:pPr>
      <w:r>
        <w:rPr>
          <w:rStyle w:val="8"/>
          <w:rFonts w:hint="eastAsia" w:ascii="Times New Roman" w:hAnsi="Times New Roman" w:eastAsia="方正大标宋简体" w:cs="Times New Roman"/>
          <w:b w:val="0"/>
          <w:bCs w:val="0"/>
          <w:kern w:val="0"/>
          <w:sz w:val="44"/>
          <w:szCs w:val="44"/>
          <w:lang w:bidi="ar-SA"/>
        </w:rPr>
        <w:t>关于印发《</w:t>
      </w:r>
      <w:r>
        <w:rPr>
          <w:rStyle w:val="8"/>
          <w:rFonts w:hint="eastAsia" w:ascii="Times New Roman" w:hAnsi="Times New Roman" w:eastAsia="方正大标宋简体" w:cs="Times New Roman"/>
          <w:b w:val="0"/>
          <w:bCs w:val="0"/>
          <w:kern w:val="0"/>
          <w:sz w:val="44"/>
          <w:szCs w:val="44"/>
          <w:lang w:val="en-US" w:eastAsia="zh-CN" w:bidi="ar-SA"/>
        </w:rPr>
        <w:t>汶上县</w:t>
      </w:r>
      <w:r>
        <w:rPr>
          <w:rStyle w:val="8"/>
          <w:rFonts w:hint="eastAsia" w:ascii="Times New Roman" w:hAnsi="Times New Roman" w:eastAsia="方正大标宋简体" w:cs="Times New Roman"/>
          <w:b w:val="0"/>
          <w:bCs w:val="0"/>
          <w:kern w:val="0"/>
          <w:sz w:val="44"/>
          <w:szCs w:val="44"/>
          <w:lang w:bidi="ar-SA"/>
        </w:rPr>
        <w:t>定价项目清单》的通知</w:t>
      </w:r>
    </w:p>
    <w:p>
      <w:pPr>
        <w:pStyle w:val="5"/>
        <w:widowControl/>
        <w:adjustRightInd/>
        <w:snapToGrid/>
        <w:spacing w:before="0" w:beforeAutospacing="0" w:after="0" w:afterAutospacing="0" w:line="600" w:lineRule="exact"/>
        <w:ind w:left="0" w:right="0"/>
        <w:jc w:val="center"/>
        <w:rPr>
          <w:rStyle w:val="8"/>
          <w:rFonts w:hint="eastAsia" w:ascii="Times New Roman" w:hAnsi="Times New Roman" w:eastAsia="方正大标宋简体" w:cs="Times New Roman"/>
          <w:b w:val="0"/>
          <w:bCs w:val="0"/>
          <w:kern w:val="0"/>
          <w:sz w:val="44"/>
          <w:szCs w:val="44"/>
          <w:lang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简体" w:cs="Times New Roman"/>
          <w:kern w:val="0"/>
          <w:sz w:val="32"/>
          <w:szCs w:val="32"/>
          <w:lang w:val="en-US" w:eastAsia="zh-CN" w:bidi="ar-SA"/>
        </w:rPr>
      </w:pPr>
      <w:r>
        <w:rPr>
          <w:rFonts w:hint="eastAsia" w:ascii="Times New Roman" w:hAnsi="Times New Roman" w:eastAsia="方正仿宋简体" w:cs="Times New Roman"/>
          <w:kern w:val="0"/>
          <w:sz w:val="32"/>
          <w:szCs w:val="32"/>
          <w:lang w:val="en-US" w:eastAsia="zh-CN" w:bidi="ar-SA"/>
        </w:rPr>
        <w:t>为贯彻落实中央和省委关于价格机制改革的部署要求，进一步推进简政放权，发挥价格职能作用，促进全县新旧动能转换，根据《山东省发展和改革委员会关于公布&lt;山东省定价目录&gt;的通知》（鲁发改价格〔2020〕1361号）、《山东省发展和改革委员会关于明确&lt;山东省定价目录&gt;有关问题的通知》（鲁发改价格〔2021〕327号）、《济宁市发展和改革委员会关于印发&lt;济宁市定价项目清单&gt;的通知》（济发改价格〔2021〕215号），结合我县实际，制定《汶上县定价项目清单》，现予以公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简体" w:cs="Times New Roman"/>
          <w:kern w:val="0"/>
          <w:sz w:val="32"/>
          <w:szCs w:val="32"/>
          <w:lang w:val="en-US" w:eastAsia="zh-CN" w:bidi="ar-SA"/>
        </w:rPr>
      </w:pPr>
      <w:r>
        <w:rPr>
          <w:rFonts w:hint="eastAsia" w:ascii="Times New Roman" w:hAnsi="Times New Roman" w:eastAsia="方正仿宋简体" w:cs="Times New Roman"/>
          <w:kern w:val="0"/>
          <w:sz w:val="32"/>
          <w:szCs w:val="32"/>
          <w:lang w:val="en-US" w:eastAsia="zh-CN" w:bidi="ar-SA"/>
        </w:rPr>
        <w:t>《关于印发&lt;汶上县定价项目清单&gt;的通知》（汶价字〔2018〕16号）同时废止。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Times New Roman" w:hAnsi="Times New Roman" w:eastAsia="方正仿宋简体" w:cs="Times New Roman"/>
          <w:kern w:val="0"/>
          <w:sz w:val="32"/>
          <w:szCs w:val="32"/>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Times New Roman" w:hAnsi="Times New Roman" w:eastAsia="方正仿宋简体" w:cs="Times New Roman"/>
          <w:kern w:val="0"/>
          <w:sz w:val="32"/>
          <w:szCs w:val="32"/>
          <w:lang w:val="en-US" w:eastAsia="zh-CN" w:bidi="ar-SA"/>
        </w:rPr>
      </w:pPr>
      <w:r>
        <w:rPr>
          <w:rFonts w:hint="eastAsia" w:ascii="Times New Roman" w:hAnsi="Times New Roman" w:eastAsia="方正仿宋简体" w:cs="Times New Roman"/>
          <w:kern w:val="0"/>
          <w:sz w:val="32"/>
          <w:szCs w:val="32"/>
          <w:lang w:val="en-US" w:eastAsia="zh-CN" w:bidi="ar-SA"/>
        </w:rPr>
        <w:t>附件：汶上县定价项目清单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Times New Roman" w:hAnsi="Times New Roman" w:eastAsia="方正仿宋简体" w:cs="Times New Roman"/>
          <w:kern w:val="0"/>
          <w:sz w:val="32"/>
          <w:szCs w:val="32"/>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Times New Roman" w:hAnsi="Times New Roman" w:eastAsia="方正仿宋简体" w:cs="Times New Roman"/>
          <w:kern w:val="0"/>
          <w:sz w:val="32"/>
          <w:szCs w:val="32"/>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20"/>
        <w:jc w:val="right"/>
        <w:rPr>
          <w:rFonts w:hint="default" w:ascii="Times New Roman" w:hAnsi="Times New Roman" w:eastAsia="方正仿宋简体" w:cs="Times New Roman"/>
          <w:kern w:val="0"/>
          <w:sz w:val="32"/>
          <w:szCs w:val="32"/>
          <w:lang w:val="en-US" w:eastAsia="zh-CN" w:bidi="ar-SA"/>
        </w:rPr>
      </w:pPr>
      <w:r>
        <w:rPr>
          <w:rFonts w:hint="eastAsia" w:ascii="Times New Roman" w:hAnsi="Times New Roman" w:eastAsia="方正仿宋简体" w:cs="Times New Roman"/>
          <w:kern w:val="0"/>
          <w:sz w:val="32"/>
          <w:szCs w:val="32"/>
          <w:lang w:val="en-US" w:eastAsia="zh-CN" w:bidi="ar-SA"/>
        </w:rPr>
        <w:t xml:space="preserve">汶上县发展和改革局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20"/>
        <w:jc w:val="right"/>
        <w:rPr>
          <w:rFonts w:hint="eastAsia" w:ascii="Times New Roman" w:hAnsi="Times New Roman" w:eastAsia="方正仿宋简体" w:cs="Times New Roman"/>
          <w:kern w:val="0"/>
          <w:sz w:val="32"/>
          <w:szCs w:val="32"/>
          <w:lang w:val="en-US" w:eastAsia="zh-CN" w:bidi="ar-SA"/>
        </w:rPr>
      </w:pPr>
      <w:r>
        <w:rPr>
          <w:rFonts w:hint="eastAsia" w:ascii="Times New Roman" w:hAnsi="Times New Roman" w:eastAsia="方正仿宋简体" w:cs="Times New Roman"/>
          <w:kern w:val="0"/>
          <w:sz w:val="32"/>
          <w:szCs w:val="32"/>
          <w:lang w:val="en-US" w:eastAsia="zh-CN" w:bidi="ar-SA"/>
        </w:rPr>
        <w:t xml:space="preserve">2022年11月7日     </w:t>
      </w:r>
    </w:p>
    <w:p>
      <w:pPr>
        <w:rPr>
          <w:rFonts w:hint="eastAsia" w:ascii="Times New Roman" w:hAnsi="Times New Roman" w:eastAsia="方正仿宋简体" w:cs="Times New Roman"/>
          <w:kern w:val="0"/>
          <w:sz w:val="32"/>
          <w:szCs w:val="32"/>
          <w:lang w:val="en-US" w:eastAsia="zh-CN" w:bidi="ar-SA"/>
        </w:rPr>
      </w:pPr>
    </w:p>
    <w:p>
      <w:pPr>
        <w:rPr>
          <w:rFonts w:hint="eastAsia" w:ascii="Times New Roman" w:hAnsi="Times New Roman"/>
        </w:rPr>
      </w:pPr>
    </w:p>
    <w:p>
      <w:pPr>
        <w:rPr>
          <w:rFonts w:hint="eastAsia" w:ascii="Times New Roman" w:hAnsi="Times New Roman" w:eastAsia="黑体" w:cs="黑体"/>
          <w:bCs/>
          <w:color w:val="000000"/>
          <w:spacing w:val="-10"/>
          <w:sz w:val="32"/>
          <w:szCs w:val="32"/>
        </w:rPr>
        <w:sectPr>
          <w:footerReference r:id="rId3" w:type="default"/>
          <w:pgSz w:w="11906" w:h="16838"/>
          <w:pgMar w:top="1701" w:right="1474" w:bottom="1644" w:left="1474" w:header="851" w:footer="992" w:gutter="0"/>
          <w:pgNumType w:fmt="decimal"/>
          <w:cols w:space="425" w:num="1"/>
          <w:docGrid w:type="lines" w:linePitch="312" w:charSpace="0"/>
        </w:sectPr>
      </w:pPr>
      <w:r>
        <w:rPr>
          <w:rFonts w:hint="eastAsia" w:ascii="Times New Roman" w:hAnsi="Times New Roman" w:eastAsia="黑体" w:cs="黑体"/>
          <w:bCs/>
          <w:color w:val="000000"/>
          <w:spacing w:val="-10"/>
          <w:sz w:val="32"/>
          <w:szCs w:val="32"/>
        </w:rPr>
        <w:br w:type="page"/>
      </w:r>
    </w:p>
    <w:tbl>
      <w:tblPr>
        <w:tblStyle w:val="6"/>
        <w:tblW w:w="13995" w:type="dxa"/>
        <w:tblInd w:w="57" w:type="dxa"/>
        <w:tblLayout w:type="fixed"/>
        <w:tblCellMar>
          <w:top w:w="0" w:type="dxa"/>
          <w:left w:w="108" w:type="dxa"/>
          <w:bottom w:w="0" w:type="dxa"/>
          <w:right w:w="108" w:type="dxa"/>
        </w:tblCellMar>
      </w:tblPr>
      <w:tblGrid>
        <w:gridCol w:w="780"/>
        <w:gridCol w:w="775"/>
        <w:gridCol w:w="810"/>
        <w:gridCol w:w="3755"/>
        <w:gridCol w:w="1945"/>
        <w:gridCol w:w="5930"/>
      </w:tblGrid>
      <w:tr>
        <w:tblPrEx>
          <w:tblCellMar>
            <w:top w:w="0" w:type="dxa"/>
            <w:left w:w="108" w:type="dxa"/>
            <w:bottom w:w="0" w:type="dxa"/>
            <w:right w:w="108" w:type="dxa"/>
          </w:tblCellMar>
        </w:tblPrEx>
        <w:trPr>
          <w:trHeight w:val="549" w:hRule="atLeast"/>
        </w:trPr>
        <w:tc>
          <w:tcPr>
            <w:tcW w:w="13995" w:type="dxa"/>
            <w:gridSpan w:val="6"/>
            <w:tcBorders>
              <w:top w:val="nil"/>
              <w:left w:val="nil"/>
              <w:bottom w:val="nil"/>
              <w:right w:val="nil"/>
            </w:tcBorders>
            <w:shd w:val="clear" w:color="000000" w:fill="FFFFFF"/>
            <w:noWrap w:val="0"/>
            <w:vAlign w:val="center"/>
          </w:tcPr>
          <w:p>
            <w:pPr>
              <w:widowControl/>
              <w:tabs>
                <w:tab w:val="left" w:pos="13660"/>
              </w:tabs>
              <w:spacing w:line="240" w:lineRule="auto"/>
              <w:jc w:val="left"/>
              <w:rPr>
                <w:rFonts w:ascii="黑体" w:hAnsi="黑体" w:eastAsia="黑体" w:cs="宋体"/>
                <w:b w:val="0"/>
                <w:bCs w:val="0"/>
                <w:kern w:val="0"/>
              </w:rPr>
            </w:pPr>
            <w:r>
              <w:rPr>
                <w:rFonts w:hint="eastAsia" w:ascii="黑体" w:hAnsi="黑体" w:eastAsia="黑体" w:cs="宋体"/>
                <w:b w:val="0"/>
                <w:bCs w:val="0"/>
                <w:kern w:val="0"/>
                <w:sz w:val="32"/>
                <w:szCs w:val="40"/>
              </w:rPr>
              <w:t>附件</w:t>
            </w:r>
          </w:p>
        </w:tc>
      </w:tr>
      <w:tr>
        <w:tblPrEx>
          <w:tblCellMar>
            <w:top w:w="0" w:type="dxa"/>
            <w:left w:w="108" w:type="dxa"/>
            <w:bottom w:w="0" w:type="dxa"/>
            <w:right w:w="108" w:type="dxa"/>
          </w:tblCellMar>
        </w:tblPrEx>
        <w:trPr>
          <w:trHeight w:val="246" w:hRule="atLeast"/>
        </w:trPr>
        <w:tc>
          <w:tcPr>
            <w:tcW w:w="13995" w:type="dxa"/>
            <w:gridSpan w:val="6"/>
            <w:tcBorders>
              <w:top w:val="nil"/>
              <w:left w:val="nil"/>
              <w:bottom w:val="nil"/>
              <w:right w:val="nil"/>
            </w:tcBorders>
            <w:shd w:val="clear" w:color="000000" w:fill="FFFFFF"/>
            <w:noWrap w:val="0"/>
            <w:vAlign w:val="center"/>
          </w:tcPr>
          <w:p>
            <w:pPr>
              <w:widowControl/>
              <w:jc w:val="center"/>
              <w:rPr>
                <w:rFonts w:ascii="方正小标宋简体" w:hAnsi="宋体" w:eastAsia="方正小标宋简体" w:cs="宋体"/>
                <w:b w:val="0"/>
                <w:bCs w:val="0"/>
                <w:kern w:val="0"/>
                <w:sz w:val="40"/>
                <w:szCs w:val="40"/>
              </w:rPr>
            </w:pPr>
            <w:r>
              <w:rPr>
                <w:rFonts w:hint="eastAsia" w:ascii="方正小标宋简体" w:hAnsi="宋体" w:eastAsia="方正小标宋简体" w:cs="宋体"/>
                <w:b w:val="0"/>
                <w:bCs w:val="0"/>
                <w:kern w:val="0"/>
                <w:sz w:val="40"/>
                <w:szCs w:val="40"/>
              </w:rPr>
              <w:t>汶上县定价项目清单</w:t>
            </w:r>
          </w:p>
        </w:tc>
      </w:tr>
      <w:tr>
        <w:tblPrEx>
          <w:tblCellMar>
            <w:top w:w="0" w:type="dxa"/>
            <w:left w:w="108" w:type="dxa"/>
            <w:bottom w:w="0" w:type="dxa"/>
            <w:right w:w="108" w:type="dxa"/>
          </w:tblCellMar>
        </w:tblPrEx>
        <w:trPr>
          <w:trHeight w:val="680" w:hRule="atLeast"/>
        </w:trPr>
        <w:tc>
          <w:tcPr>
            <w:tcW w:w="7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黑体" w:hAnsi="黑体" w:eastAsia="黑体" w:cs="宋体"/>
                <w:b w:val="0"/>
                <w:bCs w:val="0"/>
                <w:kern w:val="0"/>
                <w:sz w:val="24"/>
                <w:szCs w:val="24"/>
              </w:rPr>
            </w:pPr>
            <w:r>
              <w:rPr>
                <w:rFonts w:hint="eastAsia" w:ascii="黑体" w:hAnsi="黑体" w:eastAsia="黑体" w:cs="宋体"/>
                <w:b w:val="0"/>
                <w:bCs w:val="0"/>
                <w:kern w:val="0"/>
                <w:sz w:val="21"/>
                <w:szCs w:val="21"/>
              </w:rPr>
              <w:t>序号</w:t>
            </w:r>
          </w:p>
        </w:tc>
        <w:tc>
          <w:tcPr>
            <w:tcW w:w="775"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黑体" w:hAnsi="黑体" w:eastAsia="黑体" w:cs="宋体"/>
                <w:b w:val="0"/>
                <w:bCs w:val="0"/>
                <w:kern w:val="0"/>
                <w:sz w:val="21"/>
                <w:szCs w:val="21"/>
              </w:rPr>
            </w:pPr>
            <w:r>
              <w:rPr>
                <w:rFonts w:hint="eastAsia" w:ascii="黑体" w:hAnsi="黑体" w:eastAsia="黑体" w:cs="宋体"/>
                <w:b w:val="0"/>
                <w:bCs w:val="0"/>
                <w:kern w:val="0"/>
                <w:sz w:val="21"/>
                <w:szCs w:val="21"/>
              </w:rPr>
              <w:t>项目</w:t>
            </w:r>
          </w:p>
        </w:tc>
        <w:tc>
          <w:tcPr>
            <w:tcW w:w="4565" w:type="dxa"/>
            <w:gridSpan w:val="2"/>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黑体" w:hAnsi="黑体" w:eastAsia="黑体" w:cs="宋体"/>
                <w:b w:val="0"/>
                <w:bCs w:val="0"/>
                <w:kern w:val="0"/>
                <w:sz w:val="24"/>
                <w:szCs w:val="24"/>
              </w:rPr>
            </w:pPr>
            <w:r>
              <w:rPr>
                <w:rFonts w:hint="eastAsia" w:ascii="黑体" w:hAnsi="黑体" w:eastAsia="黑体" w:cs="宋体"/>
                <w:b w:val="0"/>
                <w:bCs w:val="0"/>
                <w:kern w:val="0"/>
                <w:sz w:val="21"/>
                <w:szCs w:val="21"/>
              </w:rPr>
              <w:t>定价内容</w:t>
            </w:r>
          </w:p>
        </w:tc>
        <w:tc>
          <w:tcPr>
            <w:tcW w:w="1945"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黑体" w:hAnsi="黑体" w:eastAsia="黑体" w:cs="宋体"/>
                <w:b w:val="0"/>
                <w:bCs w:val="0"/>
                <w:kern w:val="0"/>
                <w:sz w:val="24"/>
                <w:szCs w:val="24"/>
              </w:rPr>
            </w:pPr>
            <w:r>
              <w:rPr>
                <w:rFonts w:hint="eastAsia" w:ascii="黑体" w:hAnsi="黑体" w:eastAsia="黑体" w:cs="宋体"/>
                <w:b w:val="0"/>
                <w:bCs w:val="0"/>
                <w:kern w:val="0"/>
                <w:sz w:val="21"/>
                <w:szCs w:val="21"/>
              </w:rPr>
              <w:t>定价部门</w:t>
            </w:r>
          </w:p>
        </w:tc>
        <w:tc>
          <w:tcPr>
            <w:tcW w:w="5930"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黑体" w:hAnsi="黑体" w:eastAsia="黑体" w:cs="宋体"/>
                <w:b w:val="0"/>
                <w:bCs w:val="0"/>
                <w:kern w:val="0"/>
                <w:sz w:val="24"/>
                <w:szCs w:val="24"/>
              </w:rPr>
            </w:pPr>
            <w:r>
              <w:rPr>
                <w:rFonts w:hint="eastAsia" w:ascii="黑体" w:hAnsi="黑体" w:eastAsia="黑体" w:cs="宋体"/>
                <w:b w:val="0"/>
                <w:bCs w:val="0"/>
                <w:kern w:val="0"/>
                <w:sz w:val="21"/>
                <w:szCs w:val="21"/>
              </w:rPr>
              <w:t>备  注</w:t>
            </w:r>
          </w:p>
        </w:tc>
      </w:tr>
      <w:tr>
        <w:tblPrEx>
          <w:tblCellMar>
            <w:top w:w="0" w:type="dxa"/>
            <w:left w:w="108" w:type="dxa"/>
            <w:bottom w:w="0" w:type="dxa"/>
            <w:right w:w="108" w:type="dxa"/>
          </w:tblCellMar>
        </w:tblPrEx>
        <w:trPr>
          <w:trHeight w:val="567" w:hRule="atLeast"/>
        </w:trPr>
        <w:tc>
          <w:tcPr>
            <w:tcW w:w="780"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1</w:t>
            </w:r>
          </w:p>
        </w:tc>
        <w:tc>
          <w:tcPr>
            <w:tcW w:w="775" w:type="dxa"/>
            <w:tcBorders>
              <w:top w:val="nil"/>
              <w:left w:val="single" w:color="auto" w:sz="4" w:space="0"/>
              <w:bottom w:val="single" w:color="auto" w:sz="4" w:space="0"/>
              <w:right w:val="single" w:color="auto" w:sz="4" w:space="0"/>
            </w:tcBorders>
            <w:shd w:val="clear" w:color="000000" w:fill="FFFFFF"/>
            <w:noWrap w:val="0"/>
            <w:vAlign w:val="center"/>
          </w:tcPr>
          <w:p>
            <w:pPr>
              <w:spacing w:line="240" w:lineRule="auto"/>
              <w:jc w:val="center"/>
              <w:rPr>
                <w:rFonts w:ascii="宋体" w:hAnsi="宋体" w:eastAsia="宋体" w:cs="宋体"/>
                <w:b w:val="0"/>
                <w:bCs w:val="0"/>
                <w:kern w:val="0"/>
                <w:sz w:val="21"/>
                <w:szCs w:val="21"/>
              </w:rPr>
            </w:pPr>
            <w:r>
              <w:rPr>
                <w:rFonts w:hint="eastAsia" w:ascii="Times New Roman" w:hAnsi="Times New Roman" w:eastAsia="方正仿宋简体" w:cs="Times New Roman"/>
                <w:b w:val="0"/>
                <w:bCs w:val="0"/>
                <w:kern w:val="0"/>
                <w:sz w:val="21"/>
                <w:szCs w:val="21"/>
                <w:lang w:val="en-US" w:eastAsia="zh-CN" w:bidi="ar-SA"/>
              </w:rPr>
              <w:t>燃气</w:t>
            </w:r>
          </w:p>
        </w:tc>
        <w:tc>
          <w:tcPr>
            <w:tcW w:w="4565" w:type="dxa"/>
            <w:gridSpan w:val="2"/>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县辖区内城镇管道燃气销售价格和配气价格</w:t>
            </w:r>
          </w:p>
        </w:tc>
        <w:tc>
          <w:tcPr>
            <w:tcW w:w="1945"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县价格主管部门</w:t>
            </w:r>
          </w:p>
        </w:tc>
        <w:tc>
          <w:tcPr>
            <w:tcW w:w="5930" w:type="dxa"/>
            <w:tcBorders>
              <w:top w:val="single" w:color="auto" w:sz="4" w:space="0"/>
              <w:left w:val="nil"/>
              <w:bottom w:val="single" w:color="auto" w:sz="4" w:space="0"/>
              <w:right w:val="single" w:color="auto" w:sz="4" w:space="0"/>
            </w:tcBorders>
            <w:shd w:val="clear" w:color="000000" w:fill="FFFFFF"/>
            <w:noWrap w:val="0"/>
            <w:vAlign w:val="center"/>
          </w:tcPr>
          <w:p>
            <w:pPr>
              <w:spacing w:line="240" w:lineRule="auto"/>
              <w:jc w:val="left"/>
              <w:rPr>
                <w:rFonts w:ascii="宋体" w:hAnsi="宋体" w:eastAsia="宋体" w:cs="宋体"/>
                <w:b w:val="0"/>
                <w:bCs w:val="0"/>
                <w:kern w:val="0"/>
                <w:sz w:val="21"/>
                <w:szCs w:val="21"/>
              </w:rPr>
            </w:pPr>
          </w:p>
        </w:tc>
      </w:tr>
      <w:tr>
        <w:tblPrEx>
          <w:tblCellMar>
            <w:top w:w="0" w:type="dxa"/>
            <w:left w:w="108" w:type="dxa"/>
            <w:bottom w:w="0" w:type="dxa"/>
            <w:right w:w="108" w:type="dxa"/>
          </w:tblCellMar>
        </w:tblPrEx>
        <w:trPr>
          <w:trHeight w:val="567" w:hRule="atLeast"/>
        </w:trPr>
        <w:tc>
          <w:tcPr>
            <w:tcW w:w="780" w:type="dxa"/>
            <w:vMerge w:val="restart"/>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2</w:t>
            </w:r>
          </w:p>
        </w:tc>
        <w:tc>
          <w:tcPr>
            <w:tcW w:w="775" w:type="dxa"/>
            <w:vMerge w:val="restart"/>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供水</w:t>
            </w:r>
          </w:p>
        </w:tc>
        <w:tc>
          <w:tcPr>
            <w:tcW w:w="4565"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县属水利工程的供水价格</w:t>
            </w:r>
          </w:p>
        </w:tc>
        <w:tc>
          <w:tcPr>
            <w:tcW w:w="1945"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县价格主管部门</w:t>
            </w:r>
          </w:p>
        </w:tc>
        <w:tc>
          <w:tcPr>
            <w:tcW w:w="59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水利工程由用户自建自用的和通过协议明确由供需双方协商定价的部分除外</w:t>
            </w:r>
          </w:p>
        </w:tc>
      </w:tr>
      <w:tr>
        <w:tblPrEx>
          <w:tblCellMar>
            <w:top w:w="0" w:type="dxa"/>
            <w:left w:w="108" w:type="dxa"/>
            <w:bottom w:w="0" w:type="dxa"/>
            <w:right w:w="108" w:type="dxa"/>
          </w:tblCellMar>
        </w:tblPrEx>
        <w:trPr>
          <w:trHeight w:val="567" w:hRule="atLeast"/>
        </w:trPr>
        <w:tc>
          <w:tcPr>
            <w:tcW w:w="7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b w:val="0"/>
                <w:bCs w:val="0"/>
                <w:kern w:val="0"/>
                <w:sz w:val="24"/>
                <w:szCs w:val="24"/>
              </w:rPr>
            </w:pPr>
          </w:p>
        </w:tc>
        <w:tc>
          <w:tcPr>
            <w:tcW w:w="77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b w:val="0"/>
                <w:bCs w:val="0"/>
                <w:kern w:val="0"/>
                <w:sz w:val="24"/>
                <w:szCs w:val="24"/>
              </w:rPr>
            </w:pPr>
          </w:p>
        </w:tc>
        <w:tc>
          <w:tcPr>
            <w:tcW w:w="4565" w:type="dxa"/>
            <w:gridSpan w:val="2"/>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县辖区内公共管网供应的自来水价格</w:t>
            </w:r>
          </w:p>
        </w:tc>
        <w:tc>
          <w:tcPr>
            <w:tcW w:w="1945"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县价格主管部门</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会同县水务部门</w:t>
            </w:r>
          </w:p>
        </w:tc>
        <w:tc>
          <w:tcPr>
            <w:tcW w:w="5930"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农村村民自建、自管的自来水价格除外</w:t>
            </w:r>
          </w:p>
        </w:tc>
      </w:tr>
      <w:tr>
        <w:tblPrEx>
          <w:tblCellMar>
            <w:top w:w="0" w:type="dxa"/>
            <w:left w:w="108" w:type="dxa"/>
            <w:bottom w:w="0" w:type="dxa"/>
            <w:right w:w="108" w:type="dxa"/>
          </w:tblCellMar>
        </w:tblPrEx>
        <w:trPr>
          <w:trHeight w:val="567" w:hRule="atLeast"/>
        </w:trPr>
        <w:tc>
          <w:tcPr>
            <w:tcW w:w="7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3</w:t>
            </w:r>
          </w:p>
        </w:tc>
        <w:tc>
          <w:tcPr>
            <w:tcW w:w="77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供热</w:t>
            </w:r>
          </w:p>
        </w:tc>
        <w:tc>
          <w:tcPr>
            <w:tcW w:w="4565" w:type="dxa"/>
            <w:gridSpan w:val="2"/>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县辖区内供热价格</w:t>
            </w:r>
          </w:p>
        </w:tc>
        <w:tc>
          <w:tcPr>
            <w:tcW w:w="1945"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县价格主管部门</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会同县住建部门</w:t>
            </w:r>
          </w:p>
        </w:tc>
        <w:tc>
          <w:tcPr>
            <w:tcW w:w="59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定价范围为辖区内集中供热企业，国家另有规定的除外</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4</w:t>
            </w:r>
          </w:p>
        </w:tc>
        <w:tc>
          <w:tcPr>
            <w:tcW w:w="775"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交通运输</w:t>
            </w:r>
          </w:p>
        </w:tc>
        <w:tc>
          <w:tcPr>
            <w:tcW w:w="8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道路客运价格</w:t>
            </w:r>
          </w:p>
        </w:tc>
        <w:tc>
          <w:tcPr>
            <w:tcW w:w="375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农村道路客运票价</w:t>
            </w:r>
          </w:p>
        </w:tc>
        <w:tc>
          <w:tcPr>
            <w:tcW w:w="1945" w:type="dxa"/>
            <w:vMerge w:val="restart"/>
            <w:tcBorders>
              <w:top w:val="single" w:color="auto" w:sz="4" w:space="0"/>
              <w:left w:val="nil"/>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县价格主管部门</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会同县交通运输</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主管部门</w:t>
            </w:r>
          </w:p>
        </w:tc>
        <w:tc>
          <w:tcPr>
            <w:tcW w:w="59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定价范围为县区域内有一端在乡镇的客运票价</w:t>
            </w:r>
          </w:p>
        </w:tc>
      </w:tr>
      <w:tr>
        <w:tblPrEx>
          <w:tblCellMar>
            <w:top w:w="0" w:type="dxa"/>
            <w:left w:w="108" w:type="dxa"/>
            <w:bottom w:w="0" w:type="dxa"/>
            <w:right w:w="108" w:type="dxa"/>
          </w:tblCellMar>
        </w:tblPrEx>
        <w:trPr>
          <w:trHeight w:val="572" w:hRule="atLeast"/>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ascii="宋体" w:hAnsi="宋体" w:eastAsia="宋体" w:cs="宋体"/>
                <w:b w:val="0"/>
                <w:bCs w:val="0"/>
                <w:kern w:val="0"/>
                <w:sz w:val="21"/>
                <w:szCs w:val="21"/>
              </w:rPr>
            </w:pPr>
          </w:p>
        </w:tc>
        <w:tc>
          <w:tcPr>
            <w:tcW w:w="77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ascii="宋体" w:hAnsi="宋体" w:eastAsia="宋体" w:cs="宋体"/>
                <w:b w:val="0"/>
                <w:bCs w:val="0"/>
                <w:kern w:val="0"/>
                <w:sz w:val="21"/>
                <w:szCs w:val="21"/>
              </w:rPr>
            </w:pPr>
          </w:p>
        </w:tc>
        <w:tc>
          <w:tcPr>
            <w:tcW w:w="810" w:type="dxa"/>
            <w:vMerge w:val="restart"/>
            <w:tcBorders>
              <w:top w:val="single" w:color="auto" w:sz="4" w:space="0"/>
              <w:left w:val="nil"/>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城市交通价格</w:t>
            </w:r>
          </w:p>
        </w:tc>
        <w:tc>
          <w:tcPr>
            <w:tcW w:w="375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县辖区内城市公交</w:t>
            </w:r>
          </w:p>
        </w:tc>
        <w:tc>
          <w:tcPr>
            <w:tcW w:w="1945" w:type="dxa"/>
            <w:vMerge w:val="continue"/>
            <w:tcBorders>
              <w:left w:val="nil"/>
              <w:right w:val="single" w:color="auto" w:sz="4" w:space="0"/>
            </w:tcBorders>
            <w:shd w:val="clear" w:color="000000" w:fill="FFFFFF"/>
            <w:noWrap w:val="0"/>
            <w:vAlign w:val="center"/>
          </w:tcPr>
          <w:p>
            <w:pPr>
              <w:spacing w:line="240" w:lineRule="auto"/>
              <w:jc w:val="center"/>
              <w:rPr>
                <w:rFonts w:ascii="宋体" w:hAnsi="宋体" w:eastAsia="宋体" w:cs="宋体"/>
                <w:b w:val="0"/>
                <w:bCs w:val="0"/>
                <w:kern w:val="0"/>
                <w:sz w:val="21"/>
                <w:szCs w:val="21"/>
              </w:rPr>
            </w:pPr>
          </w:p>
        </w:tc>
        <w:tc>
          <w:tcPr>
            <w:tcW w:w="5930"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定价范围为城市公交、城乡公交</w:t>
            </w: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b w:val="0"/>
                <w:bCs w:val="0"/>
                <w:kern w:val="0"/>
                <w:sz w:val="21"/>
                <w:szCs w:val="21"/>
              </w:rPr>
            </w:pPr>
          </w:p>
        </w:tc>
        <w:tc>
          <w:tcPr>
            <w:tcW w:w="77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b w:val="0"/>
                <w:bCs w:val="0"/>
                <w:kern w:val="0"/>
                <w:sz w:val="21"/>
                <w:szCs w:val="21"/>
              </w:rPr>
            </w:pPr>
          </w:p>
        </w:tc>
        <w:tc>
          <w:tcPr>
            <w:tcW w:w="810" w:type="dxa"/>
            <w:vMerge w:val="continue"/>
            <w:tcBorders>
              <w:left w:val="nil"/>
              <w:bottom w:val="single" w:color="auto" w:sz="4" w:space="0"/>
              <w:right w:val="single" w:color="auto" w:sz="4" w:space="0"/>
            </w:tcBorders>
            <w:shd w:val="clear" w:color="000000" w:fill="FFFFFF"/>
            <w:noWrap w:val="0"/>
            <w:vAlign w:val="center"/>
          </w:tcPr>
          <w:p>
            <w:pPr>
              <w:spacing w:line="240" w:lineRule="auto"/>
              <w:jc w:val="left"/>
              <w:rPr>
                <w:rFonts w:ascii="宋体" w:hAnsi="宋体" w:eastAsia="宋体" w:cs="宋体"/>
                <w:b w:val="0"/>
                <w:bCs w:val="0"/>
                <w:kern w:val="0"/>
                <w:sz w:val="21"/>
                <w:szCs w:val="21"/>
              </w:rPr>
            </w:pPr>
          </w:p>
        </w:tc>
        <w:tc>
          <w:tcPr>
            <w:tcW w:w="375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县辖区内客运出租车运价、燃油附加费标准</w:t>
            </w:r>
          </w:p>
        </w:tc>
        <w:tc>
          <w:tcPr>
            <w:tcW w:w="1945" w:type="dxa"/>
            <w:vMerge w:val="continue"/>
            <w:tcBorders>
              <w:left w:val="nil"/>
              <w:bottom w:val="single" w:color="auto" w:sz="4" w:space="0"/>
              <w:right w:val="single" w:color="auto" w:sz="4" w:space="0"/>
            </w:tcBorders>
            <w:shd w:val="clear" w:color="000000" w:fill="FFFFFF"/>
            <w:noWrap w:val="0"/>
            <w:vAlign w:val="center"/>
          </w:tcPr>
          <w:p>
            <w:pPr>
              <w:spacing w:line="240" w:lineRule="auto"/>
              <w:jc w:val="center"/>
              <w:rPr>
                <w:rFonts w:ascii="宋体" w:hAnsi="宋体" w:eastAsia="宋体" w:cs="宋体"/>
                <w:b w:val="0"/>
                <w:bCs w:val="0"/>
                <w:kern w:val="0"/>
                <w:sz w:val="21"/>
                <w:szCs w:val="21"/>
              </w:rPr>
            </w:pPr>
          </w:p>
        </w:tc>
        <w:tc>
          <w:tcPr>
            <w:tcW w:w="59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网络预约出租车除外</w:t>
            </w: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imes New Roman" w:hAnsi="Times New Roman" w:eastAsia="方正仿宋简体" w:cs="Times New Roman"/>
                <w:b w:val="0"/>
                <w:bCs w:val="0"/>
                <w:kern w:val="0"/>
                <w:sz w:val="21"/>
                <w:szCs w:val="21"/>
                <w:lang w:val="en-US" w:eastAsia="zh-CN" w:bidi="ar-SA"/>
              </w:rPr>
            </w:pPr>
          </w:p>
        </w:tc>
        <w:tc>
          <w:tcPr>
            <w:tcW w:w="77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imes New Roman" w:hAnsi="Times New Roman" w:eastAsia="方正仿宋简体" w:cs="Times New Roman"/>
                <w:b w:val="0"/>
                <w:bCs w:val="0"/>
                <w:kern w:val="0"/>
                <w:sz w:val="21"/>
                <w:szCs w:val="21"/>
                <w:lang w:val="en-US" w:eastAsia="zh-CN" w:bidi="ar-SA"/>
              </w:rPr>
            </w:pPr>
          </w:p>
        </w:tc>
        <w:tc>
          <w:tcPr>
            <w:tcW w:w="8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停车服务收费</w:t>
            </w:r>
          </w:p>
        </w:tc>
        <w:tc>
          <w:tcPr>
            <w:tcW w:w="375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县辖区内自然垄断经营和公益特征的机动车停放服务收费标准</w:t>
            </w:r>
          </w:p>
        </w:tc>
        <w:tc>
          <w:tcPr>
            <w:tcW w:w="1945"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县价格主管部门</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会同县有关部门</w:t>
            </w:r>
          </w:p>
        </w:tc>
        <w:tc>
          <w:tcPr>
            <w:tcW w:w="59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包括政府财政性资金、城市建设投资（交通投资）公司投资建设的公共停车场，城市道路临时停车泊位，体育文化场馆、景区、医疗机构等配套停车场，交通场站停车场，对外开放的机关事业单位停车场，以及事故停车场（因查封、扣押发生的保管费用按国家有关规定执行）等。</w:t>
            </w:r>
          </w:p>
        </w:tc>
      </w:tr>
    </w:tbl>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imes New Roman" w:hAnsi="Times New Roman" w:eastAsia="方正仿宋简体" w:cs="Times New Roman"/>
          <w:b/>
          <w:bCs/>
          <w:kern w:val="0"/>
          <w:sz w:val="21"/>
          <w:szCs w:val="21"/>
          <w:lang w:val="en-US" w:eastAsia="zh-CN" w:bidi="ar-SA"/>
        </w:rPr>
      </w:pPr>
      <w:r>
        <w:rPr>
          <w:rFonts w:hint="eastAsia" w:ascii="Times New Roman" w:hAnsi="Times New Roman" w:eastAsia="方正仿宋简体" w:cs="Times New Roman"/>
          <w:b/>
          <w:bCs/>
          <w:kern w:val="0"/>
          <w:sz w:val="21"/>
          <w:szCs w:val="21"/>
          <w:lang w:val="en-US" w:eastAsia="zh-CN" w:bidi="ar-SA"/>
        </w:rPr>
        <w:br w:type="page"/>
      </w:r>
    </w:p>
    <w:tbl>
      <w:tblPr>
        <w:tblStyle w:val="6"/>
        <w:tblW w:w="13995" w:type="dxa"/>
        <w:tblInd w:w="57" w:type="dxa"/>
        <w:tblLayout w:type="fixed"/>
        <w:tblCellMar>
          <w:top w:w="0" w:type="dxa"/>
          <w:left w:w="108" w:type="dxa"/>
          <w:bottom w:w="0" w:type="dxa"/>
          <w:right w:w="108" w:type="dxa"/>
        </w:tblCellMar>
      </w:tblPr>
      <w:tblGrid>
        <w:gridCol w:w="780"/>
        <w:gridCol w:w="775"/>
        <w:gridCol w:w="4645"/>
        <w:gridCol w:w="2180"/>
        <w:gridCol w:w="5615"/>
      </w:tblGrid>
      <w:tr>
        <w:tblPrEx>
          <w:tblCellMar>
            <w:top w:w="0" w:type="dxa"/>
            <w:left w:w="108" w:type="dxa"/>
            <w:bottom w:w="0" w:type="dxa"/>
            <w:right w:w="108" w:type="dxa"/>
          </w:tblCellMar>
        </w:tblPrEx>
        <w:trPr>
          <w:trHeight w:val="680" w:hRule="atLeast"/>
        </w:trPr>
        <w:tc>
          <w:tcPr>
            <w:tcW w:w="7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黑体" w:hAnsi="黑体" w:eastAsia="黑体" w:cs="宋体"/>
                <w:b w:val="0"/>
                <w:bCs w:val="0"/>
                <w:kern w:val="0"/>
                <w:sz w:val="21"/>
                <w:szCs w:val="21"/>
              </w:rPr>
            </w:pPr>
            <w:r>
              <w:rPr>
                <w:rFonts w:hint="eastAsia" w:ascii="黑体" w:hAnsi="黑体" w:eastAsia="黑体" w:cs="宋体"/>
                <w:b w:val="0"/>
                <w:bCs w:val="0"/>
                <w:kern w:val="0"/>
                <w:sz w:val="21"/>
                <w:szCs w:val="21"/>
              </w:rPr>
              <w:t>序号</w:t>
            </w:r>
          </w:p>
        </w:tc>
        <w:tc>
          <w:tcPr>
            <w:tcW w:w="775"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ascii="黑体" w:hAnsi="黑体" w:eastAsia="黑体" w:cs="宋体"/>
                <w:b w:val="0"/>
                <w:bCs w:val="0"/>
                <w:kern w:val="0"/>
                <w:sz w:val="21"/>
                <w:szCs w:val="21"/>
              </w:rPr>
            </w:pPr>
            <w:r>
              <w:rPr>
                <w:rFonts w:hint="eastAsia" w:ascii="黑体" w:hAnsi="黑体" w:eastAsia="黑体" w:cs="宋体"/>
                <w:b w:val="0"/>
                <w:bCs w:val="0"/>
                <w:kern w:val="0"/>
                <w:sz w:val="21"/>
                <w:szCs w:val="21"/>
              </w:rPr>
              <w:t>项目</w:t>
            </w:r>
          </w:p>
        </w:tc>
        <w:tc>
          <w:tcPr>
            <w:tcW w:w="4645"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ascii="黑体" w:hAnsi="黑体" w:eastAsia="黑体" w:cs="宋体"/>
                <w:b w:val="0"/>
                <w:bCs w:val="0"/>
                <w:kern w:val="0"/>
                <w:sz w:val="21"/>
                <w:szCs w:val="21"/>
              </w:rPr>
            </w:pPr>
            <w:r>
              <w:rPr>
                <w:rFonts w:hint="eastAsia" w:ascii="黑体" w:hAnsi="黑体" w:eastAsia="黑体" w:cs="宋体"/>
                <w:b w:val="0"/>
                <w:bCs w:val="0"/>
                <w:kern w:val="0"/>
                <w:sz w:val="21"/>
                <w:szCs w:val="21"/>
              </w:rPr>
              <w:t>定价内容</w:t>
            </w:r>
          </w:p>
        </w:tc>
        <w:tc>
          <w:tcPr>
            <w:tcW w:w="2180"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ascii="黑体" w:hAnsi="黑体" w:eastAsia="黑体" w:cs="宋体"/>
                <w:b w:val="0"/>
                <w:bCs w:val="0"/>
                <w:kern w:val="0"/>
                <w:sz w:val="21"/>
                <w:szCs w:val="21"/>
              </w:rPr>
            </w:pPr>
            <w:r>
              <w:rPr>
                <w:rFonts w:hint="eastAsia" w:ascii="黑体" w:hAnsi="黑体" w:eastAsia="黑体" w:cs="宋体"/>
                <w:b w:val="0"/>
                <w:bCs w:val="0"/>
                <w:kern w:val="0"/>
                <w:sz w:val="21"/>
                <w:szCs w:val="21"/>
              </w:rPr>
              <w:t>定价部门</w:t>
            </w:r>
          </w:p>
        </w:tc>
        <w:tc>
          <w:tcPr>
            <w:tcW w:w="5615"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ascii="黑体" w:hAnsi="黑体" w:eastAsia="黑体" w:cs="宋体"/>
                <w:b w:val="0"/>
                <w:bCs w:val="0"/>
                <w:kern w:val="0"/>
                <w:sz w:val="21"/>
                <w:szCs w:val="21"/>
              </w:rPr>
            </w:pPr>
            <w:r>
              <w:rPr>
                <w:rFonts w:hint="eastAsia" w:ascii="黑体" w:hAnsi="黑体" w:eastAsia="黑体" w:cs="宋体"/>
                <w:b w:val="0"/>
                <w:bCs w:val="0"/>
                <w:kern w:val="0"/>
                <w:sz w:val="21"/>
                <w:szCs w:val="21"/>
              </w:rPr>
              <w:t>备  注</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5</w:t>
            </w:r>
          </w:p>
        </w:tc>
        <w:tc>
          <w:tcPr>
            <w:tcW w:w="775" w:type="dxa"/>
            <w:vMerge w:val="restart"/>
            <w:tcBorders>
              <w:top w:val="single" w:color="auto" w:sz="4" w:space="0"/>
              <w:left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教育</w:t>
            </w:r>
          </w:p>
        </w:tc>
        <w:tc>
          <w:tcPr>
            <w:tcW w:w="464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县属公办、非营利性民办幼儿园保育教育费、住宿费标准</w:t>
            </w:r>
          </w:p>
        </w:tc>
        <w:tc>
          <w:tcPr>
            <w:tcW w:w="2180" w:type="dxa"/>
            <w:vMerge w:val="restart"/>
            <w:tcBorders>
              <w:top w:val="single" w:color="auto" w:sz="4" w:space="0"/>
              <w:left w:val="nil"/>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县价格主管部门</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会同县财政、教育</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部门</w:t>
            </w:r>
          </w:p>
        </w:tc>
        <w:tc>
          <w:tcPr>
            <w:tcW w:w="5615"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b w:val="0"/>
                <w:bCs w:val="0"/>
                <w:kern w:val="0"/>
                <w:sz w:val="24"/>
                <w:szCs w:val="24"/>
              </w:rPr>
            </w:pPr>
          </w:p>
        </w:tc>
        <w:tc>
          <w:tcPr>
            <w:tcW w:w="77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p>
        </w:tc>
        <w:tc>
          <w:tcPr>
            <w:tcW w:w="464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县属公办高中、公办中等及以下学历教育住宿费、部分服务性收费和代收费标准，非营利性民办中等及以下学历教育学费、住宿费标准</w:t>
            </w:r>
          </w:p>
        </w:tc>
        <w:tc>
          <w:tcPr>
            <w:tcW w:w="2180" w:type="dxa"/>
            <w:vMerge w:val="continue"/>
            <w:tcBorders>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p>
        </w:tc>
        <w:tc>
          <w:tcPr>
            <w:tcW w:w="5615"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其中非营利性民办中等及以下学历教育学费、住宿费，由价格主管部门会同相关部门可根据当地公办教育保障程度、民办学校发展等情况开展市场化改革试点。</w:t>
            </w: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6</w:t>
            </w:r>
          </w:p>
        </w:tc>
        <w:tc>
          <w:tcPr>
            <w:tcW w:w="775"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保障性住房及物业服务</w:t>
            </w:r>
          </w:p>
        </w:tc>
        <w:tc>
          <w:tcPr>
            <w:tcW w:w="464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县辖区内公共租赁住房租金标准</w:t>
            </w:r>
          </w:p>
        </w:tc>
        <w:tc>
          <w:tcPr>
            <w:tcW w:w="2180" w:type="dxa"/>
            <w:vMerge w:val="restart"/>
            <w:tcBorders>
              <w:top w:val="single" w:color="auto" w:sz="4" w:space="0"/>
              <w:left w:val="nil"/>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县价格主管部门</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会同县住房保障部门</w:t>
            </w:r>
          </w:p>
        </w:tc>
        <w:tc>
          <w:tcPr>
            <w:tcW w:w="5615"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p>
        </w:tc>
      </w:tr>
      <w:tr>
        <w:tblPrEx>
          <w:tblCellMar>
            <w:top w:w="0" w:type="dxa"/>
            <w:left w:w="108" w:type="dxa"/>
            <w:bottom w:w="0" w:type="dxa"/>
            <w:right w:w="108" w:type="dxa"/>
          </w:tblCellMar>
        </w:tblPrEx>
        <w:trPr>
          <w:trHeight w:val="567" w:hRule="atLeast"/>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imes New Roman" w:hAnsi="Times New Roman" w:eastAsia="方正仿宋简体" w:cs="Times New Roman"/>
                <w:b w:val="0"/>
                <w:bCs w:val="0"/>
                <w:kern w:val="0"/>
                <w:sz w:val="24"/>
                <w:szCs w:val="24"/>
                <w:lang w:val="en-US" w:eastAsia="zh-CN" w:bidi="ar-SA"/>
              </w:rPr>
            </w:pPr>
          </w:p>
        </w:tc>
        <w:tc>
          <w:tcPr>
            <w:tcW w:w="77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p>
        </w:tc>
        <w:tc>
          <w:tcPr>
            <w:tcW w:w="464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县辖区内普通住宅前期物业服务收费标准</w:t>
            </w:r>
          </w:p>
        </w:tc>
        <w:tc>
          <w:tcPr>
            <w:tcW w:w="2180" w:type="dxa"/>
            <w:vMerge w:val="continue"/>
            <w:tcBorders>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p>
        </w:tc>
        <w:tc>
          <w:tcPr>
            <w:tcW w:w="56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7</w:t>
            </w:r>
          </w:p>
        </w:tc>
        <w:tc>
          <w:tcPr>
            <w:tcW w:w="775" w:type="dxa"/>
            <w:vMerge w:val="restart"/>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环境保护</w:t>
            </w:r>
          </w:p>
        </w:tc>
        <w:tc>
          <w:tcPr>
            <w:tcW w:w="4645"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县辖区内生活垃圾处理收费标准</w:t>
            </w:r>
          </w:p>
        </w:tc>
        <w:tc>
          <w:tcPr>
            <w:tcW w:w="2180"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县人民政府</w:t>
            </w:r>
          </w:p>
        </w:tc>
        <w:tc>
          <w:tcPr>
            <w:tcW w:w="5615"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定价范围为日常生活中或者为日常生活提供服务的活动中产生的固体废物，以及法律、行政法规规定视为生活垃圾的固体废弃物（不包含建筑垃圾、工业固体废物和危险废物）。</w:t>
            </w:r>
          </w:p>
        </w:tc>
      </w:tr>
      <w:tr>
        <w:tblPrEx>
          <w:tblCellMar>
            <w:top w:w="0" w:type="dxa"/>
            <w:left w:w="108" w:type="dxa"/>
            <w:bottom w:w="0" w:type="dxa"/>
            <w:right w:w="108" w:type="dxa"/>
          </w:tblCellMar>
        </w:tblPrEx>
        <w:trPr>
          <w:trHeight w:val="567" w:hRule="atLeast"/>
        </w:trPr>
        <w:tc>
          <w:tcPr>
            <w:tcW w:w="7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b w:val="0"/>
                <w:bCs w:val="0"/>
                <w:kern w:val="0"/>
                <w:sz w:val="24"/>
                <w:szCs w:val="24"/>
              </w:rPr>
            </w:pPr>
          </w:p>
        </w:tc>
        <w:tc>
          <w:tcPr>
            <w:tcW w:w="775"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p>
        </w:tc>
        <w:tc>
          <w:tcPr>
            <w:tcW w:w="464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县辖区内污水处理收费标准</w:t>
            </w:r>
          </w:p>
        </w:tc>
        <w:tc>
          <w:tcPr>
            <w:tcW w:w="2180"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县价格主管部门</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会同县财政、县水务部门</w:t>
            </w:r>
          </w:p>
        </w:tc>
        <w:tc>
          <w:tcPr>
            <w:tcW w:w="56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p>
        </w:tc>
      </w:tr>
      <w:tr>
        <w:tblPrEx>
          <w:tblCellMar>
            <w:top w:w="0" w:type="dxa"/>
            <w:left w:w="108" w:type="dxa"/>
            <w:bottom w:w="0" w:type="dxa"/>
            <w:right w:w="108" w:type="dxa"/>
          </w:tblCellMar>
        </w:tblPrEx>
        <w:trPr>
          <w:trHeight w:val="567" w:hRule="atLeast"/>
        </w:trPr>
        <w:tc>
          <w:tcPr>
            <w:tcW w:w="780"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8</w:t>
            </w:r>
          </w:p>
        </w:tc>
        <w:tc>
          <w:tcPr>
            <w:tcW w:w="775"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文化旅游</w:t>
            </w:r>
          </w:p>
        </w:tc>
        <w:tc>
          <w:tcPr>
            <w:tcW w:w="464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县级利用公共资源建设的景区门票及景区内游览场所门票、交通服务价格</w:t>
            </w:r>
          </w:p>
        </w:tc>
        <w:tc>
          <w:tcPr>
            <w:tcW w:w="2180"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县价格主管部门</w:t>
            </w:r>
          </w:p>
        </w:tc>
        <w:tc>
          <w:tcPr>
            <w:tcW w:w="56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p>
        </w:tc>
      </w:tr>
      <w:tr>
        <w:tblPrEx>
          <w:tblCellMar>
            <w:top w:w="0" w:type="dxa"/>
            <w:left w:w="108" w:type="dxa"/>
            <w:bottom w:w="0" w:type="dxa"/>
            <w:right w:w="108" w:type="dxa"/>
          </w:tblCellMar>
        </w:tblPrEx>
        <w:trPr>
          <w:trHeight w:val="567" w:hRule="atLeast"/>
        </w:trPr>
        <w:tc>
          <w:tcPr>
            <w:tcW w:w="7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eastAsia="宋体" w:cs="宋体"/>
                <w:b w:val="0"/>
                <w:bCs w:val="0"/>
                <w:kern w:val="0"/>
                <w:sz w:val="24"/>
                <w:szCs w:val="24"/>
              </w:rPr>
            </w:pPr>
          </w:p>
        </w:tc>
        <w:tc>
          <w:tcPr>
            <w:tcW w:w="775"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p>
        </w:tc>
        <w:tc>
          <w:tcPr>
            <w:tcW w:w="464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县辖区内居民有线数字电视基本收视维护费标准</w:t>
            </w:r>
          </w:p>
        </w:tc>
        <w:tc>
          <w:tcPr>
            <w:tcW w:w="2180"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县价格主管部门</w:t>
            </w:r>
          </w:p>
        </w:tc>
        <w:tc>
          <w:tcPr>
            <w:tcW w:w="56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p>
        </w:tc>
      </w:tr>
      <w:tr>
        <w:tblPrEx>
          <w:tblCellMar>
            <w:top w:w="0" w:type="dxa"/>
            <w:left w:w="108" w:type="dxa"/>
            <w:bottom w:w="0" w:type="dxa"/>
            <w:right w:w="108" w:type="dxa"/>
          </w:tblCellMar>
        </w:tblPrEx>
        <w:trPr>
          <w:trHeight w:val="567" w:hRule="atLeast"/>
        </w:trPr>
        <w:tc>
          <w:tcPr>
            <w:tcW w:w="7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9</w:t>
            </w:r>
          </w:p>
        </w:tc>
        <w:tc>
          <w:tcPr>
            <w:tcW w:w="77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养老服务</w:t>
            </w:r>
          </w:p>
        </w:tc>
        <w:tc>
          <w:tcPr>
            <w:tcW w:w="464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县级及以下政府运营的养老机构服务收费标准</w:t>
            </w:r>
          </w:p>
        </w:tc>
        <w:tc>
          <w:tcPr>
            <w:tcW w:w="2180"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县价格主管部门</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会同县民政部门</w:t>
            </w:r>
          </w:p>
        </w:tc>
        <w:tc>
          <w:tcPr>
            <w:tcW w:w="56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p>
        </w:tc>
      </w:tr>
      <w:tr>
        <w:tblPrEx>
          <w:tblCellMar>
            <w:top w:w="0" w:type="dxa"/>
            <w:left w:w="108" w:type="dxa"/>
            <w:bottom w:w="0" w:type="dxa"/>
            <w:right w:w="108" w:type="dxa"/>
          </w:tblCellMar>
        </w:tblPrEx>
        <w:trPr>
          <w:trHeight w:val="567" w:hRule="atLeast"/>
        </w:trPr>
        <w:tc>
          <w:tcPr>
            <w:tcW w:w="7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10</w:t>
            </w:r>
          </w:p>
        </w:tc>
        <w:tc>
          <w:tcPr>
            <w:tcW w:w="77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殡葬</w:t>
            </w:r>
            <w:bookmarkStart w:id="0" w:name="_GoBack"/>
            <w:bookmarkEnd w:id="0"/>
            <w:r>
              <w:rPr>
                <w:rFonts w:hint="eastAsia" w:ascii="Times New Roman" w:hAnsi="Times New Roman" w:eastAsia="方正仿宋简体" w:cs="Times New Roman"/>
                <w:b w:val="0"/>
                <w:bCs w:val="0"/>
                <w:kern w:val="0"/>
                <w:sz w:val="21"/>
                <w:szCs w:val="21"/>
                <w:lang w:val="en-US" w:eastAsia="zh-CN" w:bidi="ar-SA"/>
              </w:rPr>
              <w:t>服务</w:t>
            </w:r>
          </w:p>
        </w:tc>
        <w:tc>
          <w:tcPr>
            <w:tcW w:w="4645"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县级殡葬服务机构提供的基本服务收费、公墓维护管理费标准及公益性公墓价格</w:t>
            </w:r>
          </w:p>
        </w:tc>
        <w:tc>
          <w:tcPr>
            <w:tcW w:w="2180"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县价格主管部门</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会同县财政、民政</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部门</w:t>
            </w:r>
          </w:p>
        </w:tc>
        <w:tc>
          <w:tcPr>
            <w:tcW w:w="5615"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imes New Roman" w:hAnsi="Times New Roman" w:eastAsia="方正仿宋简体" w:cs="Times New Roman"/>
                <w:b w:val="0"/>
                <w:bCs w:val="0"/>
                <w:kern w:val="0"/>
                <w:sz w:val="21"/>
                <w:szCs w:val="21"/>
                <w:lang w:val="en-US" w:eastAsia="zh-CN" w:bidi="ar-SA"/>
              </w:rPr>
            </w:pPr>
            <w:r>
              <w:rPr>
                <w:rFonts w:hint="eastAsia" w:ascii="Times New Roman" w:hAnsi="Times New Roman" w:eastAsia="方正仿宋简体" w:cs="Times New Roman"/>
                <w:b w:val="0"/>
                <w:bCs w:val="0"/>
                <w:kern w:val="0"/>
                <w:sz w:val="21"/>
                <w:szCs w:val="21"/>
                <w:lang w:val="en-US" w:eastAsia="zh-CN" w:bidi="ar-SA"/>
              </w:rPr>
              <w:t>基本服务收费定价范围为遗体接运（含抬尸、消毒）、存放（含冷藏）、火化、骨灰寄存。</w:t>
            </w:r>
          </w:p>
        </w:tc>
      </w:tr>
    </w:tbl>
    <w:p>
      <w:pPr>
        <w:spacing w:line="540" w:lineRule="exact"/>
        <w:rPr>
          <w:color w:val="000000"/>
        </w:rPr>
        <w:sectPr>
          <w:pgSz w:w="16838" w:h="11906" w:orient="landscape"/>
          <w:pgMar w:top="1474" w:right="1474" w:bottom="1474" w:left="1474" w:header="851" w:footer="992" w:gutter="0"/>
          <w:pgNumType w:fmt="decimal"/>
          <w:cols w:space="425" w:num="1"/>
          <w:docGrid w:type="lines" w:linePitch="312" w:charSpace="0"/>
        </w:sectPr>
      </w:pPr>
    </w:p>
    <w:p>
      <w:pPr>
        <w:widowControl/>
        <w:adjustRightInd w:val="0"/>
        <w:snapToGrid w:val="0"/>
        <w:spacing w:after="0" w:line="600" w:lineRule="exact"/>
        <w:jc w:val="both"/>
        <w:rPr>
          <w:rFonts w:hint="eastAsia"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说明：</w:t>
      </w:r>
    </w:p>
    <w:p>
      <w:pPr>
        <w:widowControl/>
        <w:adjustRightInd w:val="0"/>
        <w:snapToGrid w:val="0"/>
        <w:spacing w:after="0" w:line="600" w:lineRule="exact"/>
        <w:ind w:firstLine="640" w:firstLineChars="200"/>
        <w:jc w:val="both"/>
        <w:rPr>
          <w:rFonts w:hint="eastAsia" w:ascii="Times New Roman" w:hAnsi="Times New Roman" w:eastAsia="方正仿宋简体" w:cs="Times New Roman"/>
          <w:kern w:val="0"/>
          <w:sz w:val="32"/>
          <w:szCs w:val="32"/>
          <w:lang w:eastAsia="zh-CN"/>
        </w:rPr>
      </w:pPr>
      <w:r>
        <w:rPr>
          <w:rFonts w:hint="eastAsia" w:ascii="Times New Roman" w:hAnsi="Times New Roman" w:eastAsia="方正仿宋简体" w:cs="Times New Roman"/>
          <w:kern w:val="0"/>
          <w:sz w:val="32"/>
          <w:szCs w:val="32"/>
        </w:rPr>
        <w:t>1.本定价项目清单均为省授权县人民政府制定的定价项目，不包含中央、省、市定价项目内容，在汶上县凡涉及中央、省、市定价的定价项目、定价内容一律按中央、省定价目录及市定价清单执行</w:t>
      </w:r>
      <w:r>
        <w:rPr>
          <w:rFonts w:hint="eastAsia" w:ascii="Times New Roman" w:hAnsi="Times New Roman" w:eastAsia="方正仿宋简体" w:cs="Times New Roman"/>
          <w:kern w:val="0"/>
          <w:sz w:val="32"/>
          <w:szCs w:val="32"/>
          <w:lang w:eastAsia="zh-CN"/>
        </w:rPr>
        <w:t>。</w:t>
      </w:r>
    </w:p>
    <w:p>
      <w:pPr>
        <w:widowControl/>
        <w:adjustRightInd w:val="0"/>
        <w:snapToGrid w:val="0"/>
        <w:spacing w:after="0" w:line="600" w:lineRule="exact"/>
        <w:ind w:firstLine="640" w:firstLineChars="200"/>
        <w:jc w:val="both"/>
        <w:rPr>
          <w:rFonts w:hint="default"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rPr>
        <w:t>2.列入本定价项目清单的定价内容，包括定价项目的具体价格、收费标准、基准价及浮动幅度以及相关的定价机制、办法、规则等</w:t>
      </w:r>
      <w:r>
        <w:rPr>
          <w:rFonts w:hint="eastAsia" w:ascii="Times New Roman" w:hAnsi="Times New Roman" w:eastAsia="方正仿宋简体" w:cs="Times New Roman"/>
          <w:kern w:val="0"/>
          <w:sz w:val="32"/>
          <w:szCs w:val="32"/>
          <w:lang w:eastAsia="zh-CN"/>
        </w:rPr>
        <w:t>。</w:t>
      </w:r>
      <w:r>
        <w:rPr>
          <w:rFonts w:hint="eastAsia" w:ascii="Times New Roman" w:hAnsi="Times New Roman" w:eastAsia="方正仿宋简体" w:cs="Times New Roman"/>
          <w:kern w:val="0"/>
          <w:sz w:val="32"/>
          <w:szCs w:val="32"/>
          <w:lang w:val="en-US" w:eastAsia="zh-CN"/>
        </w:rPr>
        <w:t>对涉及民生的价格和收费，充分考虑社会承受能力，进行合理监管，保障困难群众生活。</w:t>
      </w:r>
    </w:p>
    <w:p>
      <w:pPr>
        <w:widowControl/>
        <w:adjustRightInd w:val="0"/>
        <w:snapToGrid w:val="0"/>
        <w:spacing w:after="0" w:line="600" w:lineRule="exact"/>
        <w:ind w:firstLine="640" w:firstLineChars="200"/>
        <w:jc w:val="both"/>
        <w:rPr>
          <w:rFonts w:hint="default"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rPr>
        <w:t>3.法律、行政法规明确规定实行政府定价、政府指导价的项目，自动进入本定价项目清单；法律、行政法规</w:t>
      </w:r>
      <w:r>
        <w:rPr>
          <w:rFonts w:hint="eastAsia" w:ascii="Times New Roman" w:hAnsi="Times New Roman" w:eastAsia="方正仿宋简体" w:cs="Times New Roman"/>
          <w:kern w:val="0"/>
          <w:sz w:val="32"/>
          <w:szCs w:val="32"/>
          <w:lang w:val="en-US" w:eastAsia="zh-CN"/>
        </w:rPr>
        <w:t>明确</w:t>
      </w:r>
      <w:r>
        <w:rPr>
          <w:rFonts w:hint="eastAsia" w:ascii="Times New Roman" w:hAnsi="Times New Roman" w:eastAsia="方正仿宋简体" w:cs="Times New Roman"/>
          <w:kern w:val="0"/>
          <w:sz w:val="32"/>
          <w:szCs w:val="32"/>
        </w:rPr>
        <w:t>规定实行市场调节价的项目，自动退出本</w:t>
      </w:r>
      <w:r>
        <w:rPr>
          <w:rFonts w:hint="eastAsia" w:ascii="Times New Roman" w:hAnsi="Times New Roman" w:eastAsia="方正仿宋简体" w:cs="Times New Roman"/>
          <w:kern w:val="0"/>
          <w:sz w:val="32"/>
          <w:szCs w:val="32"/>
          <w:lang w:val="en-US" w:eastAsia="zh-CN"/>
        </w:rPr>
        <w:t>定价</w:t>
      </w:r>
      <w:r>
        <w:rPr>
          <w:rFonts w:hint="eastAsia" w:ascii="Times New Roman" w:hAnsi="Times New Roman" w:eastAsia="方正仿宋简体" w:cs="Times New Roman"/>
          <w:kern w:val="0"/>
          <w:sz w:val="32"/>
          <w:szCs w:val="32"/>
        </w:rPr>
        <w:t>清单</w:t>
      </w:r>
      <w:r>
        <w:rPr>
          <w:rFonts w:hint="eastAsia" w:ascii="Times New Roman" w:hAnsi="Times New Roman" w:eastAsia="方正仿宋简体" w:cs="Times New Roman"/>
          <w:kern w:val="0"/>
          <w:sz w:val="32"/>
          <w:szCs w:val="32"/>
          <w:lang w:eastAsia="zh-CN"/>
        </w:rPr>
        <w:t>。</w:t>
      </w:r>
      <w:r>
        <w:rPr>
          <w:rFonts w:hint="eastAsia" w:ascii="Times New Roman" w:hAnsi="Times New Roman" w:eastAsia="方正仿宋简体" w:cs="Times New Roman"/>
          <w:kern w:val="0"/>
          <w:sz w:val="32"/>
          <w:szCs w:val="32"/>
          <w:lang w:val="en-US" w:eastAsia="zh-CN"/>
        </w:rPr>
        <w:t>根据价格领域简政放权、放管结合、优化服务等改革进展，定期修订本清单。</w:t>
      </w:r>
    </w:p>
    <w:p>
      <w:pPr>
        <w:widowControl/>
        <w:adjustRightInd w:val="0"/>
        <w:snapToGrid w:val="0"/>
        <w:spacing w:after="0" w:line="600" w:lineRule="exact"/>
        <w:ind w:firstLine="640" w:firstLineChars="200"/>
        <w:jc w:val="both"/>
        <w:rPr>
          <w:rFonts w:hint="eastAsia" w:ascii="Times New Roman" w:hAnsi="Times New Roman" w:eastAsia="方正仿宋简体" w:cs="Times New Roman"/>
          <w:kern w:val="0"/>
          <w:sz w:val="32"/>
          <w:szCs w:val="32"/>
          <w:lang w:eastAsia="zh-CN"/>
        </w:rPr>
      </w:pPr>
      <w:r>
        <w:rPr>
          <w:rFonts w:hint="eastAsia" w:ascii="Times New Roman" w:hAnsi="Times New Roman" w:eastAsia="方正仿宋简体" w:cs="Times New Roman"/>
          <w:kern w:val="0"/>
          <w:sz w:val="32"/>
          <w:szCs w:val="32"/>
        </w:rPr>
        <w:t>4.省授权县人民政府制定在本地区执行的政府定价、政府指导价，由县级政府价格主管部门负责具体工作</w:t>
      </w:r>
      <w:r>
        <w:rPr>
          <w:rFonts w:hint="eastAsia" w:ascii="Times New Roman" w:hAnsi="Times New Roman" w:eastAsia="方正仿宋简体" w:cs="Times New Roman"/>
          <w:kern w:val="0"/>
          <w:sz w:val="32"/>
          <w:szCs w:val="32"/>
          <w:lang w:eastAsia="zh-CN"/>
        </w:rPr>
        <w:t>。</w:t>
      </w:r>
    </w:p>
    <w:p>
      <w:pPr>
        <w:widowControl/>
        <w:adjustRightInd w:val="0"/>
        <w:snapToGrid w:val="0"/>
        <w:spacing w:after="0" w:line="600" w:lineRule="exact"/>
        <w:ind w:firstLine="640" w:firstLineChars="200"/>
        <w:jc w:val="both"/>
        <w:rPr>
          <w:rFonts w:hint="eastAsia" w:ascii="Times New Roman" w:hAnsi="Times New Roman" w:eastAsia="方正仿宋简体" w:cs="Times New Roman"/>
          <w:kern w:val="0"/>
          <w:sz w:val="32"/>
          <w:szCs w:val="32"/>
          <w:lang w:val="en-US" w:eastAsia="zh-CN"/>
        </w:rPr>
        <w:sectPr>
          <w:pgSz w:w="11906" w:h="16838"/>
          <w:pgMar w:top="1701" w:right="1474" w:bottom="1644" w:left="1474" w:header="851" w:footer="992" w:gutter="0"/>
          <w:pgNumType w:fmt="decimal"/>
          <w:cols w:space="425" w:num="1"/>
          <w:docGrid w:type="lines" w:linePitch="312" w:charSpace="0"/>
        </w:sectPr>
      </w:pPr>
      <w:r>
        <w:rPr>
          <w:rFonts w:hint="eastAsia" w:ascii="Times New Roman" w:hAnsi="Times New Roman" w:eastAsia="方正仿宋简体" w:cs="Times New Roman"/>
          <w:kern w:val="0"/>
          <w:sz w:val="32"/>
          <w:szCs w:val="32"/>
        </w:rPr>
        <w:t>5.行政事业性收费</w:t>
      </w:r>
      <w:r>
        <w:rPr>
          <w:rFonts w:hint="eastAsia" w:ascii="Times New Roman" w:hAnsi="Times New Roman" w:eastAsia="方正仿宋简体" w:cs="Times New Roman"/>
          <w:kern w:val="0"/>
          <w:sz w:val="32"/>
          <w:szCs w:val="32"/>
          <w:lang w:val="en-US" w:eastAsia="zh-CN"/>
        </w:rPr>
        <w:t>项目和标准的审批为政府内部审批事项，继续按现行办法管理。</w:t>
      </w: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tbl>
      <w:tblPr>
        <w:tblStyle w:val="6"/>
        <w:tblpPr w:leftFromText="181" w:rightFromText="181" w:vertAnchor="page" w:horzAnchor="page" w:tblpXSpec="center" w:tblpY="14422"/>
        <w:tblOverlap w:val="never"/>
        <w:tblW w:w="8610"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1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610" w:type="dxa"/>
            <w:tcBorders>
              <w:top w:val="single" w:color="auto" w:sz="4" w:space="0"/>
            </w:tcBorders>
            <w:noWrap w:val="0"/>
            <w:vAlign w:val="top"/>
          </w:tcPr>
          <w:p>
            <w:pPr>
              <w:tabs>
                <w:tab w:val="left" w:pos="3060"/>
              </w:tabs>
              <w:spacing w:line="600" w:lineRule="exact"/>
              <w:jc w:val="left"/>
              <w:rPr>
                <w:rFonts w:ascii="Times New Roman" w:hAnsi="Times New Roman" w:eastAsia="仿宋_GB2312" w:cs="Arial"/>
                <w:color w:val="000000"/>
                <w:sz w:val="32"/>
                <w:szCs w:val="32"/>
              </w:rPr>
            </w:pPr>
            <w:r>
              <w:rPr>
                <w:rFonts w:hint="eastAsia" w:ascii="Times New Roman" w:hAnsi="Times New Roman" w:eastAsia="方正仿宋简体"/>
                <w:sz w:val="32"/>
                <w:szCs w:val="32"/>
              </w:rPr>
              <w:t xml:space="preserve">汶上县发展和改革局办公室      </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 xml:space="preserve"> 202</w:t>
            </w:r>
            <w:r>
              <w:rPr>
                <w:rFonts w:hint="eastAsia" w:ascii="Times New Roman" w:hAnsi="Times New Roman" w:eastAsia="方正仿宋简体"/>
                <w:sz w:val="32"/>
                <w:szCs w:val="32"/>
                <w:lang w:val="en-US" w:eastAsia="zh-CN"/>
              </w:rPr>
              <w:t>2</w:t>
            </w:r>
            <w:r>
              <w:rPr>
                <w:rFonts w:hint="eastAsia" w:ascii="Times New Roman" w:hAnsi="Times New Roman" w:eastAsia="方正仿宋简体"/>
                <w:sz w:val="32"/>
                <w:szCs w:val="32"/>
              </w:rPr>
              <w:t>年</w:t>
            </w:r>
            <w:r>
              <w:rPr>
                <w:rFonts w:hint="eastAsia" w:ascii="Times New Roman" w:hAnsi="Times New Roman" w:eastAsia="方正仿宋简体"/>
                <w:sz w:val="32"/>
                <w:szCs w:val="32"/>
                <w:lang w:val="en-US" w:eastAsia="zh-CN"/>
              </w:rPr>
              <w:t>1</w:t>
            </w:r>
            <w:r>
              <w:rPr>
                <w:rFonts w:hint="eastAsia" w:ascii="Times New Roman" w:hAnsi="Times New Roman" w:eastAsia="方正仿宋简体"/>
                <w:sz w:val="32"/>
                <w:szCs w:val="32"/>
              </w:rPr>
              <w:t>1月</w:t>
            </w:r>
            <w:r>
              <w:rPr>
                <w:rFonts w:hint="eastAsia" w:ascii="Times New Roman" w:hAnsi="Times New Roman" w:eastAsia="方正仿宋简体"/>
                <w:sz w:val="32"/>
                <w:szCs w:val="32"/>
                <w:lang w:val="en-US" w:eastAsia="zh-CN"/>
              </w:rPr>
              <w:t>7</w:t>
            </w:r>
            <w:r>
              <w:rPr>
                <w:rFonts w:hint="eastAsia" w:ascii="Times New Roman" w:hAnsi="Times New Roman" w:eastAsia="方正仿宋简体"/>
                <w:sz w:val="32"/>
                <w:szCs w:val="32"/>
              </w:rPr>
              <w:t>日印发</w:t>
            </w:r>
          </w:p>
        </w:tc>
      </w:tr>
    </w:tbl>
    <w:p>
      <w:pPr>
        <w:pStyle w:val="2"/>
        <w:tabs>
          <w:tab w:val="left" w:pos="618"/>
        </w:tabs>
        <w:rPr>
          <w:rFonts w:hint="eastAsia" w:eastAsiaTheme="minorEastAsia"/>
          <w:lang w:eastAsia="zh-CN"/>
        </w:rPr>
      </w:pPr>
    </w:p>
    <w:p>
      <w:pPr>
        <w:widowControl/>
        <w:spacing w:line="440" w:lineRule="exact"/>
        <w:ind w:firstLine="300" w:firstLineChars="100"/>
        <w:jc w:val="left"/>
        <w:rPr>
          <w:rFonts w:hint="eastAsia" w:ascii="Times New Roman" w:hAnsi="Times New Roman" w:eastAsia="黑体" w:cs="黑体"/>
          <w:bCs/>
          <w:color w:val="000000"/>
          <w:spacing w:val="-10"/>
          <w:sz w:val="32"/>
          <w:szCs w:val="32"/>
        </w:rPr>
      </w:pPr>
    </w:p>
    <w:p>
      <w:pPr>
        <w:widowControl/>
        <w:spacing w:line="440" w:lineRule="exact"/>
        <w:ind w:firstLine="300" w:firstLineChars="100"/>
        <w:jc w:val="left"/>
        <w:rPr>
          <w:rFonts w:hint="eastAsia" w:ascii="Times New Roman" w:hAnsi="Times New Roman" w:eastAsia="黑体" w:cs="黑体"/>
          <w:bCs/>
          <w:color w:val="000000"/>
          <w:spacing w:val="-10"/>
          <w:sz w:val="32"/>
          <w:szCs w:val="32"/>
        </w:rPr>
      </w:pPr>
    </w:p>
    <w:p>
      <w:pPr>
        <w:widowControl/>
        <w:spacing w:line="440" w:lineRule="exact"/>
        <w:ind w:firstLine="300" w:firstLineChars="100"/>
        <w:jc w:val="left"/>
        <w:rPr>
          <w:rFonts w:hint="eastAsia" w:ascii="Times New Roman" w:hAnsi="Times New Roman" w:eastAsia="黑体" w:cs="黑体"/>
          <w:bCs/>
          <w:color w:val="000000"/>
          <w:spacing w:val="-10"/>
          <w:sz w:val="32"/>
          <w:szCs w:val="32"/>
        </w:rPr>
      </w:pPr>
    </w:p>
    <w:p>
      <w:pPr>
        <w:widowControl/>
        <w:spacing w:line="440" w:lineRule="exact"/>
        <w:jc w:val="left"/>
        <w:rPr>
          <w:rFonts w:hint="eastAsia" w:ascii="Times New Roman" w:hAnsi="Times New Roman" w:eastAsia="黑体" w:cs="黑体"/>
          <w:bCs/>
          <w:color w:val="000000"/>
          <w:spacing w:val="-10"/>
          <w:sz w:val="32"/>
          <w:szCs w:val="32"/>
        </w:rPr>
      </w:pPr>
    </w:p>
    <w:p>
      <w:pPr>
        <w:pStyle w:val="2"/>
        <w:rPr>
          <w:rFonts w:hint="eastAsia" w:ascii="Times New Roman" w:hAnsi="Times New Roman" w:eastAsia="黑体" w:cs="黑体"/>
          <w:bCs/>
          <w:color w:val="000000"/>
          <w:spacing w:val="-10"/>
          <w:sz w:val="32"/>
          <w:szCs w:val="32"/>
        </w:rPr>
      </w:pPr>
    </w:p>
    <w:p>
      <w:pPr>
        <w:pStyle w:val="2"/>
        <w:rPr>
          <w:rFonts w:hint="eastAsia" w:ascii="Times New Roman" w:hAnsi="Times New Roman" w:eastAsia="黑体" w:cs="黑体"/>
          <w:bCs/>
          <w:color w:val="000000"/>
          <w:spacing w:val="-10"/>
          <w:sz w:val="32"/>
          <w:szCs w:val="32"/>
        </w:rPr>
      </w:pPr>
    </w:p>
    <w:p>
      <w:pPr>
        <w:pStyle w:val="2"/>
        <w:rPr>
          <w:rFonts w:hint="eastAsia" w:ascii="Times New Roman" w:hAnsi="Times New Roman" w:eastAsia="黑体" w:cs="黑体"/>
          <w:bCs/>
          <w:color w:val="000000"/>
          <w:spacing w:val="-10"/>
          <w:sz w:val="32"/>
          <w:szCs w:val="32"/>
        </w:rPr>
      </w:pPr>
    </w:p>
    <w:p>
      <w:pPr>
        <w:pStyle w:val="2"/>
        <w:rPr>
          <w:rFonts w:hint="eastAsia" w:ascii="Times New Roman" w:hAnsi="Times New Roman" w:eastAsia="黑体" w:cs="黑体"/>
          <w:bCs/>
          <w:color w:val="000000"/>
          <w:spacing w:val="-10"/>
          <w:sz w:val="32"/>
          <w:szCs w:val="32"/>
        </w:rPr>
      </w:pPr>
    </w:p>
    <w:p>
      <w:pPr>
        <w:pStyle w:val="2"/>
        <w:rPr>
          <w:rFonts w:hint="eastAsia" w:ascii="Times New Roman" w:hAnsi="Times New Roman" w:eastAsia="黑体" w:cs="黑体"/>
          <w:bCs/>
          <w:color w:val="000000"/>
          <w:spacing w:val="-10"/>
          <w:sz w:val="32"/>
          <w:szCs w:val="32"/>
        </w:rPr>
      </w:pPr>
    </w:p>
    <w:p>
      <w:pPr>
        <w:pStyle w:val="2"/>
        <w:rPr>
          <w:rFonts w:hint="eastAsia" w:ascii="Times New Roman" w:hAnsi="Times New Roman" w:eastAsia="黑体" w:cs="黑体"/>
          <w:bCs/>
          <w:color w:val="000000"/>
          <w:spacing w:val="-10"/>
          <w:sz w:val="32"/>
          <w:szCs w:val="32"/>
        </w:rPr>
      </w:pPr>
    </w:p>
    <w:p>
      <w:pPr>
        <w:pStyle w:val="2"/>
        <w:rPr>
          <w:rFonts w:hint="eastAsia" w:ascii="Times New Roman" w:hAnsi="Times New Roman" w:eastAsia="黑体" w:cs="黑体"/>
          <w:bCs/>
          <w:color w:val="000000"/>
          <w:spacing w:val="-10"/>
          <w:sz w:val="32"/>
          <w:szCs w:val="32"/>
        </w:rPr>
      </w:pPr>
    </w:p>
    <w:p>
      <w:pPr>
        <w:pStyle w:val="2"/>
        <w:rPr>
          <w:rFonts w:hint="eastAsia" w:ascii="Times New Roman" w:hAnsi="Times New Roman" w:eastAsia="黑体" w:cs="黑体"/>
          <w:bCs/>
          <w:color w:val="000000"/>
          <w:spacing w:val="-10"/>
          <w:sz w:val="32"/>
          <w:szCs w:val="32"/>
        </w:rPr>
      </w:pPr>
    </w:p>
    <w:p>
      <w:pPr>
        <w:pStyle w:val="2"/>
        <w:rPr>
          <w:rFonts w:hint="eastAsia" w:ascii="Times New Roman" w:hAnsi="Times New Roman" w:eastAsia="黑体" w:cs="黑体"/>
          <w:bCs/>
          <w:color w:val="000000"/>
          <w:spacing w:val="-10"/>
          <w:sz w:val="32"/>
          <w:szCs w:val="32"/>
        </w:rPr>
      </w:pPr>
    </w:p>
    <w:p>
      <w:pPr>
        <w:pStyle w:val="2"/>
        <w:rPr>
          <w:rFonts w:hint="eastAsia" w:ascii="Times New Roman" w:hAnsi="Times New Roman" w:eastAsia="黑体" w:cs="黑体"/>
          <w:bCs/>
          <w:color w:val="000000"/>
          <w:spacing w:val="-10"/>
          <w:sz w:val="32"/>
          <w:szCs w:val="32"/>
        </w:rPr>
      </w:pPr>
    </w:p>
    <w:p>
      <w:pPr>
        <w:pStyle w:val="2"/>
        <w:rPr>
          <w:rFonts w:hint="eastAsia" w:ascii="Times New Roman" w:hAnsi="Times New Roman" w:eastAsia="黑体" w:cs="黑体"/>
          <w:bCs/>
          <w:color w:val="000000"/>
          <w:spacing w:val="-10"/>
          <w:sz w:val="32"/>
          <w:szCs w:val="32"/>
        </w:rPr>
      </w:pPr>
    </w:p>
    <w:p>
      <w:pPr>
        <w:pStyle w:val="2"/>
        <w:rPr>
          <w:rFonts w:hint="eastAsia" w:ascii="Times New Roman" w:hAnsi="Times New Roman" w:eastAsia="黑体" w:cs="黑体"/>
          <w:bCs/>
          <w:color w:val="000000"/>
          <w:spacing w:val="-10"/>
          <w:sz w:val="32"/>
          <w:szCs w:val="32"/>
        </w:rPr>
      </w:pPr>
    </w:p>
    <w:p>
      <w:pPr>
        <w:pStyle w:val="2"/>
        <w:rPr>
          <w:rFonts w:hint="eastAsia" w:ascii="Times New Roman" w:hAnsi="Times New Roman" w:eastAsia="黑体" w:cs="黑体"/>
          <w:bCs/>
          <w:color w:val="000000"/>
          <w:spacing w:val="-10"/>
          <w:sz w:val="32"/>
          <w:szCs w:val="32"/>
        </w:rPr>
      </w:pPr>
    </w:p>
    <w:p>
      <w:pPr>
        <w:widowControl/>
        <w:spacing w:line="440" w:lineRule="exact"/>
        <w:jc w:val="left"/>
        <w:rPr>
          <w:rFonts w:hint="eastAsia" w:ascii="Times New Roman" w:hAnsi="Times New Roman" w:eastAsia="黑体" w:cs="黑体"/>
          <w:bCs/>
          <w:color w:val="000000"/>
          <w:spacing w:val="-10"/>
          <w:sz w:val="32"/>
          <w:szCs w:val="32"/>
        </w:rPr>
      </w:pPr>
    </w:p>
    <w:p>
      <w:pPr>
        <w:widowControl/>
        <w:spacing w:line="440" w:lineRule="exact"/>
        <w:ind w:firstLine="300" w:firstLineChars="100"/>
        <w:jc w:val="left"/>
      </w:pPr>
      <w:r>
        <w:rPr>
          <w:rFonts w:hint="eastAsia" w:ascii="Times New Roman" w:hAnsi="Times New Roman" w:eastAsia="黑体" w:cs="黑体"/>
          <w:bCs/>
          <w:color w:val="000000"/>
          <w:spacing w:val="-10"/>
          <w:sz w:val="32"/>
          <w:szCs w:val="32"/>
        </w:rPr>
        <w:t>信息公开选项：主动公开</w:t>
      </w:r>
    </w:p>
    <w:sectPr>
      <w:pgSz w:w="11906" w:h="16838"/>
      <w:pgMar w:top="1701" w:right="1474" w:bottom="164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文星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heme="majorEastAsia" w:hAnsiTheme="majorEastAsia" w:eastAsiaTheme="majorEastAsia" w:cstheme="maj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25B3A"/>
    <w:rsid w:val="035A08AD"/>
    <w:rsid w:val="037253BD"/>
    <w:rsid w:val="03B43161"/>
    <w:rsid w:val="04E722CE"/>
    <w:rsid w:val="052D1963"/>
    <w:rsid w:val="0592128C"/>
    <w:rsid w:val="05E1058C"/>
    <w:rsid w:val="065A50A6"/>
    <w:rsid w:val="06867D24"/>
    <w:rsid w:val="0983123E"/>
    <w:rsid w:val="09935EBB"/>
    <w:rsid w:val="0BBE104F"/>
    <w:rsid w:val="0BD70322"/>
    <w:rsid w:val="0CA67C69"/>
    <w:rsid w:val="0CBD28C4"/>
    <w:rsid w:val="0D097A7F"/>
    <w:rsid w:val="0E1B7CC2"/>
    <w:rsid w:val="0E7538E3"/>
    <w:rsid w:val="0E9D0CF6"/>
    <w:rsid w:val="0FAB6CC5"/>
    <w:rsid w:val="107460BA"/>
    <w:rsid w:val="10CC6974"/>
    <w:rsid w:val="11184E5C"/>
    <w:rsid w:val="1216284E"/>
    <w:rsid w:val="12C366E0"/>
    <w:rsid w:val="13EF3C81"/>
    <w:rsid w:val="15340B64"/>
    <w:rsid w:val="15FC0D2E"/>
    <w:rsid w:val="162E7D5B"/>
    <w:rsid w:val="166C33DF"/>
    <w:rsid w:val="17227D53"/>
    <w:rsid w:val="173827F3"/>
    <w:rsid w:val="176C481B"/>
    <w:rsid w:val="185E11E4"/>
    <w:rsid w:val="190634E3"/>
    <w:rsid w:val="190756A6"/>
    <w:rsid w:val="1A8A04AB"/>
    <w:rsid w:val="1B7D1A87"/>
    <w:rsid w:val="1BC35290"/>
    <w:rsid w:val="1CC8039D"/>
    <w:rsid w:val="1E807BE6"/>
    <w:rsid w:val="1F6C369C"/>
    <w:rsid w:val="20555483"/>
    <w:rsid w:val="20B87942"/>
    <w:rsid w:val="20C31901"/>
    <w:rsid w:val="250A2A3C"/>
    <w:rsid w:val="25503821"/>
    <w:rsid w:val="26EC5E09"/>
    <w:rsid w:val="273F01C1"/>
    <w:rsid w:val="27785F3B"/>
    <w:rsid w:val="27894884"/>
    <w:rsid w:val="28FC12A2"/>
    <w:rsid w:val="290043B4"/>
    <w:rsid w:val="299873BD"/>
    <w:rsid w:val="29F86FA6"/>
    <w:rsid w:val="2A607C5B"/>
    <w:rsid w:val="2B40248F"/>
    <w:rsid w:val="2BE109FE"/>
    <w:rsid w:val="2C0B1919"/>
    <w:rsid w:val="2CAE21B9"/>
    <w:rsid w:val="2D8866D9"/>
    <w:rsid w:val="2DA13496"/>
    <w:rsid w:val="2E0B4652"/>
    <w:rsid w:val="2E3B2D08"/>
    <w:rsid w:val="2F32547D"/>
    <w:rsid w:val="2F5F554C"/>
    <w:rsid w:val="325204B6"/>
    <w:rsid w:val="327707AF"/>
    <w:rsid w:val="328C12C4"/>
    <w:rsid w:val="33DA3A8B"/>
    <w:rsid w:val="36A81A42"/>
    <w:rsid w:val="36B925D5"/>
    <w:rsid w:val="383759F6"/>
    <w:rsid w:val="39FB2C37"/>
    <w:rsid w:val="3A346021"/>
    <w:rsid w:val="3C3317CE"/>
    <w:rsid w:val="3D037B61"/>
    <w:rsid w:val="3FB500DC"/>
    <w:rsid w:val="41B16206"/>
    <w:rsid w:val="42E62EC7"/>
    <w:rsid w:val="431D581D"/>
    <w:rsid w:val="44100F69"/>
    <w:rsid w:val="4572367F"/>
    <w:rsid w:val="45A406A8"/>
    <w:rsid w:val="468D35C8"/>
    <w:rsid w:val="487746D9"/>
    <w:rsid w:val="49672950"/>
    <w:rsid w:val="496B34B0"/>
    <w:rsid w:val="4A080A19"/>
    <w:rsid w:val="4B316292"/>
    <w:rsid w:val="4B5F611B"/>
    <w:rsid w:val="4B9D57F1"/>
    <w:rsid w:val="4BC53524"/>
    <w:rsid w:val="4BFB5794"/>
    <w:rsid w:val="4C405AE0"/>
    <w:rsid w:val="4C424FCE"/>
    <w:rsid w:val="4D367E57"/>
    <w:rsid w:val="4E2164B0"/>
    <w:rsid w:val="4E4F7AFF"/>
    <w:rsid w:val="4E695497"/>
    <w:rsid w:val="4F0228DF"/>
    <w:rsid w:val="500614B4"/>
    <w:rsid w:val="509A0969"/>
    <w:rsid w:val="510B3C28"/>
    <w:rsid w:val="525C5A98"/>
    <w:rsid w:val="541951B6"/>
    <w:rsid w:val="54CF46FA"/>
    <w:rsid w:val="55EF26DD"/>
    <w:rsid w:val="56F936B8"/>
    <w:rsid w:val="571F5A2B"/>
    <w:rsid w:val="57EC79F8"/>
    <w:rsid w:val="593800D9"/>
    <w:rsid w:val="596B4698"/>
    <w:rsid w:val="59CE3E62"/>
    <w:rsid w:val="5B754135"/>
    <w:rsid w:val="5BAA4401"/>
    <w:rsid w:val="5BAA7D66"/>
    <w:rsid w:val="5E2C3BAB"/>
    <w:rsid w:val="605A7D13"/>
    <w:rsid w:val="608702A0"/>
    <w:rsid w:val="610E5DEC"/>
    <w:rsid w:val="614618B3"/>
    <w:rsid w:val="64B26601"/>
    <w:rsid w:val="64B91108"/>
    <w:rsid w:val="6587178D"/>
    <w:rsid w:val="659F5964"/>
    <w:rsid w:val="67833CF7"/>
    <w:rsid w:val="67B475C8"/>
    <w:rsid w:val="67EA605D"/>
    <w:rsid w:val="6A7E6CDE"/>
    <w:rsid w:val="6AE737DA"/>
    <w:rsid w:val="6B120A15"/>
    <w:rsid w:val="6B3F670D"/>
    <w:rsid w:val="6B6D086A"/>
    <w:rsid w:val="6BA41A9D"/>
    <w:rsid w:val="6CE24842"/>
    <w:rsid w:val="6D245A9C"/>
    <w:rsid w:val="6D3E720C"/>
    <w:rsid w:val="6DE7163C"/>
    <w:rsid w:val="6DF208EC"/>
    <w:rsid w:val="6F933870"/>
    <w:rsid w:val="70995258"/>
    <w:rsid w:val="714C7C84"/>
    <w:rsid w:val="719339B8"/>
    <w:rsid w:val="71B57140"/>
    <w:rsid w:val="720C6E11"/>
    <w:rsid w:val="72D45768"/>
    <w:rsid w:val="72DF401B"/>
    <w:rsid w:val="72FB047E"/>
    <w:rsid w:val="73B85E43"/>
    <w:rsid w:val="755B3208"/>
    <w:rsid w:val="769571CB"/>
    <w:rsid w:val="76A6260C"/>
    <w:rsid w:val="77A7703A"/>
    <w:rsid w:val="789B73E5"/>
    <w:rsid w:val="78A77D4D"/>
    <w:rsid w:val="79342FB4"/>
    <w:rsid w:val="7A217462"/>
    <w:rsid w:val="7C130892"/>
    <w:rsid w:val="7C7B2AC1"/>
    <w:rsid w:val="7CB21563"/>
    <w:rsid w:val="7CE56A75"/>
    <w:rsid w:val="7F6D6C70"/>
    <w:rsid w:val="7FF80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uiPriority w:val="99"/>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bCs/>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2022-11-03T01:39:00Z</dcterms:created>
  <dc:creator>Lenovo</dc:creator>
  <cp:lastModifiedBy>Lenovo</cp:lastModifiedBy>
  <cp:lastPrinted>2022-11-09T06:37:11Z</cp:lastPrinted>
  <dcterms:modified xsi:type="dcterms:W3CDTF">2022-11-09T07:07:32Z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