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11B84F">
      <w:pPr>
        <w:rPr>
          <w:rFonts w:hint="eastAsia" w:ascii="仿宋" w:hAnsi="仿宋" w:eastAsia="仿宋"/>
          <w:sz w:val="32"/>
          <w:szCs w:val="32"/>
        </w:rPr>
      </w:pPr>
      <w:r>
        <w:rPr>
          <w:rFonts w:hint="eastAsia" w:ascii="仿宋" w:hAnsi="仿宋" w:eastAsia="仿宋"/>
          <w:sz w:val="32"/>
          <w:szCs w:val="32"/>
        </w:rPr>
        <w:t>附件1</w:t>
      </w:r>
    </w:p>
    <w:p w14:paraId="76DE416B">
      <w:r>
        <w:rPr>
          <w:rFonts w:hint="eastAsia"/>
        </w:rPr>
        <w:t xml:space="preserve"> </w:t>
      </w:r>
    </w:p>
    <w:p w14:paraId="2E8249D4">
      <w:pPr>
        <w:jc w:val="center"/>
        <w:rPr>
          <w:rFonts w:ascii="黑体" w:hAnsi="黑体" w:eastAsia="黑体"/>
          <w:sz w:val="44"/>
          <w:szCs w:val="44"/>
        </w:rPr>
      </w:pPr>
      <w:r>
        <w:rPr>
          <w:rFonts w:hint="eastAsia" w:ascii="黑体" w:hAnsi="黑体" w:eastAsia="黑体"/>
          <w:sz w:val="44"/>
          <w:szCs w:val="44"/>
        </w:rPr>
        <w:t>汶上街道重污染天气应急预案</w:t>
      </w:r>
    </w:p>
    <w:p w14:paraId="7FD8990F">
      <w:pPr>
        <w:jc w:val="center"/>
        <w:rPr>
          <w:rFonts w:hint="eastAsia" w:ascii="黑体" w:hAnsi="黑体" w:eastAsia="黑体"/>
          <w:sz w:val="44"/>
          <w:szCs w:val="44"/>
        </w:rPr>
      </w:pPr>
      <w:r>
        <w:rPr>
          <w:rFonts w:hint="eastAsia" w:ascii="黑体" w:hAnsi="黑体" w:eastAsia="黑体"/>
          <w:sz w:val="44"/>
          <w:szCs w:val="44"/>
        </w:rPr>
        <w:t>应急措施</w:t>
      </w:r>
    </w:p>
    <w:p w14:paraId="7DFD8270"/>
    <w:p w14:paraId="6F119996">
      <w:pPr>
        <w:ind w:firstLine="640" w:firstLineChars="200"/>
        <w:rPr>
          <w:rFonts w:ascii="仿宋" w:hAnsi="仿宋" w:eastAsia="仿宋"/>
          <w:sz w:val="32"/>
          <w:szCs w:val="32"/>
        </w:rPr>
      </w:pPr>
      <w:r>
        <w:rPr>
          <w:rFonts w:hint="eastAsia" w:ascii="仿宋" w:hAnsi="仿宋" w:eastAsia="仿宋"/>
          <w:sz w:val="32"/>
          <w:szCs w:val="32"/>
        </w:rPr>
        <w:t>一、应急响应分级。</w:t>
      </w:r>
    </w:p>
    <w:p w14:paraId="5F1AEC50">
      <w:pPr>
        <w:ind w:firstLine="640" w:firstLineChars="200"/>
        <w:rPr>
          <w:rFonts w:hint="eastAsia" w:ascii="仿宋" w:hAnsi="仿宋" w:eastAsia="仿宋"/>
          <w:sz w:val="32"/>
          <w:szCs w:val="32"/>
        </w:rPr>
      </w:pPr>
      <w:r>
        <w:rPr>
          <w:rFonts w:hint="eastAsia" w:ascii="仿宋" w:hAnsi="仿宋" w:eastAsia="仿宋"/>
          <w:sz w:val="32"/>
          <w:szCs w:val="32"/>
        </w:rPr>
        <w:t>对应预警分级，将应急响应分为三个等级，由低到高依次为Ⅲ级应急响应、Ⅱ级应急响应、Ⅰ级应急响应。</w:t>
      </w:r>
    </w:p>
    <w:p w14:paraId="6BB80158">
      <w:pPr>
        <w:ind w:firstLine="640" w:firstLineChars="200"/>
        <w:rPr>
          <w:rFonts w:hint="eastAsia" w:ascii="仿宋" w:hAnsi="仿宋" w:eastAsia="仿宋"/>
          <w:sz w:val="32"/>
          <w:szCs w:val="32"/>
        </w:rPr>
      </w:pPr>
      <w:r>
        <w:rPr>
          <w:rFonts w:hint="eastAsia" w:ascii="仿宋" w:hAnsi="仿宋" w:eastAsia="仿宋"/>
          <w:sz w:val="32"/>
          <w:szCs w:val="32"/>
        </w:rPr>
        <w:t>1.当发布黄色预警时，启动Ⅲ级应急响应。</w:t>
      </w:r>
    </w:p>
    <w:p w14:paraId="53A9E86A">
      <w:pPr>
        <w:ind w:firstLine="640" w:firstLineChars="200"/>
        <w:rPr>
          <w:rFonts w:hint="eastAsia" w:ascii="仿宋" w:hAnsi="仿宋" w:eastAsia="仿宋"/>
          <w:sz w:val="32"/>
          <w:szCs w:val="32"/>
        </w:rPr>
      </w:pPr>
      <w:r>
        <w:rPr>
          <w:rFonts w:hint="eastAsia" w:ascii="仿宋" w:hAnsi="仿宋" w:eastAsia="仿宋"/>
          <w:sz w:val="32"/>
          <w:szCs w:val="32"/>
        </w:rPr>
        <w:t>2.当发布橙色预警时，启</w:t>
      </w:r>
      <w:bookmarkStart w:id="0" w:name="_GoBack"/>
      <w:bookmarkEnd w:id="0"/>
      <w:r>
        <w:rPr>
          <w:rFonts w:hint="eastAsia" w:ascii="仿宋" w:hAnsi="仿宋" w:eastAsia="仿宋"/>
          <w:sz w:val="32"/>
          <w:szCs w:val="32"/>
        </w:rPr>
        <w:t>动Ⅱ级应急响应。</w:t>
      </w:r>
    </w:p>
    <w:p w14:paraId="719391FD">
      <w:pPr>
        <w:ind w:firstLine="640" w:firstLineChars="200"/>
        <w:rPr>
          <w:rFonts w:hint="eastAsia" w:ascii="仿宋" w:hAnsi="仿宋" w:eastAsia="仿宋"/>
          <w:sz w:val="32"/>
          <w:szCs w:val="32"/>
        </w:rPr>
      </w:pPr>
      <w:r>
        <w:rPr>
          <w:rFonts w:hint="eastAsia" w:ascii="仿宋" w:hAnsi="仿宋" w:eastAsia="仿宋"/>
          <w:sz w:val="32"/>
          <w:szCs w:val="32"/>
        </w:rPr>
        <w:t>3.当发布红色预警时，启动Ⅰ级应急响应。</w:t>
      </w:r>
    </w:p>
    <w:p w14:paraId="2E87677C">
      <w:pPr>
        <w:ind w:firstLine="640" w:firstLineChars="200"/>
        <w:rPr>
          <w:rFonts w:hint="eastAsia" w:ascii="仿宋" w:hAnsi="仿宋" w:eastAsia="仿宋"/>
          <w:sz w:val="32"/>
          <w:szCs w:val="32"/>
        </w:rPr>
      </w:pPr>
      <w:r>
        <w:rPr>
          <w:rFonts w:hint="eastAsia" w:ascii="仿宋" w:hAnsi="仿宋" w:eastAsia="仿宋"/>
          <w:sz w:val="32"/>
          <w:szCs w:val="32"/>
        </w:rPr>
        <w:t>二、应急响应措施。</w:t>
      </w:r>
    </w:p>
    <w:p w14:paraId="7067FAB1">
      <w:pPr>
        <w:ind w:firstLine="640" w:firstLineChars="200"/>
        <w:rPr>
          <w:rFonts w:hint="eastAsia" w:ascii="仿宋" w:hAnsi="仿宋" w:eastAsia="仿宋"/>
          <w:sz w:val="32"/>
          <w:szCs w:val="32"/>
        </w:rPr>
      </w:pPr>
      <w:r>
        <w:rPr>
          <w:rFonts w:hint="eastAsia" w:ascii="仿宋" w:hAnsi="仿宋" w:eastAsia="仿宋"/>
          <w:sz w:val="32"/>
          <w:szCs w:val="32"/>
        </w:rPr>
        <w:t>1. 实行差异化应急管控。为进一步突出精准治污、科学治污、依法治污，更好保障公众身体健康，积极应对重污染天气，对重点行业工业企业实行绩效分级和差异化管控，对涉及民生需求的工业企业、重点建设工程实行应急保障。</w:t>
      </w:r>
    </w:p>
    <w:p w14:paraId="401B3F14">
      <w:pPr>
        <w:ind w:firstLine="640" w:firstLineChars="200"/>
        <w:rPr>
          <w:rFonts w:hint="eastAsia" w:ascii="仿宋" w:hAnsi="仿宋" w:eastAsia="仿宋"/>
          <w:sz w:val="32"/>
          <w:szCs w:val="32"/>
        </w:rPr>
      </w:pPr>
      <w:r>
        <w:rPr>
          <w:rFonts w:hint="eastAsia" w:ascii="仿宋" w:hAnsi="仿宋" w:eastAsia="仿宋"/>
          <w:sz w:val="32"/>
          <w:szCs w:val="32"/>
        </w:rPr>
        <w:t>（1）重点行业工业企业。依据生态环境部办公厅印发的《重污染天气重点行业应急减排措施制定技术指南（2020年修订版）》（环办大气函〔2020〕340号，以下简称《指南》）和《〈重污染天气重点行业绩效分级及减排措施〉补充说明》（环办便函〔2021〕341号），各县（市、区）持续对重点行业企业开展绩效分级，按照A、B、C、D四个等级和引领性、非引领性企业标准，在重污染天气期间实施差异化管控。评为A级和引领性的企业，可自主采取减排措施；B级及以下企业和非引领性企业，减排力度应不低于《指南》要求。县应急指挥部可根据环境空气质量改善需求和实际污染状况，制定更为严格的减排措施。规范企业绩效分级工作程序，确保绩效分级结果公开公平公正。</w:t>
      </w:r>
    </w:p>
    <w:p w14:paraId="2B8895BF">
      <w:pPr>
        <w:ind w:firstLine="640" w:firstLineChars="200"/>
        <w:rPr>
          <w:rFonts w:hint="eastAsia" w:ascii="仿宋" w:hAnsi="仿宋" w:eastAsia="仿宋"/>
          <w:sz w:val="32"/>
          <w:szCs w:val="32"/>
        </w:rPr>
      </w:pPr>
      <w:r>
        <w:rPr>
          <w:rFonts w:hint="eastAsia" w:ascii="仿宋" w:hAnsi="仿宋" w:eastAsia="仿宋"/>
          <w:sz w:val="32"/>
          <w:szCs w:val="32"/>
        </w:rPr>
        <w:t>（2）保障类工业企业。对涉及居民供电、供暖、承担协同处置城市生活垃圾或危险废物、重大疫情防控物资生产、能源保供等保障民生和城市正常运转的工业企业以及涉军、涉政类生产企业，纳入保障类企业管理，实施“以热定产”或“以量定产”。原则上对于重点行业内的保障类企业，应达到B级及以上绩效等级水平。对承担协同处置城市生活垃圾或危险废物等保障民生任务的企业，要统筹民生任务分配，严禁故意分散处置任务。对涉及外贸出口、战略性产业、新兴产业等工业企业，涉及教学用书、重大政治出版物印刷企业以及民生需求的农药、医药生产企业，可以纳入保障类清单，根据实际情况采取减排措施。对保障类企业要从严把关，确保污染防治设施高效完善、环境管理规范、运行稳定且达标排放。保障类企业在预警期间仅准许从事特定保障任务的生产经营，若超出允许生产经营范围，或未达到相关环保要求的，一经发现，立即移出保障类清单。</w:t>
      </w:r>
    </w:p>
    <w:p w14:paraId="371A9E38">
      <w:pPr>
        <w:ind w:firstLine="640" w:firstLineChars="200"/>
        <w:rPr>
          <w:rFonts w:hint="eastAsia" w:ascii="仿宋" w:hAnsi="仿宋" w:eastAsia="仿宋"/>
          <w:sz w:val="32"/>
          <w:szCs w:val="32"/>
        </w:rPr>
      </w:pPr>
      <w:r>
        <w:rPr>
          <w:rFonts w:hint="eastAsia" w:ascii="仿宋" w:hAnsi="仿宋" w:eastAsia="仿宋"/>
          <w:sz w:val="32"/>
          <w:szCs w:val="32"/>
        </w:rPr>
        <w:t>各级各有关部门、单位按照职责分工做好保障类企业审核工作。</w:t>
      </w:r>
    </w:p>
    <w:p w14:paraId="153C0EDD">
      <w:pPr>
        <w:ind w:firstLine="640" w:firstLineChars="200"/>
        <w:rPr>
          <w:rFonts w:hint="eastAsia" w:ascii="仿宋" w:hAnsi="仿宋" w:eastAsia="仿宋"/>
          <w:sz w:val="32"/>
          <w:szCs w:val="32"/>
        </w:rPr>
      </w:pPr>
      <w:r>
        <w:rPr>
          <w:rFonts w:hint="eastAsia" w:ascii="仿宋" w:hAnsi="仿宋" w:eastAsia="仿宋"/>
          <w:sz w:val="32"/>
          <w:szCs w:val="32"/>
        </w:rPr>
        <w:t>（3）重点建设工程。对重点保障性建设工程，需要纳入保障类的，由省级相关主管部门确认后，在污染防治措施满足我县扬尘管控要求的情况下，纳入保障类清单，根据实际情况采取减排措施，不得采取全面停工、停产措施。如保障类工程未达到相关要求的，一经发现，立即移出保障类清单。</w:t>
      </w:r>
    </w:p>
    <w:p w14:paraId="19B03E03">
      <w:pPr>
        <w:ind w:firstLine="640" w:firstLineChars="200"/>
        <w:rPr>
          <w:rFonts w:hint="eastAsia" w:ascii="仿宋" w:hAnsi="仿宋" w:eastAsia="仿宋"/>
          <w:sz w:val="32"/>
          <w:szCs w:val="32"/>
        </w:rPr>
      </w:pPr>
      <w:r>
        <w:rPr>
          <w:rFonts w:hint="eastAsia" w:ascii="仿宋" w:hAnsi="仿宋" w:eastAsia="仿宋"/>
          <w:sz w:val="32"/>
          <w:szCs w:val="32"/>
        </w:rPr>
        <w:t>（4）小微涉气企业。对于非燃煤、非燃油，污染物组分单一、排放的大气污染物中无有毒有害及恶臭气体、污染物年排放总量100千克以下的企业（对于季节性生产企业，应按上述要求以日核算排放量），在满足城市总体减排要求的情况下，可不采取停限产措施。</w:t>
      </w:r>
    </w:p>
    <w:p w14:paraId="3E6E44B1">
      <w:pPr>
        <w:ind w:firstLine="640" w:firstLineChars="200"/>
        <w:rPr>
          <w:rFonts w:hint="eastAsia" w:ascii="仿宋" w:hAnsi="仿宋" w:eastAsia="仿宋"/>
          <w:sz w:val="32"/>
          <w:szCs w:val="32"/>
        </w:rPr>
      </w:pPr>
      <w:r>
        <w:rPr>
          <w:rFonts w:hint="eastAsia" w:ascii="仿宋" w:hAnsi="仿宋" w:eastAsia="仿宋"/>
          <w:sz w:val="32"/>
          <w:szCs w:val="32"/>
        </w:rPr>
        <w:t>2. 精准实施应急减排措施。对纳入应急减排清单的企业，应当组织制定“一厂一策”企业减排操作方案，载明企业主要生产工艺流程、主要涉气产排污环节及污染物排放情况，并据此确定不同级别预警下的应急减排措施，明确具体的停限产生产装置、工艺环节和各类关键性指标，做到企业应急减排措施“可操作、可监测、可核查”。对生产工序简单，重污染天气预警期间实施全厂停产、整条生产线停产和轮流停产的工业企业，可只制定“重污染天气应急减排公示牌”。工业企业减排措施应以停止排放污染物的生产线或主要产排污环节（设备）为主；对不可临时中断的生产线或生产工序，应根据季节特点指导企业预先调整生产计划，确保预警期间能够落实减排措施；生产工序不可中断，通过采取提高治污效率、限制生产负荷等措施减排的重点排污企业，需安装烟气排放自动监控设施（CEMS），并提供分布式控制系统（DCS）一年以上数据记录。避免对非涉气工序、生产设施采取停限产措施，确保应急管控措施精准到位，降低对企业正当生产经营的影响。</w:t>
      </w:r>
    </w:p>
    <w:p w14:paraId="0929811D">
      <w:pPr>
        <w:ind w:firstLine="640" w:firstLineChars="200"/>
        <w:rPr>
          <w:rFonts w:hint="eastAsia" w:ascii="仿宋" w:hAnsi="仿宋" w:eastAsia="仿宋"/>
          <w:sz w:val="32"/>
          <w:szCs w:val="32"/>
        </w:rPr>
      </w:pPr>
      <w:r>
        <w:rPr>
          <w:rFonts w:hint="eastAsia" w:ascii="仿宋" w:hAnsi="仿宋" w:eastAsia="仿宋"/>
          <w:sz w:val="32"/>
          <w:szCs w:val="32"/>
        </w:rPr>
        <w:t>3. 认真落实安全生产要求。在重污染天气应对过程中，要提醒企业自觉在污染防治设施启动、停运、检修时，严格落实安全生产相关要求，需要安全监管部门审批的，必须批准后方可实施。在监督检查过程中，要坚持实事求是、科学严谨，坚决防止施行强制措施产生安全隐患。</w:t>
      </w:r>
    </w:p>
    <w:p w14:paraId="5F79AA84">
      <w:pPr>
        <w:ind w:firstLine="640" w:firstLineChars="200"/>
        <w:rPr>
          <w:rFonts w:hint="eastAsia" w:ascii="仿宋" w:hAnsi="仿宋" w:eastAsia="仿宋"/>
          <w:sz w:val="32"/>
          <w:szCs w:val="32"/>
        </w:rPr>
      </w:pPr>
      <w:r>
        <w:rPr>
          <w:rFonts w:hint="eastAsia" w:ascii="仿宋" w:hAnsi="仿宋" w:eastAsia="仿宋"/>
          <w:sz w:val="32"/>
          <w:szCs w:val="32"/>
        </w:rPr>
        <w:t>4. 分级响应措施。各级应急响应措施包括公众防护措施、倡议性污染减排措施和强制性污染减排措施。</w:t>
      </w:r>
    </w:p>
    <w:p w14:paraId="3589391A">
      <w:pPr>
        <w:ind w:firstLine="640" w:firstLineChars="200"/>
        <w:rPr>
          <w:rFonts w:hint="eastAsia" w:ascii="仿宋" w:hAnsi="仿宋" w:eastAsia="仿宋"/>
          <w:sz w:val="32"/>
          <w:szCs w:val="32"/>
        </w:rPr>
      </w:pPr>
      <w:r>
        <w:rPr>
          <w:rFonts w:hint="eastAsia" w:ascii="仿宋" w:hAnsi="仿宋" w:eastAsia="仿宋"/>
          <w:sz w:val="32"/>
          <w:szCs w:val="32"/>
        </w:rPr>
        <w:t>（1）Ⅲ级应急响应措施。Ⅲ级应急响应启动后，应当至少采取下列措施：</w:t>
      </w:r>
    </w:p>
    <w:p w14:paraId="41409917">
      <w:pPr>
        <w:ind w:firstLine="640" w:firstLineChars="200"/>
        <w:rPr>
          <w:rFonts w:hint="eastAsia" w:ascii="仿宋" w:hAnsi="仿宋" w:eastAsia="仿宋"/>
          <w:sz w:val="32"/>
          <w:szCs w:val="32"/>
        </w:rPr>
      </w:pPr>
      <w:r>
        <w:rPr>
          <w:rFonts w:hint="eastAsia" w:ascii="仿宋" w:hAnsi="仿宋" w:eastAsia="仿宋"/>
          <w:sz w:val="32"/>
          <w:szCs w:val="32"/>
        </w:rPr>
        <w:t>①公众防护措施。儿童、老年人和呼吸道疾病患者等易感人群避免户外活动。组织中小学、幼儿园停止室外活动。</w:t>
      </w:r>
    </w:p>
    <w:p w14:paraId="1C2162C7">
      <w:pPr>
        <w:ind w:firstLine="640" w:firstLineChars="200"/>
        <w:rPr>
          <w:rFonts w:hint="eastAsia" w:ascii="仿宋" w:hAnsi="仿宋" w:eastAsia="仿宋"/>
          <w:sz w:val="32"/>
          <w:szCs w:val="32"/>
        </w:rPr>
      </w:pPr>
      <w:r>
        <w:rPr>
          <w:rFonts w:hint="eastAsia" w:ascii="仿宋" w:hAnsi="仿宋" w:eastAsia="仿宋"/>
          <w:sz w:val="32"/>
          <w:szCs w:val="32"/>
        </w:rPr>
        <w:t>②倡议性污染减排措施。倡导公众绿色消费、绿色出行，单位和公众尽量减少含挥发性有机物的涂料、油漆、溶剂等原材料及产品的使用。</w:t>
      </w:r>
    </w:p>
    <w:p w14:paraId="01834B6B">
      <w:pPr>
        <w:ind w:firstLine="640" w:firstLineChars="200"/>
        <w:rPr>
          <w:rFonts w:hint="eastAsia" w:ascii="仿宋" w:hAnsi="仿宋" w:eastAsia="仿宋"/>
          <w:sz w:val="32"/>
          <w:szCs w:val="32"/>
        </w:rPr>
      </w:pPr>
      <w:r>
        <w:rPr>
          <w:rFonts w:hint="eastAsia" w:ascii="仿宋" w:hAnsi="仿宋" w:eastAsia="仿宋"/>
          <w:sz w:val="32"/>
          <w:szCs w:val="32"/>
        </w:rPr>
        <w:t>③强制性污染减排措施。</w:t>
      </w:r>
    </w:p>
    <w:p w14:paraId="4B7DB0BF">
      <w:pPr>
        <w:ind w:firstLine="640" w:firstLineChars="200"/>
        <w:rPr>
          <w:rFonts w:hint="eastAsia" w:ascii="仿宋" w:hAnsi="仿宋" w:eastAsia="仿宋"/>
          <w:sz w:val="32"/>
          <w:szCs w:val="32"/>
        </w:rPr>
      </w:pPr>
      <w:r>
        <w:rPr>
          <w:rFonts w:hint="eastAsia" w:ascii="仿宋" w:hAnsi="仿宋" w:eastAsia="仿宋"/>
          <w:sz w:val="32"/>
          <w:szCs w:val="32"/>
        </w:rPr>
        <w:t>工业源减排措施。执行汶上县重污染天气应急预案、工业源应急减排清单确定的黄色预警减排措施。</w:t>
      </w:r>
    </w:p>
    <w:p w14:paraId="43A0DFED">
      <w:pPr>
        <w:ind w:firstLine="640" w:firstLineChars="200"/>
        <w:rPr>
          <w:rFonts w:hint="eastAsia" w:ascii="仿宋" w:hAnsi="仿宋" w:eastAsia="仿宋"/>
          <w:sz w:val="32"/>
          <w:szCs w:val="32"/>
        </w:rPr>
      </w:pPr>
      <w:r>
        <w:rPr>
          <w:rFonts w:hint="eastAsia" w:ascii="仿宋" w:hAnsi="仿宋" w:eastAsia="仿宋"/>
          <w:sz w:val="32"/>
          <w:szCs w:val="32"/>
        </w:rPr>
        <w:t>扬尘源减排措施。执行汶上县扬尘源应急减排清单确定的黄色预警减排措施。矿山、砂石料场、石材厂、石板厂等停止露天作业；除应急抢险外的施工工地禁止土石方作业、建筑拆除、喷涂粉刷、护坡喷浆、混凝土搅拌等；除涉及重大民生工程、安全生产及应急抢险任务外，停止可能产生扬尘的港口（筒仓、集装箱、封闭式作业的除外）作业、煤矿煤场（筒仓、封闭式作业的除外）作业、堆场（筒仓、封闭式作业的除外）作业；主干道和易产生扬尘路段在道路日常保洁、洒水的基础上，每天增加洒水降尘作业频次（结冰期等特殊气象情况除外）。</w:t>
      </w:r>
    </w:p>
    <w:p w14:paraId="2E74A5BB">
      <w:pPr>
        <w:ind w:firstLine="640" w:firstLineChars="200"/>
        <w:rPr>
          <w:rFonts w:hint="eastAsia" w:ascii="仿宋" w:hAnsi="仿宋" w:eastAsia="仿宋"/>
          <w:sz w:val="32"/>
          <w:szCs w:val="32"/>
        </w:rPr>
      </w:pPr>
      <w:r>
        <w:rPr>
          <w:rFonts w:hint="eastAsia" w:ascii="仿宋" w:hAnsi="仿宋" w:eastAsia="仿宋"/>
          <w:sz w:val="32"/>
          <w:szCs w:val="32"/>
        </w:rPr>
        <w:t>移动源减排措施。除城市运行保障车辆和执行特种任务车辆外，汶上城区（二环路以内，不包括二环路）禁行建筑垃圾和渣土运输车、混凝土罐车、砂石运输车等中型和重型载货汽车（含燃气，新能源及国六标准以上除外）；三轮汽车、低速载货车、拖拉机禁止通行；禁止使用国二及以下非道路移动机械（含挖掘机、装载机、平地机、铺路机、压路机、叉车等），承担民生保障、特殊需求产品及急救、抢险的车辆除外。</w:t>
      </w:r>
    </w:p>
    <w:p w14:paraId="3A49CC4D">
      <w:pPr>
        <w:ind w:firstLine="640" w:firstLineChars="200"/>
        <w:rPr>
          <w:rFonts w:hint="eastAsia" w:ascii="仿宋" w:hAnsi="仿宋" w:eastAsia="仿宋"/>
          <w:sz w:val="32"/>
          <w:szCs w:val="32"/>
        </w:rPr>
      </w:pPr>
      <w:r>
        <w:rPr>
          <w:rFonts w:hint="eastAsia" w:ascii="仿宋" w:hAnsi="仿宋" w:eastAsia="仿宋"/>
          <w:sz w:val="32"/>
          <w:szCs w:val="32"/>
        </w:rPr>
        <w:t>辖区范围内未安装密闭装置易产生遗撒的煤炭、渣土、砂石料等运输车辆禁止上路。</w:t>
      </w:r>
    </w:p>
    <w:p w14:paraId="4879C71E">
      <w:pPr>
        <w:ind w:firstLine="640" w:firstLineChars="200"/>
        <w:rPr>
          <w:rFonts w:hint="eastAsia" w:ascii="仿宋" w:hAnsi="仿宋" w:eastAsia="仿宋"/>
          <w:sz w:val="32"/>
          <w:szCs w:val="32"/>
        </w:rPr>
      </w:pPr>
      <w:r>
        <w:rPr>
          <w:rFonts w:hint="eastAsia" w:ascii="仿宋" w:hAnsi="仿宋" w:eastAsia="仿宋"/>
          <w:sz w:val="32"/>
          <w:szCs w:val="32"/>
        </w:rPr>
        <w:t>其他减排措施。加大加油站执法检查力度；辖区范围限制燃放区域内禁止燃放烟花爆竹；对未按国家、省要求落实应急措施和未纳入应急减排清单的涉气企业，重污染应急期间实施停产。</w:t>
      </w:r>
    </w:p>
    <w:p w14:paraId="02B16CC7">
      <w:pPr>
        <w:ind w:firstLine="640" w:firstLineChars="200"/>
        <w:rPr>
          <w:rFonts w:hint="eastAsia" w:ascii="仿宋" w:hAnsi="仿宋" w:eastAsia="仿宋"/>
          <w:sz w:val="32"/>
          <w:szCs w:val="32"/>
        </w:rPr>
      </w:pPr>
      <w:r>
        <w:rPr>
          <w:rFonts w:hint="eastAsia" w:ascii="仿宋" w:hAnsi="仿宋" w:eastAsia="仿宋"/>
          <w:sz w:val="32"/>
          <w:szCs w:val="32"/>
        </w:rPr>
        <w:t>（2）Ⅱ级应急响应措施。</w:t>
      </w:r>
    </w:p>
    <w:p w14:paraId="2F77581A">
      <w:pPr>
        <w:ind w:firstLine="640" w:firstLineChars="200"/>
        <w:rPr>
          <w:rFonts w:hint="eastAsia" w:ascii="仿宋" w:hAnsi="仿宋" w:eastAsia="仿宋"/>
          <w:sz w:val="32"/>
          <w:szCs w:val="32"/>
        </w:rPr>
      </w:pPr>
      <w:r>
        <w:rPr>
          <w:rFonts w:hint="eastAsia" w:ascii="仿宋" w:hAnsi="仿宋" w:eastAsia="仿宋"/>
          <w:sz w:val="32"/>
          <w:szCs w:val="32"/>
        </w:rPr>
        <w:t>①公众防护措施。儿童、老年人和呼吸道疾病患者等易感人群避免户外活动。组织中小学、幼儿园停止室外活动。停止举办大型群众性户外活动。</w:t>
      </w:r>
    </w:p>
    <w:p w14:paraId="3F9833BA">
      <w:pPr>
        <w:ind w:firstLine="640" w:firstLineChars="200"/>
        <w:rPr>
          <w:rFonts w:hint="eastAsia" w:ascii="仿宋" w:hAnsi="仿宋" w:eastAsia="仿宋"/>
          <w:sz w:val="32"/>
          <w:szCs w:val="32"/>
        </w:rPr>
      </w:pPr>
      <w:r>
        <w:rPr>
          <w:rFonts w:hint="eastAsia" w:ascii="仿宋" w:hAnsi="仿宋" w:eastAsia="仿宋"/>
          <w:sz w:val="32"/>
          <w:szCs w:val="32"/>
        </w:rPr>
        <w:t>②倡议性污染减排措施。倡导公众绿色消费、绿色出行，单位和公众尽量减少含挥发性有机物的涂料、油漆、溶剂等原材料及产品的使用。加大公共交通运力，合理调整城市公共交通工具营运频次和营运时间，提高公共交通出行率。</w:t>
      </w:r>
    </w:p>
    <w:p w14:paraId="1596B09E">
      <w:pPr>
        <w:ind w:firstLine="640" w:firstLineChars="200"/>
        <w:rPr>
          <w:rFonts w:hint="eastAsia" w:ascii="仿宋" w:hAnsi="仿宋" w:eastAsia="仿宋"/>
          <w:sz w:val="32"/>
          <w:szCs w:val="32"/>
        </w:rPr>
      </w:pPr>
      <w:r>
        <w:rPr>
          <w:rFonts w:hint="eastAsia" w:ascii="仿宋" w:hAnsi="仿宋" w:eastAsia="仿宋"/>
          <w:sz w:val="32"/>
          <w:szCs w:val="32"/>
        </w:rPr>
        <w:t>③强制性减排措施。</w:t>
      </w:r>
    </w:p>
    <w:p w14:paraId="7D5B41D5">
      <w:pPr>
        <w:ind w:firstLine="640" w:firstLineChars="200"/>
        <w:rPr>
          <w:rFonts w:hint="eastAsia" w:ascii="仿宋" w:hAnsi="仿宋" w:eastAsia="仿宋"/>
          <w:sz w:val="32"/>
          <w:szCs w:val="32"/>
        </w:rPr>
      </w:pPr>
      <w:r>
        <w:rPr>
          <w:rFonts w:hint="eastAsia" w:ascii="仿宋" w:hAnsi="仿宋" w:eastAsia="仿宋"/>
          <w:sz w:val="32"/>
          <w:szCs w:val="32"/>
        </w:rPr>
        <w:t>工业源减排措施。执行汶上县重污染天气应急预案、工业源应急减排清单确定的橙色预警减排措施。</w:t>
      </w:r>
    </w:p>
    <w:p w14:paraId="43C4CD61">
      <w:pPr>
        <w:ind w:firstLine="640" w:firstLineChars="200"/>
        <w:rPr>
          <w:rFonts w:hint="eastAsia" w:ascii="仿宋" w:hAnsi="仿宋" w:eastAsia="仿宋"/>
          <w:sz w:val="32"/>
          <w:szCs w:val="32"/>
        </w:rPr>
      </w:pPr>
      <w:r>
        <w:rPr>
          <w:rFonts w:hint="eastAsia" w:ascii="仿宋" w:hAnsi="仿宋" w:eastAsia="仿宋"/>
          <w:sz w:val="32"/>
          <w:szCs w:val="32"/>
        </w:rPr>
        <w:t>扬尘源减排措施。执行汶上县扬尘源应急减排清单确定的橙色预警减排措施。矿山、砂石料场、石材厂、石板厂等停止露天作业；除应急抢险外的施工工地禁止土石方作业、建筑拆除、喷涂粉刷、护坡喷浆、混凝土搅拌等；除涉及重大民生工程、安全生产及应急抢险任务外，停止可能产生扬尘的港口（筒仓、集装箱、封闭式作业的除外）作业、煤矿煤场（筒仓、封闭式作业的除外）作业、堆场（筒仓、封闭式作业的除外）作业；主干道和易产生扬尘路段在道路日常保洁、洒水的基础上，每天增加洒水降尘作业频次（结冰期等特殊气象情况除外）。</w:t>
      </w:r>
    </w:p>
    <w:p w14:paraId="5BC75692">
      <w:pPr>
        <w:ind w:firstLine="640" w:firstLineChars="200"/>
        <w:rPr>
          <w:rFonts w:hint="eastAsia" w:ascii="仿宋" w:hAnsi="仿宋" w:eastAsia="仿宋"/>
          <w:sz w:val="32"/>
          <w:szCs w:val="32"/>
        </w:rPr>
      </w:pPr>
      <w:r>
        <w:rPr>
          <w:rFonts w:hint="eastAsia" w:ascii="仿宋" w:hAnsi="仿宋" w:eastAsia="仿宋"/>
          <w:sz w:val="32"/>
          <w:szCs w:val="32"/>
        </w:rPr>
        <w:t>移动源减排措施。除城市运行保障车辆和执行特种任务车辆外，汶上城区（二环路以内，不包括二环路））禁行建筑垃圾和渣土运输车、混凝土罐车、砂石运输车等中型和重型载货汽车（含燃气，新能源及国六标准以上除外）；三轮汽车、低速载货车、拖拉机禁止通行；禁止使用国二及以下非道路移动机械（含挖掘机、装载机、平地机、铺路机、压路机、叉车等），承担民生保障、特殊需求产品及急救、抢险的车辆除外。</w:t>
      </w:r>
    </w:p>
    <w:p w14:paraId="5ECFE8B0">
      <w:pPr>
        <w:ind w:firstLine="640" w:firstLineChars="200"/>
        <w:rPr>
          <w:rFonts w:hint="eastAsia" w:ascii="仿宋" w:hAnsi="仿宋" w:eastAsia="仿宋"/>
          <w:sz w:val="32"/>
          <w:szCs w:val="32"/>
        </w:rPr>
      </w:pPr>
      <w:r>
        <w:rPr>
          <w:rFonts w:hint="eastAsia" w:ascii="仿宋" w:hAnsi="仿宋" w:eastAsia="仿宋"/>
          <w:sz w:val="32"/>
          <w:szCs w:val="32"/>
        </w:rPr>
        <w:t>辖区范围内未安装密闭装置易产生遗撒的煤炭、渣土、砂石料等运输车辆禁止上路。矿山（含煤矿）、洗煤厂、港口、物流（除民生保障类）等涉及大宗物料运输（日载货车辆进出10辆次以上）的单位禁止使用国四及以下排放标准重型载货汽车（含燃气）进行运输（特种车辆、危化品车辆除外）。施工工地、工业企业厂区和工业园区停止使用国二及以下排放标准非道路移动机械（清洁能源和紧急检修作业机械除外）。为保证安全生产、运输民生保障物资或特殊需求产品，确需在应急期间运输的，企业需向汶上县人民政府提出申请，由县人民政府批准后实施，同时报市应急指挥部办公室和市级行业主管部门备案。</w:t>
      </w:r>
    </w:p>
    <w:p w14:paraId="4381C183">
      <w:pPr>
        <w:ind w:firstLine="640" w:firstLineChars="200"/>
        <w:rPr>
          <w:rFonts w:hint="eastAsia" w:ascii="仿宋" w:hAnsi="仿宋" w:eastAsia="仿宋"/>
          <w:sz w:val="32"/>
          <w:szCs w:val="32"/>
        </w:rPr>
      </w:pPr>
      <w:r>
        <w:rPr>
          <w:rFonts w:hint="eastAsia" w:ascii="仿宋" w:hAnsi="仿宋" w:eastAsia="仿宋"/>
          <w:sz w:val="32"/>
          <w:szCs w:val="32"/>
        </w:rPr>
        <w:t>其他减排措施。加大加油站执法检查力度，同时各加油站要做好日常油品储备，应急期间原则上不得进行油品装卸；辖区范围限制燃放区域内禁止燃放烟花爆竹；停止所有喷涂、粉刷、切割、焊接等室外作业环节；对未按国家、省要求落实应急措施和未纳入应急减排清单的涉气企业，重污染应急期间实施停产。</w:t>
      </w:r>
    </w:p>
    <w:p w14:paraId="2958C253">
      <w:pPr>
        <w:ind w:firstLine="640" w:firstLineChars="200"/>
        <w:rPr>
          <w:rFonts w:hint="eastAsia" w:ascii="仿宋" w:hAnsi="仿宋" w:eastAsia="仿宋"/>
          <w:sz w:val="32"/>
          <w:szCs w:val="32"/>
        </w:rPr>
      </w:pPr>
      <w:r>
        <w:rPr>
          <w:rFonts w:hint="eastAsia" w:ascii="仿宋" w:hAnsi="仿宋" w:eastAsia="仿宋"/>
          <w:sz w:val="32"/>
          <w:szCs w:val="32"/>
        </w:rPr>
        <w:t>（3）Ⅰ级应急响应措施。</w:t>
      </w:r>
    </w:p>
    <w:p w14:paraId="5883F513">
      <w:pPr>
        <w:ind w:firstLine="640" w:firstLineChars="200"/>
        <w:rPr>
          <w:rFonts w:hint="eastAsia" w:ascii="仿宋" w:hAnsi="仿宋" w:eastAsia="仿宋"/>
          <w:sz w:val="32"/>
          <w:szCs w:val="32"/>
        </w:rPr>
      </w:pPr>
      <w:r>
        <w:rPr>
          <w:rFonts w:hint="eastAsia" w:ascii="仿宋" w:hAnsi="仿宋" w:eastAsia="仿宋"/>
          <w:sz w:val="32"/>
          <w:szCs w:val="32"/>
        </w:rPr>
        <w:t>①公众防护措施。儿童、老年人和呼吸道疾病患者等易感人群避免户外活动。组织中小学、幼儿园停止室外活动。停止举办大型群众性户外活动。在县教育主管部门指导下，根据实际情况采取弹性教学等措施。接到红色预警且AQI日均值达到500时，学校可采取停课措施。</w:t>
      </w:r>
    </w:p>
    <w:p w14:paraId="04B9F99B">
      <w:pPr>
        <w:ind w:firstLine="640" w:firstLineChars="200"/>
        <w:rPr>
          <w:rFonts w:hint="eastAsia" w:ascii="仿宋" w:hAnsi="仿宋" w:eastAsia="仿宋"/>
          <w:sz w:val="32"/>
          <w:szCs w:val="32"/>
        </w:rPr>
      </w:pPr>
      <w:r>
        <w:rPr>
          <w:rFonts w:hint="eastAsia" w:ascii="仿宋" w:hAnsi="仿宋" w:eastAsia="仿宋"/>
          <w:sz w:val="32"/>
          <w:szCs w:val="32"/>
        </w:rPr>
        <w:t>②倡议性污染减排措施。倡导公众绿色消费、绿色出行，单位和公众尽量减少含挥发性有机物的涂料、油漆、溶剂等原材料及产品的使用。加大公共交通运力，合理调整城市公共交通工具营运频次和营运时间，提高公共交通出行率。</w:t>
      </w:r>
    </w:p>
    <w:p w14:paraId="634FB3AA">
      <w:pPr>
        <w:ind w:firstLine="640" w:firstLineChars="200"/>
        <w:rPr>
          <w:rFonts w:hint="eastAsia" w:ascii="仿宋" w:hAnsi="仿宋" w:eastAsia="仿宋"/>
          <w:sz w:val="32"/>
          <w:szCs w:val="32"/>
        </w:rPr>
      </w:pPr>
      <w:r>
        <w:rPr>
          <w:rFonts w:hint="eastAsia" w:ascii="仿宋" w:hAnsi="仿宋" w:eastAsia="仿宋"/>
          <w:sz w:val="32"/>
          <w:szCs w:val="32"/>
        </w:rPr>
        <w:t>③强制性减排措施。</w:t>
      </w:r>
    </w:p>
    <w:p w14:paraId="49028193">
      <w:pPr>
        <w:ind w:firstLine="640" w:firstLineChars="200"/>
        <w:rPr>
          <w:rFonts w:hint="eastAsia" w:ascii="仿宋" w:hAnsi="仿宋" w:eastAsia="仿宋"/>
          <w:sz w:val="32"/>
          <w:szCs w:val="32"/>
        </w:rPr>
      </w:pPr>
      <w:r>
        <w:rPr>
          <w:rFonts w:hint="eastAsia" w:ascii="仿宋" w:hAnsi="仿宋" w:eastAsia="仿宋"/>
          <w:sz w:val="32"/>
          <w:szCs w:val="32"/>
        </w:rPr>
        <w:t>工业源减排措施。执行汶上县重污染天气应急预案、工业源应急减排清单确定的红色预警减排措施。</w:t>
      </w:r>
    </w:p>
    <w:p w14:paraId="1BA6F7C8">
      <w:pPr>
        <w:ind w:firstLine="640" w:firstLineChars="200"/>
        <w:rPr>
          <w:rFonts w:hint="eastAsia" w:ascii="仿宋" w:hAnsi="仿宋" w:eastAsia="仿宋"/>
          <w:sz w:val="32"/>
          <w:szCs w:val="32"/>
        </w:rPr>
      </w:pPr>
      <w:r>
        <w:rPr>
          <w:rFonts w:hint="eastAsia" w:ascii="仿宋" w:hAnsi="仿宋" w:eastAsia="仿宋"/>
          <w:sz w:val="32"/>
          <w:szCs w:val="32"/>
        </w:rPr>
        <w:t>扬尘源减排措施。执行汶上县扬尘源应急减排清单确定的红色预警减排措施。矿山、砂石料场、石材厂、石板厂等停止露天作业；除应急抢险外的施工工地禁止土石方作业、建筑拆除、喷涂粉刷、护坡喷浆、混凝土搅拌等；除涉及重大民生工程、安全生产及应急抢险任务外，停止可能产生扬尘的港口（筒仓、集装箱、封闭式作业的除外）作业、煤矿煤场（筒仓、封闭式作业的除外）作业、堆场（筒仓、封闭式作业的除外）作业；主干道和易产生扬尘路段在道路日常保洁、洒水的基础上，每天增加洒水降尘作业频次（结冰期等特殊气象情况除外）。</w:t>
      </w:r>
    </w:p>
    <w:p w14:paraId="60E523E1">
      <w:pPr>
        <w:ind w:firstLine="640" w:firstLineChars="200"/>
        <w:rPr>
          <w:rFonts w:hint="eastAsia" w:ascii="仿宋" w:hAnsi="仿宋" w:eastAsia="仿宋"/>
          <w:sz w:val="32"/>
          <w:szCs w:val="32"/>
        </w:rPr>
      </w:pPr>
      <w:r>
        <w:rPr>
          <w:rFonts w:hint="eastAsia" w:ascii="仿宋" w:hAnsi="仿宋" w:eastAsia="仿宋"/>
          <w:sz w:val="32"/>
          <w:szCs w:val="32"/>
        </w:rPr>
        <w:t>移动源减排措施。除城市运行保障车辆和执行任务特种车辆外，辖区范围内禁行中型和重型载货汽车（含燃气，新能源及国六标准以上除外），禁止三轮汽车、载货汽车和拖拉机等柴油车驶入汶上城区（二环路以内，不包括二环路）。辖区范围内非道路移动机械（含挖掘机、装载机、平地机、铺路机、压路机、叉车等）停止作业。为保证安全生产、运输民生保障物资或特殊需求产品确需在应急期间运输的，企业需向汶上县人民政府提出申请，由县人民政府批准后实施，同时报市应急指挥部办公室和市级行业主管部门备案。</w:t>
      </w:r>
    </w:p>
    <w:p w14:paraId="049A34A0">
      <w:pPr>
        <w:ind w:firstLine="640" w:firstLineChars="200"/>
        <w:rPr>
          <w:rFonts w:hint="eastAsia" w:ascii="仿宋" w:hAnsi="仿宋" w:eastAsia="仿宋"/>
          <w:sz w:val="32"/>
          <w:szCs w:val="32"/>
        </w:rPr>
      </w:pPr>
      <w:r>
        <w:rPr>
          <w:rFonts w:hint="eastAsia" w:ascii="仿宋" w:hAnsi="仿宋" w:eastAsia="仿宋"/>
          <w:sz w:val="32"/>
          <w:szCs w:val="32"/>
        </w:rPr>
        <w:t>经县重污染天气应急指挥部同意，采取限制部分机动车行驶等更加严格的机动车管控措施。</w:t>
      </w:r>
    </w:p>
    <w:p w14:paraId="3138A2B0">
      <w:pPr>
        <w:ind w:firstLine="640" w:firstLineChars="200"/>
        <w:rPr>
          <w:rFonts w:hint="eastAsia" w:ascii="仿宋" w:hAnsi="仿宋" w:eastAsia="仿宋"/>
          <w:sz w:val="32"/>
          <w:szCs w:val="32"/>
        </w:rPr>
      </w:pPr>
      <w:r>
        <w:rPr>
          <w:rFonts w:hint="eastAsia" w:ascii="仿宋" w:hAnsi="仿宋" w:eastAsia="仿宋"/>
          <w:sz w:val="32"/>
          <w:szCs w:val="32"/>
        </w:rPr>
        <w:t>其他减排措施。加大加油站执法检查力度，同时各加油站要做好油品日常储备，应急期间原则上不得进行油品装卸；本辖区范围限制燃放区域内禁止燃放烟花爆竹；停止所有喷涂、粉刷、切割、焊接等室外作业环节；对未落实应急措施和未纳入本预案减排措施项目清单的涉气企业，重污染应急期间实施停产。</w:t>
      </w:r>
    </w:p>
    <w:p w14:paraId="77585F7D">
      <w:pPr>
        <w:widowControl/>
        <w:jc w:val="left"/>
        <w:rPr>
          <w:rFonts w:hint="eastAsia"/>
        </w:rPr>
      </w:pPr>
      <w:r>
        <w:rPr>
          <w:rFonts w:hint="eastAsia"/>
        </w:rPr>
        <w:br w:type="page"/>
      </w:r>
    </w:p>
    <w:p w14:paraId="33CE0F53">
      <w:pPr>
        <w:adjustRightInd w:val="0"/>
        <w:spacing w:line="600" w:lineRule="exact"/>
        <w:rPr>
          <w:rFonts w:hint="eastAsia" w:ascii="仿宋" w:hAnsi="仿宋" w:eastAsia="仿宋" w:cs="Times New Roman"/>
          <w:bCs/>
          <w:sz w:val="32"/>
          <w:szCs w:val="32"/>
        </w:rPr>
      </w:pPr>
      <w:r>
        <w:rPr>
          <w:rFonts w:hint="eastAsia" w:ascii="仿宋" w:hAnsi="仿宋" w:eastAsia="仿宋" w:cs="Times New Roman"/>
          <w:bCs/>
          <w:sz w:val="32"/>
          <w:szCs w:val="32"/>
        </w:rPr>
        <w:t>附件2</w:t>
      </w:r>
    </w:p>
    <w:p w14:paraId="08F610D7">
      <w:pPr>
        <w:adjustRightInd w:val="0"/>
        <w:spacing w:line="240" w:lineRule="exact"/>
        <w:ind w:firstLine="643" w:firstLineChars="200"/>
        <w:rPr>
          <w:rFonts w:ascii="Times New Roman" w:hAnsi="Times New Roman" w:eastAsia="方正仿宋简体" w:cs="Times New Roman"/>
          <w:b/>
          <w:sz w:val="32"/>
          <w:szCs w:val="32"/>
        </w:rPr>
      </w:pPr>
    </w:p>
    <w:p w14:paraId="3A0FB74B">
      <w:pPr>
        <w:adjustRightInd w:val="0"/>
        <w:spacing w:line="600" w:lineRule="exact"/>
        <w:jc w:val="center"/>
        <w:outlineLvl w:val="0"/>
        <w:rPr>
          <w:rFonts w:ascii="Times New Roman" w:hAnsi="Times New Roman" w:eastAsia="方正小标宋简体" w:cs="Times New Roman"/>
          <w:b/>
          <w:sz w:val="44"/>
          <w:szCs w:val="44"/>
        </w:rPr>
      </w:pPr>
      <w:r>
        <w:rPr>
          <w:rFonts w:hint="eastAsia" w:eastAsia="方正小标宋简体" w:cs="Times New Roman"/>
          <w:b/>
          <w:sz w:val="44"/>
          <w:szCs w:val="44"/>
        </w:rPr>
        <w:t>汶上县</w:t>
      </w:r>
      <w:r>
        <w:rPr>
          <w:rFonts w:ascii="Times New Roman" w:hAnsi="Times New Roman" w:eastAsia="方正小标宋简体" w:cs="Times New Roman"/>
          <w:b/>
          <w:sz w:val="44"/>
          <w:szCs w:val="44"/>
        </w:rPr>
        <w:t>重污染天气应急指挥部成员单位</w:t>
      </w:r>
    </w:p>
    <w:p w14:paraId="0CFA5959">
      <w:pPr>
        <w:adjustRightInd w:val="0"/>
        <w:spacing w:line="600" w:lineRule="exact"/>
        <w:jc w:val="center"/>
        <w:outlineLvl w:val="0"/>
        <w:rPr>
          <w:rFonts w:ascii="Times New Roman" w:hAnsi="Times New Roman" w:eastAsia="方正小标宋简体" w:cs="Times New Roman"/>
          <w:b/>
          <w:sz w:val="44"/>
          <w:szCs w:val="44"/>
        </w:rPr>
      </w:pPr>
      <w:r>
        <w:rPr>
          <w:rFonts w:ascii="Times New Roman" w:hAnsi="Times New Roman" w:eastAsia="方正小标宋简体" w:cs="Times New Roman"/>
          <w:b/>
          <w:sz w:val="44"/>
          <w:szCs w:val="44"/>
        </w:rPr>
        <w:t>职责分工</w:t>
      </w:r>
    </w:p>
    <w:p w14:paraId="7ABFD292">
      <w:pPr>
        <w:spacing w:line="240" w:lineRule="exact"/>
        <w:rPr>
          <w:rFonts w:hint="eastAsia" w:ascii="Times New Roman" w:hAnsi="Times New Roman" w:eastAsia="方正仿宋简体" w:cs="Times New Roman"/>
          <w:b/>
          <w:sz w:val="32"/>
          <w:szCs w:val="32"/>
        </w:rPr>
      </w:pPr>
    </w:p>
    <w:tbl>
      <w:tblPr>
        <w:tblStyle w:val="7"/>
        <w:tblW w:w="88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4"/>
        <w:gridCol w:w="2141"/>
        <w:gridCol w:w="6044"/>
      </w:tblGrid>
      <w:tr w14:paraId="4AEA9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blHeader/>
          <w:jc w:val="center"/>
        </w:trPr>
        <w:tc>
          <w:tcPr>
            <w:tcW w:w="624" w:type="dxa"/>
            <w:vAlign w:val="center"/>
          </w:tcPr>
          <w:p w14:paraId="1F64D951">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黑体简体" w:cs="Times New Roman"/>
                <w:b/>
                <w:bCs/>
                <w:snapToGrid w:val="0"/>
                <w:kern w:val="0"/>
                <w:sz w:val="24"/>
                <w:szCs w:val="20"/>
              </w:rPr>
            </w:pPr>
            <w:r>
              <w:rPr>
                <w:rFonts w:ascii="Times New Roman" w:hAnsi="Times New Roman" w:eastAsia="方正黑体简体" w:cs="Times New Roman"/>
                <w:b/>
                <w:bCs/>
                <w:snapToGrid w:val="0"/>
                <w:kern w:val="0"/>
                <w:sz w:val="24"/>
                <w:szCs w:val="24"/>
              </w:rPr>
              <w:t>序号</w:t>
            </w:r>
          </w:p>
        </w:tc>
        <w:tc>
          <w:tcPr>
            <w:tcW w:w="2141" w:type="dxa"/>
            <w:vAlign w:val="center"/>
          </w:tcPr>
          <w:p w14:paraId="6F4F5D91">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黑体简体" w:cs="Times New Roman"/>
                <w:b/>
                <w:bCs/>
                <w:snapToGrid w:val="0"/>
                <w:kern w:val="0"/>
                <w:sz w:val="24"/>
                <w:szCs w:val="20"/>
              </w:rPr>
            </w:pPr>
            <w:r>
              <w:rPr>
                <w:rFonts w:ascii="Times New Roman" w:hAnsi="Times New Roman" w:eastAsia="方正黑体简体" w:cs="Times New Roman"/>
                <w:b/>
                <w:bCs/>
                <w:snapToGrid w:val="0"/>
                <w:kern w:val="0"/>
                <w:sz w:val="24"/>
                <w:szCs w:val="24"/>
              </w:rPr>
              <w:t>成员单位</w:t>
            </w:r>
          </w:p>
        </w:tc>
        <w:tc>
          <w:tcPr>
            <w:tcW w:w="6044" w:type="dxa"/>
            <w:vAlign w:val="center"/>
          </w:tcPr>
          <w:p w14:paraId="7E0EEBC5">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黑体简体" w:cs="Times New Roman"/>
                <w:b/>
                <w:bCs/>
                <w:snapToGrid w:val="0"/>
                <w:kern w:val="0"/>
                <w:sz w:val="24"/>
                <w:szCs w:val="20"/>
              </w:rPr>
            </w:pPr>
            <w:r>
              <w:rPr>
                <w:rFonts w:ascii="Times New Roman" w:hAnsi="Times New Roman" w:eastAsia="方正黑体简体" w:cs="Times New Roman"/>
                <w:b/>
                <w:bCs/>
                <w:snapToGrid w:val="0"/>
                <w:kern w:val="0"/>
                <w:sz w:val="24"/>
                <w:szCs w:val="24"/>
              </w:rPr>
              <w:t>职责</w:t>
            </w:r>
          </w:p>
        </w:tc>
      </w:tr>
      <w:tr w14:paraId="748CB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jc w:val="center"/>
        </w:trPr>
        <w:tc>
          <w:tcPr>
            <w:tcW w:w="624" w:type="dxa"/>
            <w:vAlign w:val="center"/>
          </w:tcPr>
          <w:p w14:paraId="49D318A6">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1</w:t>
            </w:r>
          </w:p>
        </w:tc>
        <w:tc>
          <w:tcPr>
            <w:tcW w:w="2141" w:type="dxa"/>
            <w:vAlign w:val="center"/>
          </w:tcPr>
          <w:p w14:paraId="20620C0A">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委宣传部</w:t>
            </w:r>
          </w:p>
        </w:tc>
        <w:tc>
          <w:tcPr>
            <w:tcW w:w="6044" w:type="dxa"/>
            <w:vAlign w:val="center"/>
          </w:tcPr>
          <w:p w14:paraId="4D1DF7BC">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负责协调新闻宣传和舆情处置工作、会同</w:t>
            </w: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应急指挥部</w:t>
            </w:r>
            <w:r>
              <w:rPr>
                <w:rFonts w:ascii="Times New Roman" w:hAnsi="Times New Roman" w:eastAsia="方正仿宋简体" w:cs="Times New Roman"/>
                <w:b/>
                <w:bCs/>
                <w:snapToGrid w:val="0"/>
                <w:spacing w:val="-6"/>
                <w:kern w:val="0"/>
                <w:sz w:val="24"/>
                <w:szCs w:val="24"/>
              </w:rPr>
              <w:t>办公室适时组织召开新闻发布会或通气会，正面引导舆论。</w:t>
            </w:r>
          </w:p>
          <w:p w14:paraId="2113402A">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完成</w:t>
            </w: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应急指挥部交办的其他事项。</w:t>
            </w:r>
          </w:p>
        </w:tc>
      </w:tr>
      <w:tr w14:paraId="771AF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50" w:hRule="atLeast"/>
          <w:jc w:val="center"/>
        </w:trPr>
        <w:tc>
          <w:tcPr>
            <w:tcW w:w="624" w:type="dxa"/>
            <w:vAlign w:val="center"/>
          </w:tcPr>
          <w:p w14:paraId="452EBE8D">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2</w:t>
            </w:r>
          </w:p>
        </w:tc>
        <w:tc>
          <w:tcPr>
            <w:tcW w:w="2141" w:type="dxa"/>
            <w:vAlign w:val="center"/>
          </w:tcPr>
          <w:p w14:paraId="16C9FA60">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生态环境局</w:t>
            </w:r>
          </w:p>
        </w:tc>
        <w:tc>
          <w:tcPr>
            <w:tcW w:w="6044" w:type="dxa"/>
            <w:vAlign w:val="center"/>
          </w:tcPr>
          <w:p w14:paraId="7D4E53EE">
            <w:pPr>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负责联合气象部门、</w:t>
            </w: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生态环境监测中心开展重污染天气会商，提出预警建议；指导</w:t>
            </w:r>
            <w:r>
              <w:rPr>
                <w:rFonts w:hint="eastAsia" w:eastAsia="方正仿宋简体" w:cs="Times New Roman"/>
                <w:b/>
                <w:bCs/>
                <w:snapToGrid w:val="0"/>
                <w:kern w:val="0"/>
                <w:sz w:val="24"/>
                <w:szCs w:val="24"/>
              </w:rPr>
              <w:t>乡镇（街道）、园区</w:t>
            </w:r>
            <w:r>
              <w:rPr>
                <w:rFonts w:ascii="Times New Roman" w:hAnsi="Times New Roman" w:eastAsia="方正仿宋简体" w:cs="Times New Roman"/>
                <w:b/>
                <w:bCs/>
                <w:snapToGrid w:val="0"/>
                <w:kern w:val="0"/>
                <w:sz w:val="24"/>
                <w:szCs w:val="24"/>
              </w:rPr>
              <w:t>开展重污染天气应急预案和应急减排清单的修订更新；督促各</w:t>
            </w:r>
            <w:r>
              <w:rPr>
                <w:rFonts w:hint="eastAsia" w:eastAsia="方正仿宋简体" w:cs="Times New Roman"/>
                <w:b/>
                <w:bCs/>
                <w:snapToGrid w:val="0"/>
                <w:kern w:val="0"/>
                <w:sz w:val="24"/>
                <w:szCs w:val="24"/>
              </w:rPr>
              <w:t>乡镇（街道）、园区</w:t>
            </w:r>
            <w:r>
              <w:rPr>
                <w:rFonts w:ascii="Times New Roman" w:hAnsi="Times New Roman" w:eastAsia="方正仿宋简体" w:cs="Times New Roman"/>
                <w:b/>
                <w:bCs/>
                <w:snapToGrid w:val="0"/>
                <w:kern w:val="0"/>
                <w:sz w:val="24"/>
                <w:szCs w:val="24"/>
              </w:rPr>
              <w:t>落实应采取停产、限产措施的企业采取响应措施。</w:t>
            </w:r>
          </w:p>
          <w:p w14:paraId="53E1AD5B">
            <w:pPr>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完成</w:t>
            </w: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应急指挥部交办的其他事项。</w:t>
            </w:r>
          </w:p>
        </w:tc>
      </w:tr>
      <w:tr w14:paraId="656A6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jc w:val="center"/>
        </w:trPr>
        <w:tc>
          <w:tcPr>
            <w:tcW w:w="624" w:type="dxa"/>
            <w:vAlign w:val="center"/>
          </w:tcPr>
          <w:p w14:paraId="7B8C696B">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3</w:t>
            </w:r>
          </w:p>
        </w:tc>
        <w:tc>
          <w:tcPr>
            <w:tcW w:w="2141" w:type="dxa"/>
            <w:vAlign w:val="center"/>
          </w:tcPr>
          <w:p w14:paraId="44A9D00D">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教育局</w:t>
            </w:r>
          </w:p>
        </w:tc>
        <w:tc>
          <w:tcPr>
            <w:tcW w:w="6044" w:type="dxa"/>
            <w:vAlign w:val="center"/>
          </w:tcPr>
          <w:p w14:paraId="7A2DAA46">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编制本部门重污染天气应急响应专项实施方案。</w:t>
            </w:r>
          </w:p>
          <w:p w14:paraId="30F98B6D">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负责指导和督促各级各类教育机构做好健康防护工作。</w:t>
            </w:r>
          </w:p>
          <w:p w14:paraId="2878BA39">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完成</w:t>
            </w: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应急指挥部交办的其他事项。</w:t>
            </w:r>
          </w:p>
        </w:tc>
      </w:tr>
      <w:tr w14:paraId="0749E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9" w:hRule="atLeast"/>
          <w:jc w:val="center"/>
        </w:trPr>
        <w:tc>
          <w:tcPr>
            <w:tcW w:w="624" w:type="dxa"/>
            <w:vAlign w:val="center"/>
          </w:tcPr>
          <w:p w14:paraId="1DCC5187">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4</w:t>
            </w:r>
          </w:p>
        </w:tc>
        <w:tc>
          <w:tcPr>
            <w:tcW w:w="2141" w:type="dxa"/>
            <w:vAlign w:val="center"/>
          </w:tcPr>
          <w:p w14:paraId="473D1140">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工业和信息化局</w:t>
            </w:r>
          </w:p>
        </w:tc>
        <w:tc>
          <w:tcPr>
            <w:tcW w:w="6044" w:type="dxa"/>
            <w:vAlign w:val="center"/>
          </w:tcPr>
          <w:p w14:paraId="71153E30">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编制本部门重污染天气应急响应专项实施方案。</w:t>
            </w:r>
          </w:p>
          <w:p w14:paraId="6DCAAB78">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会同</w:t>
            </w: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生态环境局督促各</w:t>
            </w:r>
            <w:r>
              <w:rPr>
                <w:rFonts w:hint="eastAsia" w:eastAsia="方正仿宋简体" w:cs="Times New Roman"/>
                <w:b/>
                <w:bCs/>
                <w:snapToGrid w:val="0"/>
                <w:kern w:val="0"/>
                <w:sz w:val="24"/>
                <w:szCs w:val="24"/>
              </w:rPr>
              <w:t>乡镇（街道）、园区</w:t>
            </w:r>
            <w:r>
              <w:rPr>
                <w:rFonts w:ascii="Times New Roman" w:hAnsi="Times New Roman" w:eastAsia="方正仿宋简体" w:cs="Times New Roman"/>
                <w:b/>
                <w:bCs/>
                <w:snapToGrid w:val="0"/>
                <w:kern w:val="0"/>
                <w:sz w:val="24"/>
                <w:szCs w:val="24"/>
              </w:rPr>
              <w:t>落实重点行业错峰生产工作。</w:t>
            </w:r>
          </w:p>
          <w:p w14:paraId="5EF869F6">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完成</w:t>
            </w: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应急指挥部交办的其他事项。</w:t>
            </w:r>
          </w:p>
        </w:tc>
      </w:tr>
      <w:tr w14:paraId="061BB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jc w:val="center"/>
        </w:trPr>
        <w:tc>
          <w:tcPr>
            <w:tcW w:w="624" w:type="dxa"/>
            <w:vAlign w:val="center"/>
          </w:tcPr>
          <w:p w14:paraId="19C65B3E">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5</w:t>
            </w:r>
          </w:p>
        </w:tc>
        <w:tc>
          <w:tcPr>
            <w:tcW w:w="2141" w:type="dxa"/>
            <w:vAlign w:val="center"/>
          </w:tcPr>
          <w:p w14:paraId="1BB61A5E">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公安局</w:t>
            </w:r>
          </w:p>
        </w:tc>
        <w:tc>
          <w:tcPr>
            <w:tcW w:w="6044" w:type="dxa"/>
            <w:vAlign w:val="center"/>
          </w:tcPr>
          <w:p w14:paraId="382CD68F">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编制本部门重污染天气应急响应专项实施方案。</w:t>
            </w:r>
          </w:p>
          <w:p w14:paraId="5BA3620A">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负责制定高排放车辆临时禁、限行方案，</w:t>
            </w:r>
            <w:r>
              <w:rPr>
                <w:rFonts w:hint="eastAsia" w:eastAsia="方正仿宋简体" w:cs="Times New Roman"/>
                <w:b/>
                <w:bCs/>
                <w:snapToGrid w:val="0"/>
                <w:kern w:val="0"/>
                <w:sz w:val="24"/>
                <w:szCs w:val="24"/>
              </w:rPr>
              <w:t>开展车辆管控检查。</w:t>
            </w:r>
          </w:p>
          <w:p w14:paraId="1220854A">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完成</w:t>
            </w: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应急指挥部交办的其他事项。</w:t>
            </w:r>
          </w:p>
        </w:tc>
      </w:tr>
      <w:tr w14:paraId="1D9FE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jc w:val="center"/>
        </w:trPr>
        <w:tc>
          <w:tcPr>
            <w:tcW w:w="624" w:type="dxa"/>
            <w:vAlign w:val="center"/>
          </w:tcPr>
          <w:p w14:paraId="139524B6">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6</w:t>
            </w:r>
          </w:p>
        </w:tc>
        <w:tc>
          <w:tcPr>
            <w:tcW w:w="2141" w:type="dxa"/>
            <w:vAlign w:val="center"/>
          </w:tcPr>
          <w:p w14:paraId="10047A04">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spacing w:val="-6"/>
                <w:kern w:val="0"/>
                <w:sz w:val="24"/>
                <w:szCs w:val="20"/>
              </w:rPr>
            </w:pPr>
            <w:r>
              <w:rPr>
                <w:rFonts w:hint="eastAsia" w:eastAsia="方正仿宋简体" w:cs="Times New Roman"/>
                <w:b/>
                <w:bCs/>
                <w:snapToGrid w:val="0"/>
                <w:spacing w:val="-6"/>
                <w:kern w:val="0"/>
                <w:sz w:val="24"/>
                <w:szCs w:val="24"/>
              </w:rPr>
              <w:t>县</w:t>
            </w:r>
            <w:r>
              <w:rPr>
                <w:rFonts w:ascii="Times New Roman" w:hAnsi="Times New Roman" w:eastAsia="方正仿宋简体" w:cs="Times New Roman"/>
                <w:b/>
                <w:bCs/>
                <w:snapToGrid w:val="0"/>
                <w:spacing w:val="-6"/>
                <w:kern w:val="0"/>
                <w:sz w:val="24"/>
                <w:szCs w:val="24"/>
              </w:rPr>
              <w:t>自然资源和规划局</w:t>
            </w:r>
          </w:p>
        </w:tc>
        <w:tc>
          <w:tcPr>
            <w:tcW w:w="6044" w:type="dxa"/>
            <w:vAlign w:val="center"/>
          </w:tcPr>
          <w:p w14:paraId="12343161">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编制本部门重污染天气应急响应专项实施方案。</w:t>
            </w:r>
          </w:p>
          <w:p w14:paraId="63B7DEF1">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负责露天非煤矿山开采、未开发土地扬尘污染综合整治和应急处置工作，制定行业错峰运输方案并负责组织落实。</w:t>
            </w:r>
          </w:p>
          <w:p w14:paraId="2EECC948">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完成</w:t>
            </w: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应急指挥部交办的其他事项。</w:t>
            </w:r>
          </w:p>
        </w:tc>
      </w:tr>
      <w:tr w14:paraId="778F4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 w:hRule="atLeast"/>
          <w:jc w:val="center"/>
        </w:trPr>
        <w:tc>
          <w:tcPr>
            <w:tcW w:w="624" w:type="dxa"/>
            <w:vAlign w:val="center"/>
          </w:tcPr>
          <w:p w14:paraId="0D42532F">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7</w:t>
            </w:r>
          </w:p>
        </w:tc>
        <w:tc>
          <w:tcPr>
            <w:tcW w:w="2141" w:type="dxa"/>
            <w:vAlign w:val="center"/>
          </w:tcPr>
          <w:p w14:paraId="37DE585F">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住房城乡建设局</w:t>
            </w:r>
          </w:p>
        </w:tc>
        <w:tc>
          <w:tcPr>
            <w:tcW w:w="6044" w:type="dxa"/>
            <w:vAlign w:val="center"/>
          </w:tcPr>
          <w:p w14:paraId="7C2A58BC">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编制本部门重污染天气应急响应专项实施方案。</w:t>
            </w:r>
          </w:p>
          <w:p w14:paraId="1C567A15">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负责落实房屋市政工程施工工地（含拆迁）等扬尘污染防治措施。</w:t>
            </w:r>
          </w:p>
          <w:p w14:paraId="344BD19F">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完成</w:t>
            </w: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应急指挥部交办的其他事项。</w:t>
            </w:r>
          </w:p>
        </w:tc>
      </w:tr>
      <w:tr w14:paraId="03148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 w:hRule="atLeast"/>
          <w:jc w:val="center"/>
        </w:trPr>
        <w:tc>
          <w:tcPr>
            <w:tcW w:w="624" w:type="dxa"/>
            <w:vAlign w:val="center"/>
          </w:tcPr>
          <w:p w14:paraId="4D074F0C">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8</w:t>
            </w:r>
          </w:p>
        </w:tc>
        <w:tc>
          <w:tcPr>
            <w:tcW w:w="2141" w:type="dxa"/>
            <w:vAlign w:val="center"/>
          </w:tcPr>
          <w:p w14:paraId="00819AF3">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hint="eastAsia" w:eastAsia="方正仿宋简体" w:cs="Times New Roman"/>
                <w:b/>
                <w:bCs/>
                <w:snapToGrid w:val="0"/>
                <w:kern w:val="0"/>
                <w:sz w:val="24"/>
                <w:szCs w:val="24"/>
              </w:rPr>
              <w:t>县综合行政执法局</w:t>
            </w:r>
          </w:p>
        </w:tc>
        <w:tc>
          <w:tcPr>
            <w:tcW w:w="6044" w:type="dxa"/>
            <w:vAlign w:val="center"/>
          </w:tcPr>
          <w:p w14:paraId="3302F56B">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编制本部门重污染天气应急响应专项实施方案。</w:t>
            </w:r>
          </w:p>
          <w:p w14:paraId="3E7F9E1F">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负责</w:t>
            </w:r>
            <w:r>
              <w:rPr>
                <w:rFonts w:hint="eastAsia" w:ascii="Times New Roman" w:hAnsi="Times New Roman" w:eastAsia="方正仿宋简体" w:cs="Times New Roman"/>
                <w:b/>
                <w:bCs/>
                <w:snapToGrid w:val="0"/>
                <w:kern w:val="0"/>
                <w:sz w:val="24"/>
                <w:szCs w:val="24"/>
              </w:rPr>
              <w:t>指导街道</w:t>
            </w:r>
            <w:r>
              <w:rPr>
                <w:rFonts w:ascii="Times New Roman" w:hAnsi="Times New Roman" w:eastAsia="方正仿宋简体" w:cs="Times New Roman"/>
                <w:b/>
                <w:bCs/>
                <w:snapToGrid w:val="0"/>
                <w:kern w:val="0"/>
                <w:sz w:val="24"/>
                <w:szCs w:val="24"/>
              </w:rPr>
              <w:t>查处</w:t>
            </w:r>
            <w:r>
              <w:rPr>
                <w:rFonts w:hint="eastAsia" w:ascii="Times New Roman" w:hAnsi="Times New Roman" w:eastAsia="方正仿宋简体" w:cs="Times New Roman"/>
                <w:b/>
                <w:bCs/>
                <w:snapToGrid w:val="0"/>
                <w:kern w:val="0"/>
                <w:sz w:val="24"/>
                <w:szCs w:val="24"/>
              </w:rPr>
              <w:t>城区内</w:t>
            </w:r>
            <w:r>
              <w:rPr>
                <w:rFonts w:ascii="Times New Roman" w:hAnsi="Times New Roman" w:eastAsia="方正仿宋简体" w:cs="Times New Roman"/>
                <w:b/>
                <w:bCs/>
                <w:snapToGrid w:val="0"/>
                <w:kern w:val="0"/>
                <w:sz w:val="24"/>
                <w:szCs w:val="24"/>
              </w:rPr>
              <w:t>应急响应期间建筑渣土、生活垃圾运输车辆未采取密闭措施造成撒漏污染的行为和私拉乱倒建筑渣土、生活垃圾、枯枝落叶的行为，</w:t>
            </w:r>
            <w:r>
              <w:rPr>
                <w:rFonts w:hint="eastAsia" w:ascii="Times New Roman" w:hAnsi="Times New Roman" w:eastAsia="方正仿宋简体" w:cs="Times New Roman"/>
                <w:b/>
                <w:bCs/>
                <w:snapToGrid w:val="0"/>
                <w:kern w:val="0"/>
                <w:sz w:val="24"/>
                <w:szCs w:val="24"/>
              </w:rPr>
              <w:t>指导街道</w:t>
            </w:r>
            <w:r>
              <w:rPr>
                <w:rFonts w:ascii="Times New Roman" w:hAnsi="Times New Roman" w:eastAsia="方正仿宋简体" w:cs="Times New Roman"/>
                <w:b/>
                <w:bCs/>
                <w:snapToGrid w:val="0"/>
                <w:kern w:val="0"/>
                <w:sz w:val="24"/>
                <w:szCs w:val="24"/>
              </w:rPr>
              <w:t>查处</w:t>
            </w:r>
            <w:r>
              <w:rPr>
                <w:rFonts w:hint="eastAsia" w:ascii="Times New Roman" w:hAnsi="Times New Roman" w:eastAsia="方正仿宋简体" w:cs="Times New Roman"/>
                <w:b/>
                <w:bCs/>
                <w:snapToGrid w:val="0"/>
                <w:kern w:val="0"/>
                <w:sz w:val="24"/>
                <w:szCs w:val="24"/>
              </w:rPr>
              <w:t>城区内</w:t>
            </w:r>
            <w:r>
              <w:rPr>
                <w:rFonts w:ascii="Times New Roman" w:hAnsi="Times New Roman" w:eastAsia="方正仿宋简体" w:cs="Times New Roman"/>
                <w:b/>
                <w:bCs/>
                <w:snapToGrid w:val="0"/>
                <w:kern w:val="0"/>
                <w:sz w:val="24"/>
                <w:szCs w:val="24"/>
              </w:rPr>
              <w:t>焚烧生活垃圾、焚烧枯枝落叶等行为</w:t>
            </w:r>
            <w:r>
              <w:rPr>
                <w:rFonts w:hint="eastAsia" w:ascii="Times New Roman" w:hAnsi="Times New Roman" w:eastAsia="方正仿宋简体" w:cs="Times New Roman"/>
                <w:b/>
                <w:bCs/>
                <w:snapToGrid w:val="0"/>
                <w:kern w:val="0"/>
                <w:sz w:val="24"/>
                <w:szCs w:val="24"/>
              </w:rPr>
              <w:t>；</w:t>
            </w:r>
          </w:p>
          <w:p w14:paraId="2DB813D4">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hint="eastAsia" w:ascii="Times New Roman" w:hAnsi="Times New Roman" w:eastAsia="方正仿宋简体" w:cs="Times New Roman"/>
                <w:b/>
                <w:bCs/>
                <w:snapToGrid w:val="0"/>
                <w:kern w:val="0"/>
                <w:sz w:val="24"/>
                <w:szCs w:val="24"/>
              </w:rPr>
              <w:t>禁止城区</w:t>
            </w:r>
            <w:r>
              <w:rPr>
                <w:rFonts w:ascii="Times New Roman" w:hAnsi="Times New Roman" w:eastAsia="方正仿宋简体" w:cs="Times New Roman"/>
                <w:b/>
                <w:bCs/>
                <w:snapToGrid w:val="0"/>
                <w:kern w:val="0"/>
                <w:sz w:val="24"/>
                <w:szCs w:val="24"/>
              </w:rPr>
              <w:t>露天烧烤</w:t>
            </w:r>
            <w:r>
              <w:rPr>
                <w:rFonts w:hint="eastAsia" w:ascii="Times New Roman" w:hAnsi="Times New Roman" w:eastAsia="方正仿宋简体" w:cs="Times New Roman"/>
                <w:b/>
                <w:bCs/>
                <w:snapToGrid w:val="0"/>
                <w:kern w:val="0"/>
                <w:sz w:val="24"/>
                <w:szCs w:val="24"/>
              </w:rPr>
              <w:t>行为，</w:t>
            </w:r>
            <w:r>
              <w:rPr>
                <w:rFonts w:ascii="Times New Roman" w:hAnsi="Times New Roman" w:eastAsia="方正仿宋简体" w:cs="Times New Roman"/>
                <w:b/>
                <w:bCs/>
                <w:snapToGrid w:val="0"/>
                <w:kern w:val="0"/>
                <w:sz w:val="24"/>
                <w:szCs w:val="24"/>
              </w:rPr>
              <w:t>加强城区主要道路的清扫和冲洗保洁；</w:t>
            </w:r>
          </w:p>
          <w:p w14:paraId="5C6B3F4E">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负责监督应急响应期间园林绿化工地等落实应急响应措施。</w:t>
            </w:r>
          </w:p>
          <w:p w14:paraId="596DCDCA">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完成</w:t>
            </w: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应急指挥部交办的其他事项。</w:t>
            </w:r>
          </w:p>
        </w:tc>
      </w:tr>
      <w:tr w14:paraId="05B79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 w:hRule="atLeast"/>
          <w:jc w:val="center"/>
        </w:trPr>
        <w:tc>
          <w:tcPr>
            <w:tcW w:w="624" w:type="dxa"/>
            <w:vAlign w:val="center"/>
          </w:tcPr>
          <w:p w14:paraId="6FB117A8">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9</w:t>
            </w:r>
          </w:p>
        </w:tc>
        <w:tc>
          <w:tcPr>
            <w:tcW w:w="2141" w:type="dxa"/>
            <w:vAlign w:val="center"/>
          </w:tcPr>
          <w:p w14:paraId="482DE888">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交通运输局</w:t>
            </w:r>
          </w:p>
        </w:tc>
        <w:tc>
          <w:tcPr>
            <w:tcW w:w="6044" w:type="dxa"/>
            <w:vAlign w:val="center"/>
          </w:tcPr>
          <w:p w14:paraId="2A4CCB90">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编制本部门重污染天气应急响应专项实施方案。</w:t>
            </w:r>
          </w:p>
          <w:p w14:paraId="2C5AF4E4">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负责</w:t>
            </w:r>
            <w:r>
              <w:rPr>
                <w:rFonts w:hint="eastAsia" w:eastAsia="方正仿宋简体" w:cs="Times New Roman"/>
                <w:b/>
                <w:bCs/>
                <w:snapToGrid w:val="0"/>
                <w:kern w:val="0"/>
                <w:sz w:val="24"/>
                <w:szCs w:val="24"/>
              </w:rPr>
              <w:t>应急响应期间公共交通运力保障，配合做好超载车辆查处。负责运输物料抛洒执法检查。</w:t>
            </w:r>
          </w:p>
          <w:p w14:paraId="3009F107">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完成</w:t>
            </w: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应急指挥部交办的其他事项。</w:t>
            </w:r>
          </w:p>
        </w:tc>
      </w:tr>
      <w:tr w14:paraId="5B2D6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624" w:type="dxa"/>
            <w:vAlign w:val="center"/>
          </w:tcPr>
          <w:p w14:paraId="38C74818">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10</w:t>
            </w:r>
          </w:p>
        </w:tc>
        <w:tc>
          <w:tcPr>
            <w:tcW w:w="2141" w:type="dxa"/>
            <w:vAlign w:val="center"/>
          </w:tcPr>
          <w:p w14:paraId="3DDFA0D3">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水务局</w:t>
            </w:r>
          </w:p>
        </w:tc>
        <w:tc>
          <w:tcPr>
            <w:tcW w:w="6044" w:type="dxa"/>
            <w:vAlign w:val="center"/>
          </w:tcPr>
          <w:p w14:paraId="62C10E93">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编制本部门重污染天气应急响应专项实施方案。</w:t>
            </w:r>
          </w:p>
          <w:p w14:paraId="0EFFFB8D">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负责水利施工应急措施的落实。</w:t>
            </w:r>
          </w:p>
          <w:p w14:paraId="2ED0D5A0">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完成</w:t>
            </w: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应急指挥部交办的其他事项。</w:t>
            </w:r>
          </w:p>
        </w:tc>
      </w:tr>
      <w:tr w14:paraId="1E5C6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1" w:hRule="atLeast"/>
          <w:jc w:val="center"/>
        </w:trPr>
        <w:tc>
          <w:tcPr>
            <w:tcW w:w="624" w:type="dxa"/>
            <w:vAlign w:val="center"/>
          </w:tcPr>
          <w:p w14:paraId="47493ED5">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11</w:t>
            </w:r>
          </w:p>
        </w:tc>
        <w:tc>
          <w:tcPr>
            <w:tcW w:w="2141" w:type="dxa"/>
            <w:vAlign w:val="center"/>
          </w:tcPr>
          <w:p w14:paraId="011D5DED">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农业农村局</w:t>
            </w:r>
          </w:p>
        </w:tc>
        <w:tc>
          <w:tcPr>
            <w:tcW w:w="6044" w:type="dxa"/>
            <w:vAlign w:val="center"/>
          </w:tcPr>
          <w:p w14:paraId="11ED7C95">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编制本部门重污染天气应急响应专项实施方案。</w:t>
            </w:r>
          </w:p>
          <w:p w14:paraId="60966C95">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负责加强秸秆禁烧工作的巡查。</w:t>
            </w:r>
          </w:p>
          <w:p w14:paraId="195C0B52">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完成</w:t>
            </w: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应急指挥部交办的其他事项。</w:t>
            </w:r>
          </w:p>
        </w:tc>
      </w:tr>
      <w:tr w14:paraId="290CC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jc w:val="center"/>
        </w:trPr>
        <w:tc>
          <w:tcPr>
            <w:tcW w:w="624" w:type="dxa"/>
            <w:vAlign w:val="center"/>
          </w:tcPr>
          <w:p w14:paraId="211837C0">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12</w:t>
            </w:r>
          </w:p>
        </w:tc>
        <w:tc>
          <w:tcPr>
            <w:tcW w:w="2141" w:type="dxa"/>
            <w:vAlign w:val="center"/>
          </w:tcPr>
          <w:p w14:paraId="4BA974EC">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商务局</w:t>
            </w:r>
          </w:p>
        </w:tc>
        <w:tc>
          <w:tcPr>
            <w:tcW w:w="6044" w:type="dxa"/>
            <w:vAlign w:val="center"/>
          </w:tcPr>
          <w:p w14:paraId="527BEC1E">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编制本部门重污染天气应急响应专项实施方案。</w:t>
            </w:r>
          </w:p>
          <w:p w14:paraId="6620A2CB">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负责成品油流通监督管理工作，严格成品油流通领域市场准入，按规定查处成品油经营企业违法违规行为，维护市场流通秩序。</w:t>
            </w:r>
          </w:p>
          <w:p w14:paraId="1A7B02A6">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完成</w:t>
            </w: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应急指挥部交办的其他事项。</w:t>
            </w:r>
          </w:p>
        </w:tc>
      </w:tr>
      <w:tr w14:paraId="7F772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9" w:hRule="atLeast"/>
          <w:jc w:val="center"/>
        </w:trPr>
        <w:tc>
          <w:tcPr>
            <w:tcW w:w="624" w:type="dxa"/>
            <w:vAlign w:val="center"/>
          </w:tcPr>
          <w:p w14:paraId="5EBA4589">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13</w:t>
            </w:r>
          </w:p>
        </w:tc>
        <w:tc>
          <w:tcPr>
            <w:tcW w:w="2141" w:type="dxa"/>
            <w:vAlign w:val="center"/>
          </w:tcPr>
          <w:p w14:paraId="706F3052">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市场监管局</w:t>
            </w:r>
          </w:p>
        </w:tc>
        <w:tc>
          <w:tcPr>
            <w:tcW w:w="6044" w:type="dxa"/>
            <w:vAlign w:val="center"/>
          </w:tcPr>
          <w:p w14:paraId="4B6DB19D">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编制本部门重污染天气应急响应专项实施方案。</w:t>
            </w:r>
          </w:p>
          <w:p w14:paraId="4953C16D">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负责流通领域油品质量的监督检查；负责生产领域油品质量的监督检查。</w:t>
            </w:r>
          </w:p>
          <w:p w14:paraId="4B8E4E17">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完成</w:t>
            </w: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应急指挥部交办的其他事项。</w:t>
            </w:r>
          </w:p>
        </w:tc>
      </w:tr>
      <w:tr w14:paraId="16838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8" w:hRule="atLeast"/>
          <w:jc w:val="center"/>
        </w:trPr>
        <w:tc>
          <w:tcPr>
            <w:tcW w:w="624" w:type="dxa"/>
            <w:vAlign w:val="center"/>
          </w:tcPr>
          <w:p w14:paraId="47330F62">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14</w:t>
            </w:r>
          </w:p>
        </w:tc>
        <w:tc>
          <w:tcPr>
            <w:tcW w:w="2141" w:type="dxa"/>
            <w:vAlign w:val="center"/>
          </w:tcPr>
          <w:p w14:paraId="53B37953">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hint="eastAsia" w:eastAsia="方正仿宋简体" w:cs="Times New Roman"/>
                <w:b/>
                <w:bCs/>
                <w:snapToGrid w:val="0"/>
                <w:kern w:val="0"/>
                <w:sz w:val="24"/>
                <w:szCs w:val="24"/>
              </w:rPr>
              <w:t>县发改局、县粮食和物资储备保障中心</w:t>
            </w:r>
          </w:p>
        </w:tc>
        <w:tc>
          <w:tcPr>
            <w:tcW w:w="6044" w:type="dxa"/>
            <w:vAlign w:val="center"/>
          </w:tcPr>
          <w:p w14:paraId="501D5628">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编制本部门重污染天气应急响应专项实施方案。</w:t>
            </w:r>
          </w:p>
          <w:p w14:paraId="40ED8B0D">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负责应急响应期间煤矿及周边煤场落实应急响应措施，制定运煤车辆错峰运输方案并负责组织落实。负责落实应急响应情况下的能源和电力保障工作，并组织落实。</w:t>
            </w:r>
          </w:p>
          <w:p w14:paraId="3A603145">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完成</w:t>
            </w: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应急指挥部交办的其他事项。</w:t>
            </w:r>
          </w:p>
        </w:tc>
      </w:tr>
      <w:tr w14:paraId="17557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jc w:val="center"/>
        </w:trPr>
        <w:tc>
          <w:tcPr>
            <w:tcW w:w="624" w:type="dxa"/>
            <w:vAlign w:val="center"/>
          </w:tcPr>
          <w:p w14:paraId="5C00B586">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15</w:t>
            </w:r>
          </w:p>
        </w:tc>
        <w:tc>
          <w:tcPr>
            <w:tcW w:w="2141" w:type="dxa"/>
            <w:vAlign w:val="center"/>
          </w:tcPr>
          <w:p w14:paraId="06773A16">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hint="eastAsia" w:eastAsia="方正仿宋简体" w:cs="Times New Roman"/>
                <w:b/>
                <w:bCs/>
                <w:snapToGrid w:val="0"/>
                <w:kern w:val="0"/>
                <w:sz w:val="24"/>
                <w:szCs w:val="24"/>
              </w:rPr>
              <w:t>县公路局</w:t>
            </w:r>
          </w:p>
        </w:tc>
        <w:tc>
          <w:tcPr>
            <w:tcW w:w="6044" w:type="dxa"/>
            <w:vAlign w:val="center"/>
          </w:tcPr>
          <w:p w14:paraId="43309CF7">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编制本部门重污染天气应急响应专项实施方案。</w:t>
            </w:r>
          </w:p>
          <w:p w14:paraId="2ECFD2D8">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加大普通国省道路施工扬尘应急措施落实，</w:t>
            </w:r>
            <w:r>
              <w:rPr>
                <w:rFonts w:hint="eastAsia" w:eastAsia="方正仿宋简体" w:cs="Times New Roman"/>
                <w:b/>
                <w:bCs/>
                <w:snapToGrid w:val="0"/>
                <w:kern w:val="0"/>
                <w:sz w:val="24"/>
                <w:szCs w:val="24"/>
              </w:rPr>
              <w:t>督促相关部门（单位）</w:t>
            </w:r>
            <w:r>
              <w:rPr>
                <w:rFonts w:ascii="Times New Roman" w:hAnsi="Times New Roman" w:eastAsia="方正仿宋简体" w:cs="Times New Roman"/>
                <w:b/>
                <w:bCs/>
                <w:snapToGrid w:val="0"/>
                <w:kern w:val="0"/>
                <w:sz w:val="24"/>
                <w:szCs w:val="24"/>
              </w:rPr>
              <w:t>加大清扫保洁应急措施落实。</w:t>
            </w:r>
          </w:p>
          <w:p w14:paraId="5C51BDE9">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完成</w:t>
            </w: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应急指挥部交办的其他事项。</w:t>
            </w:r>
          </w:p>
        </w:tc>
      </w:tr>
      <w:tr w14:paraId="69DE7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2" w:hRule="atLeast"/>
          <w:jc w:val="center"/>
        </w:trPr>
        <w:tc>
          <w:tcPr>
            <w:tcW w:w="624" w:type="dxa"/>
            <w:vAlign w:val="center"/>
          </w:tcPr>
          <w:p w14:paraId="3F743565">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1</w:t>
            </w:r>
            <w:r>
              <w:rPr>
                <w:rFonts w:hint="eastAsia" w:eastAsia="方正仿宋简体" w:cs="Times New Roman"/>
                <w:b/>
                <w:bCs/>
                <w:snapToGrid w:val="0"/>
                <w:kern w:val="0"/>
                <w:sz w:val="24"/>
                <w:szCs w:val="24"/>
              </w:rPr>
              <w:t>6</w:t>
            </w:r>
          </w:p>
        </w:tc>
        <w:tc>
          <w:tcPr>
            <w:tcW w:w="2141" w:type="dxa"/>
            <w:vAlign w:val="center"/>
          </w:tcPr>
          <w:p w14:paraId="568FA6E1">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气象局</w:t>
            </w:r>
          </w:p>
        </w:tc>
        <w:tc>
          <w:tcPr>
            <w:tcW w:w="6044" w:type="dxa"/>
            <w:vAlign w:val="center"/>
          </w:tcPr>
          <w:p w14:paraId="78FB9964">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编制本部门重污染天气应急响应专项实施方案。</w:t>
            </w:r>
          </w:p>
          <w:p w14:paraId="72D4B9DF">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负责全</w:t>
            </w: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空气污染气象条件等级预报；联合</w:t>
            </w: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生态环境局组织开展全</w:t>
            </w: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城市空气质量预报和重污染天气监测预警工作。</w:t>
            </w:r>
          </w:p>
          <w:p w14:paraId="01735882">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完成</w:t>
            </w: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应急指挥部交办的其他事项。</w:t>
            </w:r>
          </w:p>
        </w:tc>
      </w:tr>
      <w:tr w14:paraId="4D52F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6" w:hRule="atLeast"/>
          <w:jc w:val="center"/>
        </w:trPr>
        <w:tc>
          <w:tcPr>
            <w:tcW w:w="624" w:type="dxa"/>
            <w:vAlign w:val="center"/>
          </w:tcPr>
          <w:p w14:paraId="2AFEAF90">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1</w:t>
            </w:r>
            <w:r>
              <w:rPr>
                <w:rFonts w:hint="eastAsia" w:eastAsia="方正仿宋简体" w:cs="Times New Roman"/>
                <w:b/>
                <w:bCs/>
                <w:snapToGrid w:val="0"/>
                <w:kern w:val="0"/>
                <w:sz w:val="24"/>
                <w:szCs w:val="24"/>
              </w:rPr>
              <w:t>7</w:t>
            </w:r>
          </w:p>
        </w:tc>
        <w:tc>
          <w:tcPr>
            <w:tcW w:w="2141" w:type="dxa"/>
            <w:vAlign w:val="center"/>
          </w:tcPr>
          <w:p w14:paraId="03FDAA9E">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spacing w:val="-6"/>
                <w:kern w:val="0"/>
                <w:sz w:val="24"/>
                <w:szCs w:val="20"/>
              </w:rPr>
            </w:pPr>
            <w:r>
              <w:rPr>
                <w:rFonts w:ascii="Times New Roman" w:hAnsi="Times New Roman" w:eastAsia="方正仿宋简体" w:cs="Times New Roman"/>
                <w:b/>
                <w:bCs/>
                <w:snapToGrid w:val="0"/>
                <w:kern w:val="0"/>
                <w:sz w:val="24"/>
                <w:szCs w:val="24"/>
              </w:rPr>
              <w:t>国网</w:t>
            </w:r>
            <w:r>
              <w:rPr>
                <w:rFonts w:hint="eastAsia" w:eastAsia="方正仿宋简体" w:cs="Times New Roman"/>
                <w:b/>
                <w:bCs/>
                <w:snapToGrid w:val="0"/>
                <w:kern w:val="0"/>
                <w:sz w:val="24"/>
                <w:szCs w:val="24"/>
              </w:rPr>
              <w:t>汶上</w:t>
            </w:r>
            <w:r>
              <w:rPr>
                <w:rFonts w:ascii="Times New Roman" w:hAnsi="Times New Roman" w:eastAsia="方正仿宋简体" w:cs="Times New Roman"/>
                <w:b/>
                <w:bCs/>
                <w:snapToGrid w:val="0"/>
                <w:kern w:val="0"/>
                <w:sz w:val="24"/>
                <w:szCs w:val="24"/>
              </w:rPr>
              <w:t>供电公司</w:t>
            </w:r>
          </w:p>
        </w:tc>
        <w:tc>
          <w:tcPr>
            <w:tcW w:w="6044" w:type="dxa"/>
            <w:vAlign w:val="center"/>
          </w:tcPr>
          <w:p w14:paraId="3F3FD129">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按照县应急指挥部或应急管理部门书面通知要求，落实重污染天气应急响应依法依规对停限产企业采取相应的电力分配措施。</w:t>
            </w:r>
          </w:p>
          <w:p w14:paraId="5A355CEC">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完成</w:t>
            </w: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应急指挥部交办的其他事项。</w:t>
            </w:r>
          </w:p>
        </w:tc>
      </w:tr>
      <w:tr w14:paraId="18694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jc w:val="center"/>
        </w:trPr>
        <w:tc>
          <w:tcPr>
            <w:tcW w:w="624" w:type="dxa"/>
            <w:vAlign w:val="center"/>
          </w:tcPr>
          <w:p w14:paraId="5A433754">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1</w:t>
            </w:r>
            <w:r>
              <w:rPr>
                <w:rFonts w:hint="eastAsia" w:eastAsia="方正仿宋简体" w:cs="Times New Roman"/>
                <w:b/>
                <w:bCs/>
                <w:snapToGrid w:val="0"/>
                <w:kern w:val="0"/>
                <w:sz w:val="24"/>
                <w:szCs w:val="24"/>
              </w:rPr>
              <w:t>8</w:t>
            </w:r>
          </w:p>
        </w:tc>
        <w:tc>
          <w:tcPr>
            <w:tcW w:w="2141" w:type="dxa"/>
            <w:vAlign w:val="center"/>
          </w:tcPr>
          <w:p w14:paraId="050FEF6B">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spacing w:val="-6"/>
                <w:kern w:val="0"/>
                <w:sz w:val="24"/>
                <w:szCs w:val="20"/>
              </w:rPr>
            </w:pPr>
            <w:r>
              <w:rPr>
                <w:rFonts w:hint="eastAsia" w:eastAsia="方正仿宋简体" w:cs="Times New Roman"/>
                <w:b/>
                <w:bCs/>
                <w:snapToGrid w:val="0"/>
                <w:kern w:val="0"/>
                <w:sz w:val="24"/>
                <w:szCs w:val="24"/>
              </w:rPr>
              <w:t>县电信公司</w:t>
            </w:r>
          </w:p>
        </w:tc>
        <w:tc>
          <w:tcPr>
            <w:tcW w:w="6044" w:type="dxa"/>
            <w:vAlign w:val="center"/>
          </w:tcPr>
          <w:p w14:paraId="0C0878DC">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负责指导各级通信企业保障通信畅通。</w:t>
            </w:r>
          </w:p>
          <w:p w14:paraId="55CD4F9C">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完成</w:t>
            </w: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应急指挥部交办的其他事项。</w:t>
            </w:r>
          </w:p>
        </w:tc>
      </w:tr>
      <w:tr w14:paraId="0B854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7" w:hRule="atLeast"/>
          <w:jc w:val="center"/>
        </w:trPr>
        <w:tc>
          <w:tcPr>
            <w:tcW w:w="624" w:type="dxa"/>
            <w:vAlign w:val="center"/>
          </w:tcPr>
          <w:p w14:paraId="6E2C9CBB">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hint="eastAsia" w:eastAsia="方正仿宋简体" w:cs="Times New Roman"/>
                <w:b/>
                <w:bCs/>
                <w:snapToGrid w:val="0"/>
                <w:kern w:val="0"/>
                <w:sz w:val="24"/>
                <w:szCs w:val="24"/>
              </w:rPr>
              <w:t>19</w:t>
            </w:r>
          </w:p>
        </w:tc>
        <w:tc>
          <w:tcPr>
            <w:tcW w:w="2141" w:type="dxa"/>
            <w:vAlign w:val="center"/>
          </w:tcPr>
          <w:p w14:paraId="6FEB1672">
            <w:pPr>
              <w:widowControl/>
              <w:kinsoku w:val="0"/>
              <w:autoSpaceDE w:val="0"/>
              <w:autoSpaceDN w:val="0"/>
              <w:adjustRightInd w:val="0"/>
              <w:snapToGrid w:val="0"/>
              <w:spacing w:line="300" w:lineRule="exact"/>
              <w:ind w:left="21" w:leftChars="10" w:right="21" w:rightChars="10"/>
              <w:jc w:val="center"/>
              <w:textAlignment w:val="baseline"/>
              <w:rPr>
                <w:rFonts w:eastAsia="方正仿宋简体" w:cs="Times New Roman"/>
                <w:b/>
                <w:bCs/>
                <w:snapToGrid w:val="0"/>
                <w:kern w:val="0"/>
                <w:sz w:val="24"/>
                <w:szCs w:val="20"/>
              </w:rPr>
            </w:pPr>
            <w:r>
              <w:rPr>
                <w:rFonts w:hint="eastAsia" w:eastAsia="方正仿宋简体" w:cs="Times New Roman"/>
                <w:b/>
                <w:bCs/>
                <w:snapToGrid w:val="0"/>
                <w:kern w:val="0"/>
                <w:sz w:val="24"/>
                <w:szCs w:val="24"/>
              </w:rPr>
              <w:t>县移动公司</w:t>
            </w:r>
          </w:p>
        </w:tc>
        <w:tc>
          <w:tcPr>
            <w:tcW w:w="6044" w:type="dxa"/>
            <w:vAlign w:val="center"/>
          </w:tcPr>
          <w:p w14:paraId="062A1501">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负责指导各级通信企业保障通信畅通。</w:t>
            </w:r>
          </w:p>
          <w:p w14:paraId="7A157C73">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完成</w:t>
            </w: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应急指挥部交办的其他事项。</w:t>
            </w:r>
          </w:p>
        </w:tc>
      </w:tr>
      <w:tr w14:paraId="5C3F0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624" w:type="dxa"/>
            <w:vAlign w:val="center"/>
          </w:tcPr>
          <w:p w14:paraId="1A4A58A9">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hint="eastAsia" w:eastAsia="方正仿宋简体" w:cs="Times New Roman"/>
                <w:b/>
                <w:bCs/>
                <w:snapToGrid w:val="0"/>
                <w:kern w:val="0"/>
                <w:sz w:val="24"/>
                <w:szCs w:val="24"/>
              </w:rPr>
              <w:t>20</w:t>
            </w:r>
          </w:p>
        </w:tc>
        <w:tc>
          <w:tcPr>
            <w:tcW w:w="2141" w:type="dxa"/>
            <w:vAlign w:val="center"/>
          </w:tcPr>
          <w:p w14:paraId="42870E7F">
            <w:pPr>
              <w:widowControl/>
              <w:kinsoku w:val="0"/>
              <w:autoSpaceDE w:val="0"/>
              <w:autoSpaceDN w:val="0"/>
              <w:adjustRightInd w:val="0"/>
              <w:snapToGrid w:val="0"/>
              <w:spacing w:line="300" w:lineRule="exact"/>
              <w:ind w:left="21" w:leftChars="10" w:right="21" w:rightChars="10"/>
              <w:jc w:val="center"/>
              <w:textAlignment w:val="baseline"/>
              <w:rPr>
                <w:rFonts w:eastAsia="方正仿宋简体" w:cs="Times New Roman"/>
                <w:b/>
                <w:bCs/>
                <w:snapToGrid w:val="0"/>
                <w:kern w:val="0"/>
                <w:sz w:val="24"/>
                <w:szCs w:val="20"/>
              </w:rPr>
            </w:pPr>
            <w:r>
              <w:rPr>
                <w:rFonts w:hint="eastAsia" w:eastAsia="方正仿宋简体" w:cs="Times New Roman"/>
                <w:b/>
                <w:bCs/>
                <w:snapToGrid w:val="0"/>
                <w:kern w:val="0"/>
                <w:sz w:val="24"/>
                <w:szCs w:val="24"/>
              </w:rPr>
              <w:t>县联通公司</w:t>
            </w:r>
          </w:p>
        </w:tc>
        <w:tc>
          <w:tcPr>
            <w:tcW w:w="6044" w:type="dxa"/>
            <w:vAlign w:val="center"/>
          </w:tcPr>
          <w:p w14:paraId="2BBC59CE">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负责指导各级通信企业保障通信畅通。</w:t>
            </w:r>
          </w:p>
          <w:p w14:paraId="6AA9EFC7">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完成</w:t>
            </w: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应急指挥部交办的其他事项。</w:t>
            </w:r>
          </w:p>
        </w:tc>
      </w:tr>
      <w:tr w14:paraId="7FB97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2" w:hRule="atLeast"/>
          <w:jc w:val="center"/>
        </w:trPr>
        <w:tc>
          <w:tcPr>
            <w:tcW w:w="624" w:type="dxa"/>
            <w:vAlign w:val="center"/>
          </w:tcPr>
          <w:p w14:paraId="3A1E7BB0">
            <w:pPr>
              <w:widowControl/>
              <w:kinsoku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hint="eastAsia" w:eastAsia="方正仿宋简体" w:cs="Times New Roman"/>
                <w:b/>
                <w:bCs/>
                <w:snapToGrid w:val="0"/>
                <w:kern w:val="0"/>
                <w:sz w:val="24"/>
                <w:szCs w:val="24"/>
              </w:rPr>
              <w:t>21</w:t>
            </w:r>
          </w:p>
        </w:tc>
        <w:tc>
          <w:tcPr>
            <w:tcW w:w="2141" w:type="dxa"/>
            <w:shd w:val="clear" w:color="auto" w:fill="auto"/>
            <w:vAlign w:val="center"/>
          </w:tcPr>
          <w:p w14:paraId="361C92B6">
            <w:pPr>
              <w:widowControl/>
              <w:overflowPunct w:val="0"/>
              <w:autoSpaceDE w:val="0"/>
              <w:autoSpaceDN w:val="0"/>
              <w:adjustRightInd w:val="0"/>
              <w:snapToGrid w:val="0"/>
              <w:spacing w:line="300" w:lineRule="exact"/>
              <w:ind w:left="21" w:leftChars="10" w:right="21" w:rightChars="10"/>
              <w:jc w:val="center"/>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各</w:t>
            </w:r>
            <w:r>
              <w:rPr>
                <w:rFonts w:hint="eastAsia" w:eastAsia="方正仿宋简体" w:cs="Times New Roman"/>
                <w:b/>
                <w:bCs/>
                <w:snapToGrid w:val="0"/>
                <w:kern w:val="0"/>
                <w:sz w:val="24"/>
                <w:szCs w:val="24"/>
              </w:rPr>
              <w:t>乡镇（街道）人民政府（办事处）、汶上县经济开发区管委会</w:t>
            </w:r>
          </w:p>
        </w:tc>
        <w:tc>
          <w:tcPr>
            <w:tcW w:w="6044" w:type="dxa"/>
            <w:shd w:val="clear" w:color="auto" w:fill="auto"/>
            <w:vAlign w:val="center"/>
          </w:tcPr>
          <w:p w14:paraId="464F21BB">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制定和完善本辖区重污染天气应急预案，指导企业编制“一企一策”的减排操作方案，全面负责本辖区内环境空气污染应急处置工作，具体落实应急响应措施。</w:t>
            </w:r>
          </w:p>
          <w:p w14:paraId="214FB527">
            <w:pPr>
              <w:widowControl/>
              <w:overflowPunct w:val="0"/>
              <w:autoSpaceDE w:val="0"/>
              <w:autoSpaceDN w:val="0"/>
              <w:adjustRightInd w:val="0"/>
              <w:snapToGrid w:val="0"/>
              <w:spacing w:line="300" w:lineRule="exact"/>
              <w:ind w:left="21" w:leftChars="10" w:right="21" w:rightChars="10"/>
              <w:textAlignment w:val="baseline"/>
              <w:rPr>
                <w:rFonts w:ascii="Times New Roman" w:hAnsi="Times New Roman" w:eastAsia="方正仿宋简体" w:cs="Times New Roman"/>
                <w:b/>
                <w:bCs/>
                <w:snapToGrid w:val="0"/>
                <w:kern w:val="0"/>
                <w:sz w:val="24"/>
                <w:szCs w:val="20"/>
              </w:rPr>
            </w:pPr>
            <w:r>
              <w:rPr>
                <w:rFonts w:ascii="Times New Roman" w:hAnsi="Times New Roman" w:eastAsia="方正仿宋简体" w:cs="Times New Roman"/>
                <w:b/>
                <w:bCs/>
                <w:snapToGrid w:val="0"/>
                <w:kern w:val="0"/>
                <w:sz w:val="24"/>
                <w:szCs w:val="24"/>
              </w:rPr>
              <w:t>完成</w:t>
            </w:r>
            <w:r>
              <w:rPr>
                <w:rFonts w:hint="eastAsia" w:eastAsia="方正仿宋简体" w:cs="Times New Roman"/>
                <w:b/>
                <w:bCs/>
                <w:snapToGrid w:val="0"/>
                <w:kern w:val="0"/>
                <w:sz w:val="24"/>
                <w:szCs w:val="24"/>
              </w:rPr>
              <w:t>县</w:t>
            </w:r>
            <w:r>
              <w:rPr>
                <w:rFonts w:ascii="Times New Roman" w:hAnsi="Times New Roman" w:eastAsia="方正仿宋简体" w:cs="Times New Roman"/>
                <w:b/>
                <w:bCs/>
                <w:snapToGrid w:val="0"/>
                <w:kern w:val="0"/>
                <w:sz w:val="24"/>
                <w:szCs w:val="24"/>
              </w:rPr>
              <w:t>应急指挥部交办的其他事项。</w:t>
            </w:r>
          </w:p>
        </w:tc>
      </w:tr>
    </w:tbl>
    <w:p w14:paraId="0B7C2C8D">
      <w:pPr>
        <w:rPr>
          <w:rFonts w:hint="eastAsia"/>
        </w:rPr>
      </w:pPr>
    </w:p>
    <w:sectPr>
      <w:footerReference r:id="rId3" w:type="default"/>
      <w:footerReference r:id="rId4"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C279A298-402B-4525-8F81-53F53B8E96C1}"/>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A441C885-B1C9-4EDB-A5A3-41AC19AD7A55}"/>
  </w:font>
  <w:font w:name="仿宋">
    <w:panose1 w:val="02010609060101010101"/>
    <w:charset w:val="86"/>
    <w:family w:val="modern"/>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黑体简体">
    <w:altName w:val="微软雅黑"/>
    <w:panose1 w:val="02010601030101010101"/>
    <w:charset w:val="86"/>
    <w:family w:val="script"/>
    <w:pitch w:val="default"/>
    <w:sig w:usb0="00000000" w:usb1="00000000" w:usb2="00000000" w:usb3="00000000" w:csb0="00040000" w:csb1="00000000"/>
    <w:embedRegular r:id="rId3" w:fontKey="{10B35C9B-0ABA-4F78-8480-CD0A6213B968}"/>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40A9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2D6235E8">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2D6235E8">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5C980">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13A4893D">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tTvnA5wEAAMcD&#10;AAAOAAAAAAAAAAEAIAAAAB4BAABkcnMvZTJvRG9jLnhtbFBLBQYAAAAABgAGAFkBAAB3BQAAAAA=&#10;">
              <v:fill on="f" focussize="0,0"/>
              <v:stroke on="f"/>
              <v:imagedata o:title=""/>
              <o:lock v:ext="edit" aspectratio="f"/>
              <v:textbox inset="0mm,0mm,0mm,0mm" style="mso-fit-shape-to-text:t;">
                <w:txbxContent>
                  <w:p w14:paraId="13A4893D">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kNTMwYzhlODJmNjYwYjFkMzZkYTYzZmE2ZjBhMGUifQ=="/>
  </w:docVars>
  <w:rsids>
    <w:rsidRoot w:val="00B16EEB"/>
    <w:rsid w:val="00457F7A"/>
    <w:rsid w:val="00AB607B"/>
    <w:rsid w:val="00B16EEB"/>
    <w:rsid w:val="00D82A6C"/>
    <w:rsid w:val="00F111A0"/>
    <w:rsid w:val="3B9352C8"/>
    <w:rsid w:val="4B9F1A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table" w:customStyle="1" w:styleId="7">
    <w:name w:val="Table Normal"/>
    <w:semiHidden/>
    <w:unhideWhenUsed/>
    <w:qFormat/>
    <w:uiPriority w:val="0"/>
    <w:rPr>
      <w:kern w:val="0"/>
      <w:sz w:val="20"/>
      <w:szCs w:val="20"/>
    </w:rPr>
    <w:tblPr>
      <w:tblCellMar>
        <w:top w:w="0" w:type="dxa"/>
        <w:left w:w="0" w:type="dxa"/>
        <w:bottom w:w="0" w:type="dxa"/>
        <w:right w:w="0" w:type="dxa"/>
      </w:tblCellMar>
    </w:tbl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customStyle="1" w:styleId="10">
    <w:name w:val="正文首行缩进 21"/>
    <w:basedOn w:val="11"/>
    <w:autoRedefine/>
    <w:qFormat/>
    <w:uiPriority w:val="0"/>
    <w:pPr>
      <w:spacing w:after="0"/>
      <w:ind w:firstLine="420" w:firstLineChars="200"/>
    </w:pPr>
    <w:rPr>
      <w:rFonts w:cs="宋体"/>
    </w:rPr>
  </w:style>
  <w:style w:type="paragraph" w:customStyle="1" w:styleId="11">
    <w:name w:val="正文文本缩进1"/>
    <w:basedOn w:val="1"/>
    <w:autoRedefine/>
    <w:qFormat/>
    <w:uiPriority w:val="0"/>
    <w:pPr>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5324</Words>
  <Characters>5378</Characters>
  <Lines>55</Lines>
  <Paragraphs>15</Paragraphs>
  <TotalTime>2</TotalTime>
  <ScaleCrop>false</ScaleCrop>
  <LinksUpToDate>false</LinksUpToDate>
  <CharactersWithSpaces>5419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2024-10-21T07:41:00Z</dcterms:created>
  <dc:creator>俊祥 马</dc:creator>
  <cp:lastModifiedBy>Pluto</cp:lastModifiedBy>
  <cp:lastPrinted>2024-10-21T08:30:00Z</cp:lastPrinted>
  <dcterms:modified xsi:type="dcterms:W3CDTF">2025-02-13T02:54:10Z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A48834A54D874BC98EBA0D57D97B1096_13</vt:lpwstr>
  </property>
  <property fmtid="{D5CDD505-2E9C-101B-9397-08002B2CF9AE}" pid="4" name="KSOTemplateDocerSaveRecord">
    <vt:lpwstr>eyJoZGlkIjoiOWQ0ZDUxMGNlMDRkMjBhMWVjZjExNDY1ZWU1ZmFjMGIiLCJ1c2VySWQiOiI1NTczNzM1NDQifQ==</vt:lpwstr>
  </property>
</Properties>
</file>