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theme/themeOverride2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/>
        <w:jc w:val="center"/>
        <w:rPr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sz w:val="43"/>
          <w:szCs w:val="43"/>
        </w:rPr>
        <w:t>县住建局</w:t>
      </w:r>
      <w:r>
        <w:rPr>
          <w:rFonts w:hint="default" w:ascii="Times New Roman" w:hAnsi="Times New Roman" w:cs="Times New Roman"/>
          <w:sz w:val="43"/>
          <w:szCs w:val="43"/>
        </w:rPr>
        <w:t>2020</w:t>
      </w:r>
      <w:r>
        <w:rPr>
          <w:rFonts w:hint="eastAsia" w:ascii="方正小标宋简体" w:hAnsi="方正小标宋简体" w:eastAsia="方正小标宋简体" w:cs="方正小标宋简体"/>
          <w:sz w:val="43"/>
          <w:szCs w:val="43"/>
        </w:rPr>
        <w:t>年政府信息公开工作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/>
        <w:jc w:val="center"/>
        <w:rPr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sz w:val="43"/>
          <w:szCs w:val="43"/>
        </w:rPr>
        <w:t>年度报告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/>
        <w:rPr>
          <w:sz w:val="21"/>
          <w:szCs w:val="21"/>
        </w:rPr>
      </w:pPr>
      <w:r>
        <w:rPr>
          <w:rFonts w:ascii="微软雅黑" w:hAnsi="微软雅黑" w:eastAsia="微软雅黑" w:cs="微软雅黑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ascii="仿宋_GB2312" w:eastAsia="仿宋_GB2312" w:cs="仿宋_GB2312"/>
          <w:sz w:val="31"/>
          <w:szCs w:val="31"/>
        </w:rPr>
        <w:t>本报告由汶上县住房和城乡建设局按照新修订的《</w:t>
      </w:r>
      <w:r>
        <w:rPr>
          <w:rFonts w:hint="eastAsia" w:ascii="仿宋_GB2312" w:eastAsia="仿宋_GB2312" w:cs="仿宋_GB2312"/>
          <w:sz w:val="31"/>
          <w:szCs w:val="31"/>
        </w:rPr>
        <w:t>中华人民共和国政府信息公开条例》（以下简称《条例》）要求编制。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仿宋_GB2312" w:eastAsia="仿宋_GB2312" w:cs="仿宋_GB2312"/>
          <w:sz w:val="31"/>
          <w:szCs w:val="31"/>
        </w:rPr>
        <w:t>本报告内容包括总体情况、主动公开政府信息情况、收到和处理政府信息公开申请情况、政府信息公开行政复议和行政诉讼情况、存在的主要问</w:t>
      </w:r>
      <w:r>
        <w:rPr>
          <w:rFonts w:hint="eastAsia" w:ascii="仿宋_GB2312" w:hAnsi="Times New Roman" w:eastAsia="仿宋_GB2312" w:cs="仿宋_GB2312"/>
          <w:sz w:val="31"/>
          <w:szCs w:val="31"/>
        </w:rPr>
        <w:t>题及改进情况、其他需要报告的事项等六部分内容。本报告所列数据的统计期限自</w:t>
      </w:r>
      <w:r>
        <w:rPr>
          <w:rFonts w:hint="default" w:ascii="Times New Roman" w:hAnsi="Times New Roman" w:cs="Times New Roman"/>
          <w:sz w:val="31"/>
          <w:szCs w:val="31"/>
        </w:rPr>
        <w:t>20</w:t>
      </w:r>
      <w:r>
        <w:rPr>
          <w:rFonts w:hint="eastAsia" w:ascii="仿宋_GB2312" w:eastAsia="仿宋_GB2312" w:cs="仿宋_GB2312"/>
          <w:sz w:val="31"/>
          <w:szCs w:val="31"/>
        </w:rPr>
        <w:t>20</w:t>
      </w:r>
      <w:r>
        <w:rPr>
          <w:rFonts w:hint="eastAsia" w:ascii="仿宋_GB2312" w:hAnsi="Times New Roman" w:eastAsia="仿宋_GB2312" w:cs="仿宋_GB2312"/>
          <w:sz w:val="31"/>
          <w:szCs w:val="31"/>
        </w:rPr>
        <w:t>年</w:t>
      </w:r>
      <w:r>
        <w:rPr>
          <w:rFonts w:hint="default" w:ascii="Times New Roman" w:hAnsi="Times New Roman" w:cs="Times New Roman"/>
          <w:sz w:val="31"/>
          <w:szCs w:val="31"/>
        </w:rPr>
        <w:t>1</w:t>
      </w:r>
      <w:r>
        <w:rPr>
          <w:rFonts w:hint="eastAsia" w:ascii="仿宋_GB2312" w:hAnsi="Times New Roman" w:eastAsia="仿宋_GB2312" w:cs="仿宋_GB2312"/>
          <w:sz w:val="31"/>
          <w:szCs w:val="31"/>
        </w:rPr>
        <w:t>月</w:t>
      </w:r>
      <w:r>
        <w:rPr>
          <w:rFonts w:hint="default" w:ascii="Times New Roman" w:hAnsi="Times New Roman" w:cs="Times New Roman"/>
          <w:sz w:val="31"/>
          <w:szCs w:val="31"/>
        </w:rPr>
        <w:t>1</w:t>
      </w:r>
      <w:r>
        <w:rPr>
          <w:rFonts w:hint="eastAsia" w:ascii="仿宋_GB2312" w:hAnsi="Times New Roman" w:eastAsia="仿宋_GB2312" w:cs="仿宋_GB2312"/>
          <w:sz w:val="31"/>
          <w:szCs w:val="31"/>
        </w:rPr>
        <w:t>日起至</w:t>
      </w:r>
      <w:r>
        <w:rPr>
          <w:rFonts w:hint="default" w:ascii="Times New Roman" w:hAnsi="Times New Roman" w:cs="Times New Roman"/>
          <w:sz w:val="31"/>
          <w:szCs w:val="31"/>
        </w:rPr>
        <w:t>20</w:t>
      </w:r>
      <w:r>
        <w:rPr>
          <w:rFonts w:hint="eastAsia" w:ascii="仿宋_GB2312" w:eastAsia="仿宋_GB2312" w:cs="仿宋_GB2312"/>
          <w:sz w:val="31"/>
          <w:szCs w:val="31"/>
        </w:rPr>
        <w:t>20</w:t>
      </w:r>
      <w:r>
        <w:rPr>
          <w:rFonts w:hint="eastAsia" w:ascii="仿宋_GB2312" w:hAnsi="Times New Roman" w:eastAsia="仿宋_GB2312" w:cs="仿宋_GB2312"/>
          <w:sz w:val="31"/>
          <w:szCs w:val="31"/>
        </w:rPr>
        <w:t>年</w:t>
      </w:r>
      <w:r>
        <w:rPr>
          <w:rFonts w:hint="default" w:ascii="Times New Roman" w:hAnsi="Times New Roman" w:cs="Times New Roman"/>
          <w:sz w:val="31"/>
          <w:szCs w:val="31"/>
        </w:rPr>
        <w:t>12</w:t>
      </w:r>
      <w:r>
        <w:rPr>
          <w:rFonts w:hint="eastAsia" w:ascii="仿宋_GB2312" w:hAnsi="Times New Roman" w:eastAsia="仿宋_GB2312" w:cs="仿宋_GB2312"/>
          <w:sz w:val="31"/>
          <w:szCs w:val="31"/>
        </w:rPr>
        <w:t>月</w:t>
      </w:r>
      <w:r>
        <w:rPr>
          <w:rFonts w:hint="default" w:ascii="Times New Roman" w:hAnsi="Times New Roman" w:cs="Times New Roman"/>
          <w:sz w:val="31"/>
          <w:szCs w:val="31"/>
        </w:rPr>
        <w:t>31</w:t>
      </w:r>
      <w:r>
        <w:rPr>
          <w:rFonts w:hint="eastAsia" w:ascii="仿宋_GB2312" w:hAnsi="Times New Roman" w:eastAsia="仿宋_GB2312" w:cs="仿宋_GB2312"/>
          <w:sz w:val="31"/>
          <w:szCs w:val="31"/>
        </w:rPr>
        <w:t>日止。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ascii="黑体" w:hAnsi="宋体" w:eastAsia="黑体" w:cs="黑体"/>
          <w:sz w:val="31"/>
          <w:szCs w:val="31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default" w:ascii="Times New Roman" w:hAnsi="Times New Roman" w:cs="Times New Roman"/>
          <w:sz w:val="31"/>
          <w:szCs w:val="31"/>
        </w:rPr>
        <w:t>20</w:t>
      </w:r>
      <w:r>
        <w:rPr>
          <w:rFonts w:hint="eastAsia" w:ascii="仿宋_GB2312" w:eastAsia="仿宋_GB2312" w:cs="仿宋_GB2312"/>
          <w:sz w:val="31"/>
          <w:szCs w:val="31"/>
        </w:rPr>
        <w:t>20</w:t>
      </w:r>
      <w:r>
        <w:rPr>
          <w:rFonts w:hint="eastAsia" w:ascii="仿宋_GB2312" w:hAnsi="Times New Roman" w:eastAsia="仿宋_GB2312" w:cs="仿宋_GB2312"/>
          <w:sz w:val="31"/>
          <w:szCs w:val="31"/>
        </w:rPr>
        <w:t>年，</w:t>
      </w:r>
      <w:r>
        <w:rPr>
          <w:rFonts w:hint="eastAsia" w:ascii="仿宋_GB2312" w:eastAsia="仿宋_GB2312" w:cs="仿宋_GB2312"/>
          <w:sz w:val="31"/>
          <w:szCs w:val="31"/>
        </w:rPr>
        <w:t>县住建局</w:t>
      </w:r>
      <w:r>
        <w:rPr>
          <w:rFonts w:hint="eastAsia" w:ascii="仿宋_GB2312" w:hAnsi="Times New Roman" w:eastAsia="仿宋_GB2312" w:cs="仿宋_GB2312"/>
          <w:sz w:val="31"/>
          <w:szCs w:val="31"/>
        </w:rPr>
        <w:t>深入贯彻落实新修订的《条例》和国家、省</w:t>
      </w:r>
      <w:r>
        <w:rPr>
          <w:rFonts w:hint="eastAsia" w:ascii="仿宋_GB2312" w:eastAsia="仿宋_GB2312" w:cs="仿宋_GB2312"/>
          <w:sz w:val="31"/>
          <w:szCs w:val="31"/>
        </w:rPr>
        <w:t>、市、县</w:t>
      </w:r>
      <w:r>
        <w:rPr>
          <w:rFonts w:hint="eastAsia" w:ascii="仿宋_GB2312" w:hAnsi="Times New Roman" w:eastAsia="仿宋_GB2312" w:cs="仿宋_GB2312"/>
          <w:sz w:val="31"/>
          <w:szCs w:val="31"/>
        </w:rPr>
        <w:t>关于政务公开工作的系列部署，进一步督促指导</w:t>
      </w:r>
      <w:r>
        <w:rPr>
          <w:rFonts w:hint="eastAsia" w:ascii="仿宋_GB2312" w:eastAsia="仿宋_GB2312" w:cs="仿宋_GB2312"/>
          <w:sz w:val="31"/>
          <w:szCs w:val="31"/>
        </w:rPr>
        <w:t>机关各科室严格落实政务公开各项制度，明确工作责任，强化责任担当，切实将政务公开工作做实做细。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Style w:val="5"/>
          <w:rFonts w:ascii="楷体_GB2312" w:eastAsia="楷体_GB2312" w:cs="楷体_GB2312"/>
          <w:sz w:val="31"/>
          <w:szCs w:val="31"/>
        </w:rPr>
        <w:t>（一）新《条例》贯彻落实情况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仿宋_GB2312" w:eastAsia="仿宋_GB2312" w:cs="仿宋_GB2312"/>
          <w:sz w:val="31"/>
          <w:szCs w:val="31"/>
        </w:rPr>
        <w:t>新修订的《条例》正式实施后，县住建局迅速响应，扎实</w:t>
      </w:r>
      <w:r>
        <w:rPr>
          <w:rFonts w:hint="eastAsia" w:ascii="仿宋_GB2312" w:hAnsi="Times New Roman" w:eastAsia="仿宋_GB2312" w:cs="仿宋_GB2312"/>
          <w:sz w:val="31"/>
          <w:szCs w:val="31"/>
        </w:rPr>
        <w:t>开展新《条例》的宣传</w:t>
      </w:r>
      <w:r>
        <w:rPr>
          <w:rFonts w:hint="eastAsia" w:ascii="仿宋_GB2312" w:eastAsia="仿宋_GB2312" w:cs="仿宋_GB2312"/>
          <w:sz w:val="31"/>
          <w:szCs w:val="31"/>
        </w:rPr>
        <w:t>学习</w:t>
      </w:r>
      <w:r>
        <w:rPr>
          <w:rFonts w:hint="eastAsia" w:ascii="仿宋_GB2312" w:hAnsi="Times New Roman" w:eastAsia="仿宋_GB2312" w:cs="仿宋_GB2312"/>
          <w:sz w:val="31"/>
          <w:szCs w:val="31"/>
        </w:rPr>
        <w:t>工作，确保新《条例》实施工作落到实处。</w:t>
      </w:r>
      <w:r>
        <w:rPr>
          <w:rFonts w:hint="eastAsia" w:ascii="仿宋_GB2312" w:eastAsia="仿宋_GB2312" w:cs="仿宋_GB2312"/>
          <w:sz w:val="31"/>
          <w:szCs w:val="31"/>
        </w:rPr>
        <w:t>县住建局</w:t>
      </w:r>
      <w:r>
        <w:rPr>
          <w:rFonts w:hint="eastAsia" w:ascii="仿宋_GB2312" w:hAnsi="Times New Roman" w:eastAsia="仿宋_GB2312" w:cs="仿宋_GB2312"/>
          <w:sz w:val="31"/>
          <w:szCs w:val="31"/>
        </w:rPr>
        <w:t>创新学习方式，对全</w:t>
      </w:r>
      <w:r>
        <w:rPr>
          <w:rFonts w:hint="eastAsia" w:ascii="仿宋_GB2312" w:eastAsia="仿宋_GB2312" w:cs="仿宋_GB2312"/>
          <w:sz w:val="31"/>
          <w:szCs w:val="31"/>
        </w:rPr>
        <w:t>局</w:t>
      </w:r>
      <w:r>
        <w:rPr>
          <w:rFonts w:hint="eastAsia" w:ascii="仿宋_GB2312" w:hAnsi="Times New Roman" w:eastAsia="仿宋_GB2312" w:cs="仿宋_GB2312"/>
          <w:sz w:val="31"/>
          <w:szCs w:val="31"/>
        </w:rPr>
        <w:t>政务公开工作人员进行全覆盖的学习培训</w:t>
      </w:r>
      <w:r>
        <w:rPr>
          <w:rFonts w:hint="eastAsia" w:ascii="仿宋_GB2312" w:eastAsia="仿宋_GB2312" w:cs="仿宋_GB2312"/>
          <w:sz w:val="31"/>
          <w:szCs w:val="31"/>
        </w:rPr>
        <w:t>，</w:t>
      </w:r>
      <w:r>
        <w:rPr>
          <w:rFonts w:hint="eastAsia" w:ascii="仿宋_GB2312" w:hAnsi="Times New Roman" w:eastAsia="仿宋_GB2312" w:cs="仿宋_GB2312"/>
          <w:sz w:val="31"/>
          <w:szCs w:val="31"/>
        </w:rPr>
        <w:t>有力推动新《条例》学习贯彻落实往深里走、往实里走、往细处走。</w:t>
      </w:r>
      <w:r>
        <w:rPr>
          <w:rFonts w:hint="eastAsia" w:ascii="仿宋_GB2312" w:eastAsia="仿宋_GB2312" w:cs="仿宋_GB2312"/>
          <w:sz w:val="31"/>
          <w:szCs w:val="31"/>
        </w:rPr>
        <w:t>同时，不断强化</w:t>
      </w:r>
      <w:r>
        <w:rPr>
          <w:rFonts w:hint="eastAsia" w:ascii="仿宋_GB2312" w:hAnsi="Times New Roman" w:eastAsia="仿宋_GB2312" w:cs="仿宋_GB2312"/>
          <w:sz w:val="31"/>
          <w:szCs w:val="31"/>
        </w:rPr>
        <w:t>工作责任落实，切实增强贯彻落实新《条例》的政治意识和政治责任。</w:t>
      </w:r>
      <w:r>
        <w:rPr>
          <w:rFonts w:hint="eastAsia" w:ascii="仿宋_GB2312" w:eastAsia="仿宋_GB2312" w:cs="仿宋_GB2312"/>
          <w:sz w:val="31"/>
          <w:szCs w:val="31"/>
        </w:rPr>
        <w:t>不断</w:t>
      </w:r>
      <w:r>
        <w:rPr>
          <w:rFonts w:hint="eastAsia" w:ascii="仿宋_GB2312" w:hAnsi="Times New Roman" w:eastAsia="仿宋_GB2312" w:cs="仿宋_GB2312"/>
          <w:sz w:val="31"/>
          <w:szCs w:val="31"/>
        </w:rPr>
        <w:t>完善工作机制，以新《条例》为遵循，围绕主动公开基本目录、政府信息公开指南、依申请公开流程等重点工作，不断完善机制和规程，确保新旧《条例》的有序衔接，依法保障公众获取政府信息的权利。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rStyle w:val="5"/>
          <w:rFonts w:hint="eastAsia" w:ascii="楷体_GB2312" w:hAnsi="Times New Roman" w:eastAsia="楷体_GB2312" w:cs="楷体_GB2312"/>
          <w:sz w:val="31"/>
          <w:szCs w:val="31"/>
        </w:rPr>
      </w:pPr>
      <w:r>
        <w:rPr>
          <w:rStyle w:val="5"/>
          <w:rFonts w:hint="eastAsia" w:ascii="楷体_GB2312" w:eastAsia="楷体_GB2312" w:cs="楷体_GB2312"/>
          <w:sz w:val="31"/>
          <w:szCs w:val="31"/>
        </w:rPr>
        <w:t>（二）</w:t>
      </w:r>
      <w:r>
        <w:rPr>
          <w:rStyle w:val="5"/>
          <w:rFonts w:hint="eastAsia" w:ascii="楷体_GB2312" w:hAnsi="Times New Roman" w:eastAsia="楷体_GB2312" w:cs="楷体_GB2312"/>
          <w:sz w:val="31"/>
          <w:szCs w:val="31"/>
        </w:rPr>
        <w:t>主动公开政府信息以及公开平台建设情况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仿宋_GB2312" w:hAnsi="Times New Roman" w:eastAsia="仿宋_GB2312" w:cs="仿宋_GB2312"/>
          <w:sz w:val="31"/>
          <w:szCs w:val="31"/>
        </w:rPr>
        <w:t>县住建局高度重视政府信息公开工作，把</w:t>
      </w:r>
      <w:r>
        <w:rPr>
          <w:rFonts w:hint="default" w:ascii="Times New Roman" w:hAnsi="Times New Roman" w:cs="Times New Roman"/>
          <w:sz w:val="31"/>
          <w:szCs w:val="31"/>
        </w:rPr>
        <w:t>“</w:t>
      </w:r>
      <w:r>
        <w:rPr>
          <w:rFonts w:hint="eastAsia" w:ascii="仿宋_GB2312" w:hAnsi="Times New Roman" w:eastAsia="仿宋_GB2312" w:cs="仿宋_GB2312"/>
          <w:sz w:val="31"/>
          <w:szCs w:val="31"/>
        </w:rPr>
        <w:t>政务（信息）公开</w:t>
      </w:r>
      <w:r>
        <w:rPr>
          <w:rFonts w:hint="default" w:ascii="Times New Roman" w:hAnsi="Times New Roman" w:cs="Times New Roman"/>
          <w:sz w:val="31"/>
          <w:szCs w:val="31"/>
        </w:rPr>
        <w:t>”</w:t>
      </w:r>
      <w:r>
        <w:rPr>
          <w:rFonts w:hint="eastAsia" w:ascii="仿宋_GB2312" w:hAnsi="Times New Roman" w:eastAsia="仿宋_GB2312" w:cs="仿宋_GB2312"/>
          <w:sz w:val="31"/>
          <w:szCs w:val="31"/>
        </w:rPr>
        <w:t>作为年度工作重点内容，成立由局主要负责同志任组长，局班子成员任副组长，机关各科室主要负责人为成员的政务信息公开工作领导小组，小组下设办公室，指定专人专班负责县政府网站窗口、公众号的信息公开管理和维护工作</w:t>
      </w:r>
      <w:r>
        <w:rPr>
          <w:rFonts w:hint="eastAsia" w:ascii="仿宋_GB2312" w:eastAsia="仿宋_GB2312" w:cs="仿宋_GB2312"/>
          <w:sz w:val="31"/>
          <w:szCs w:val="31"/>
        </w:rPr>
        <w:t>，</w:t>
      </w:r>
      <w:r>
        <w:rPr>
          <w:rFonts w:hint="eastAsia" w:ascii="仿宋_GB2312" w:hAnsi="Times New Roman" w:eastAsia="仿宋_GB2312" w:cs="仿宋_GB2312"/>
          <w:sz w:val="31"/>
          <w:szCs w:val="31"/>
        </w:rPr>
        <w:t>促进了政府信息公开工作不断规范和完善。</w:t>
      </w:r>
      <w:r>
        <w:rPr>
          <w:rFonts w:hint="default" w:ascii="Times New Roman" w:hAnsi="Times New Roman" w:cs="Times New Roman"/>
          <w:sz w:val="31"/>
          <w:szCs w:val="31"/>
        </w:rPr>
        <w:t>20</w:t>
      </w:r>
      <w:r>
        <w:rPr>
          <w:rFonts w:hint="eastAsia" w:ascii="仿宋_GB2312" w:eastAsia="仿宋_GB2312" w:cs="仿宋_GB2312"/>
          <w:sz w:val="31"/>
          <w:szCs w:val="31"/>
        </w:rPr>
        <w:t>20</w:t>
      </w:r>
      <w:r>
        <w:rPr>
          <w:rFonts w:hint="eastAsia" w:ascii="仿宋_GB2312" w:hAnsi="Times New Roman" w:eastAsia="仿宋_GB2312" w:cs="仿宋_GB2312"/>
          <w:sz w:val="31"/>
          <w:szCs w:val="31"/>
        </w:rPr>
        <w:t>年度，新增公开信息</w:t>
      </w:r>
      <w:r>
        <w:rPr>
          <w:rFonts w:hint="eastAsia" w:ascii="仿宋_GB2312" w:eastAsia="仿宋_GB2312" w:cs="仿宋_GB2312"/>
          <w:sz w:val="31"/>
          <w:szCs w:val="31"/>
        </w:rPr>
        <w:t>376</w:t>
      </w:r>
      <w:r>
        <w:rPr>
          <w:rFonts w:hint="eastAsia" w:ascii="仿宋_GB2312" w:hAnsi="Times New Roman" w:eastAsia="仿宋_GB2312" w:cs="仿宋_GB2312"/>
          <w:sz w:val="31"/>
          <w:szCs w:val="31"/>
        </w:rPr>
        <w:t>条。其中，通过县政府网站公开信息</w:t>
      </w:r>
      <w:r>
        <w:rPr>
          <w:rFonts w:hint="eastAsia" w:ascii="仿宋_GB2312" w:eastAsia="仿宋_GB2312" w:cs="仿宋_GB2312"/>
          <w:sz w:val="31"/>
          <w:szCs w:val="31"/>
        </w:rPr>
        <w:t>173</w:t>
      </w:r>
      <w:r>
        <w:rPr>
          <w:rFonts w:hint="eastAsia" w:ascii="仿宋_GB2312" w:hAnsi="Times New Roman" w:eastAsia="仿宋_GB2312" w:cs="仿宋_GB2312"/>
          <w:sz w:val="31"/>
          <w:szCs w:val="31"/>
        </w:rPr>
        <w:t>条，住建局微信公众平台公开信息</w:t>
      </w:r>
      <w:r>
        <w:rPr>
          <w:rFonts w:hint="eastAsia" w:ascii="仿宋_GB2312" w:eastAsia="仿宋_GB2312" w:cs="仿宋_GB2312"/>
          <w:sz w:val="31"/>
          <w:szCs w:val="31"/>
        </w:rPr>
        <w:t>203</w:t>
      </w:r>
      <w:r>
        <w:rPr>
          <w:rFonts w:hint="eastAsia" w:ascii="仿宋_GB2312" w:hAnsi="Times New Roman" w:eastAsia="仿宋_GB2312" w:cs="仿宋_GB2312"/>
          <w:sz w:val="31"/>
          <w:szCs w:val="31"/>
        </w:rPr>
        <w:t>条</w:t>
      </w:r>
      <w:r>
        <w:rPr>
          <w:rFonts w:hint="eastAsia" w:ascii="仿宋_GB2312" w:eastAsia="仿宋_GB2312" w:cs="仿宋_GB2312"/>
          <w:sz w:val="31"/>
          <w:szCs w:val="31"/>
        </w:rPr>
        <w:t>，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包括建设项目质量监督、建设项目安全生产监督管理、燃气热力管理、老旧小区改造、棚户区改造、市政道路基础设施建设、住建领域相关新闻动态、住建领域建筑领域法律法规等信息，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在主动公开信息工作中，为方便公众了解信息，我局主要通过以下形式发布政府信息：一是在汶上县政府网站上公布政府信息；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是通过微信公众号、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报纸、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电话等多种形式向群众提供我局主动公开的政府信息。</w:t>
      </w:r>
      <w:r>
        <w:rPr>
          <w:rFonts w:hint="eastAsia" w:ascii="仿宋_GB2312" w:hAnsi="Times New Roman" w:eastAsia="仿宋_GB2312" w:cs="仿宋_GB2312"/>
          <w:sz w:val="31"/>
          <w:szCs w:val="31"/>
        </w:rPr>
        <w:t>有效提高了住房和城乡建设工作的透明度，增强了社会和各界的监管力度，通过群众和社会监督，使各项工作更加公平、公正、公开。</w:t>
      </w:r>
      <w:r>
        <w:rPr>
          <w:rFonts w:ascii="仿宋_GB2312" w:eastAsia="仿宋_GB2312" w:cs="仿宋_GB2312"/>
          <w:sz w:val="31"/>
          <w:szCs w:val="31"/>
        </w:rPr>
        <w:drawing>
          <wp:inline distT="0" distB="0" distL="114300" distR="114300">
            <wp:extent cx="5517515" cy="2820035"/>
            <wp:effectExtent l="4445" t="4445" r="21590" b="5207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rStyle w:val="5"/>
          <w:rFonts w:hint="eastAsia" w:ascii="楷体_GB2312" w:eastAsia="楷体_GB2312" w:cs="楷体_GB2312"/>
          <w:sz w:val="31"/>
          <w:szCs w:val="31"/>
        </w:rPr>
      </w:pPr>
      <w:r>
        <w:rPr>
          <w:rStyle w:val="5"/>
          <w:rFonts w:hint="eastAsia" w:ascii="楷体_GB2312" w:eastAsia="楷体_GB2312" w:cs="楷体_GB2312"/>
          <w:sz w:val="31"/>
          <w:szCs w:val="31"/>
        </w:rPr>
        <w:drawing>
          <wp:inline distT="0" distB="0" distL="114300" distR="114300">
            <wp:extent cx="5080000" cy="3810000"/>
            <wp:effectExtent l="4445" t="4445" r="20955" b="52705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Style w:val="5"/>
          <w:rFonts w:hint="eastAsia" w:ascii="楷体_GB2312" w:eastAsia="楷体_GB2312" w:cs="楷体_GB2312"/>
          <w:sz w:val="31"/>
          <w:szCs w:val="31"/>
          <w:lang w:eastAsia="zh-CN"/>
        </w:rPr>
        <w:t>（</w:t>
      </w:r>
      <w:r>
        <w:rPr>
          <w:rStyle w:val="5"/>
          <w:rFonts w:hint="eastAsia" w:ascii="楷体_GB2312" w:eastAsia="楷体_GB2312" w:cs="楷体_GB2312"/>
          <w:sz w:val="31"/>
          <w:szCs w:val="31"/>
        </w:rPr>
        <w:t>三）依申请公开情况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仿宋_GB2312" w:hAnsi="Times New Roman" w:eastAsia="仿宋_GB2312" w:cs="仿宋_GB2312"/>
          <w:sz w:val="31"/>
          <w:szCs w:val="31"/>
        </w:rPr>
        <w:t>根据新《条例》有关规定，督导</w:t>
      </w:r>
      <w:r>
        <w:rPr>
          <w:rFonts w:hint="eastAsia" w:ascii="仿宋_GB2312" w:eastAsia="仿宋_GB2312" w:cs="仿宋_GB2312"/>
          <w:sz w:val="31"/>
          <w:szCs w:val="31"/>
        </w:rPr>
        <w:t>机关各科室</w:t>
      </w:r>
      <w:r>
        <w:rPr>
          <w:rFonts w:hint="eastAsia" w:ascii="仿宋_GB2312" w:hAnsi="Times New Roman" w:eastAsia="仿宋_GB2312" w:cs="仿宋_GB2312"/>
          <w:sz w:val="31"/>
          <w:szCs w:val="31"/>
        </w:rPr>
        <w:t>不断规范依申请公开办理工作流程，建立登记、审核、办理、审签、答复、归档等一整套工作流程，准确把握信息公开申请办理时限，依法依规做好政府信息依申请公开工作。</w:t>
      </w:r>
      <w:r>
        <w:rPr>
          <w:rFonts w:hint="default" w:ascii="Times New Roman" w:hAnsi="Times New Roman" w:cs="Times New Roman"/>
          <w:sz w:val="31"/>
          <w:szCs w:val="31"/>
        </w:rPr>
        <w:t>20</w:t>
      </w:r>
      <w:r>
        <w:rPr>
          <w:rFonts w:hint="eastAsia" w:ascii="仿宋_GB2312" w:eastAsia="仿宋_GB2312" w:cs="仿宋_GB2312"/>
          <w:sz w:val="31"/>
          <w:szCs w:val="31"/>
        </w:rPr>
        <w:t>20</w:t>
      </w:r>
      <w:r>
        <w:rPr>
          <w:rFonts w:hint="eastAsia" w:ascii="仿宋_GB2312" w:hAnsi="Times New Roman" w:eastAsia="仿宋_GB2312" w:cs="仿宋_GB2312"/>
          <w:sz w:val="31"/>
          <w:szCs w:val="31"/>
        </w:rPr>
        <w:t>年受理依申请公开</w:t>
      </w:r>
      <w:r>
        <w:rPr>
          <w:rFonts w:hint="eastAsia" w:ascii="仿宋_GB2312" w:eastAsia="仿宋_GB2312" w:cs="仿宋_GB2312"/>
          <w:sz w:val="31"/>
          <w:szCs w:val="31"/>
        </w:rPr>
        <w:t>10</w:t>
      </w:r>
      <w:r>
        <w:rPr>
          <w:rFonts w:hint="eastAsia" w:ascii="仿宋_GB2312" w:hAnsi="Times New Roman" w:eastAsia="仿宋_GB2312" w:cs="仿宋_GB2312"/>
          <w:sz w:val="31"/>
          <w:szCs w:val="31"/>
        </w:rPr>
        <w:t>件，均在法定期限内予以答复</w:t>
      </w:r>
      <w:r>
        <w:rPr>
          <w:rFonts w:hint="eastAsia" w:ascii="仿宋_GB2312" w:eastAsia="仿宋_GB2312" w:cs="仿宋_GB2312"/>
          <w:sz w:val="31"/>
          <w:szCs w:val="31"/>
        </w:rPr>
        <w:t>，未向申请人收取任何费用。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Style w:val="5"/>
          <w:rFonts w:hint="eastAsia" w:ascii="楷体_GB2312" w:eastAsia="楷体_GB2312" w:cs="楷体_GB2312"/>
          <w:sz w:val="31"/>
          <w:szCs w:val="31"/>
        </w:rPr>
        <w:t>（四）回应社会关切以及互动交流情况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仿宋_GB2312" w:eastAsia="仿宋_GB2312" w:cs="仿宋_GB2312"/>
          <w:sz w:val="31"/>
          <w:szCs w:val="31"/>
        </w:rPr>
        <w:t>不断</w:t>
      </w:r>
      <w:r>
        <w:rPr>
          <w:rFonts w:hint="eastAsia" w:ascii="仿宋_GB2312" w:hAnsi="Times New Roman" w:eastAsia="仿宋_GB2312" w:cs="仿宋_GB2312"/>
          <w:sz w:val="31"/>
          <w:szCs w:val="31"/>
        </w:rPr>
        <w:t>拓展工作渠道</w:t>
      </w:r>
      <w:r>
        <w:rPr>
          <w:rFonts w:hint="eastAsia" w:ascii="仿宋_GB2312" w:eastAsia="仿宋_GB2312" w:cs="仿宋_GB2312"/>
          <w:sz w:val="31"/>
          <w:szCs w:val="31"/>
        </w:rPr>
        <w:t>，</w:t>
      </w:r>
      <w:r>
        <w:rPr>
          <w:rFonts w:hint="eastAsia" w:ascii="仿宋_GB2312" w:hAnsi="Times New Roman" w:eastAsia="仿宋_GB2312" w:cs="仿宋_GB2312"/>
          <w:sz w:val="31"/>
          <w:szCs w:val="31"/>
        </w:rPr>
        <w:t>将政府信息公开同我县</w:t>
      </w:r>
      <w:r>
        <w:rPr>
          <w:rFonts w:hint="default" w:ascii="Times New Roman" w:hAnsi="Times New Roman" w:cs="Times New Roman"/>
          <w:sz w:val="31"/>
          <w:szCs w:val="31"/>
        </w:rPr>
        <w:t>O2O</w:t>
      </w:r>
      <w:r>
        <w:rPr>
          <w:rFonts w:hint="eastAsia" w:ascii="仿宋_GB2312" w:hAnsi="Times New Roman" w:eastAsia="仿宋_GB2312" w:cs="仿宋_GB2312"/>
          <w:sz w:val="31"/>
          <w:szCs w:val="31"/>
        </w:rPr>
        <w:t>服务管理平台、住建局微信公众号合并运行，统一管理，数据共享，增强了群众办事的便利性和为民服务的时效性。及时回应群众关切</w:t>
      </w:r>
      <w:r>
        <w:rPr>
          <w:rFonts w:hint="eastAsia" w:ascii="仿宋_GB2312" w:eastAsia="仿宋_GB2312" w:cs="仿宋_GB2312"/>
          <w:sz w:val="31"/>
          <w:szCs w:val="31"/>
        </w:rPr>
        <w:t>，</w:t>
      </w:r>
      <w:r>
        <w:rPr>
          <w:rFonts w:hint="eastAsia" w:ascii="仿宋_GB2312" w:hAnsi="Times New Roman" w:eastAsia="仿宋_GB2312" w:cs="仿宋_GB2312"/>
          <w:sz w:val="31"/>
          <w:szCs w:val="31"/>
        </w:rPr>
        <w:t>密切关注政务舆情和社会热点，及时妥善做好重要舆情和热点问题的处置与回应工作，对涉及群众在供暖问题、棚户区改造、竣工验收等方面的切身利益</w:t>
      </w:r>
      <w:r>
        <w:rPr>
          <w:rFonts w:hint="eastAsia" w:ascii="仿宋_GB2312" w:eastAsia="仿宋_GB2312" w:cs="仿宋_GB2312"/>
          <w:sz w:val="31"/>
          <w:szCs w:val="31"/>
        </w:rPr>
        <w:t>，</w:t>
      </w:r>
      <w:r>
        <w:rPr>
          <w:rFonts w:hint="eastAsia" w:ascii="仿宋_GB2312" w:hAnsi="Times New Roman" w:eastAsia="仿宋_GB2312" w:cs="仿宋_GB2312"/>
          <w:sz w:val="31"/>
          <w:szCs w:val="31"/>
        </w:rPr>
        <w:t>借助网上解答、线上互动、线下解决、问题回访等方式方法，及时发布权威声音，解答群众疑惑，正确引导舆论。</w:t>
      </w:r>
      <w:r>
        <w:rPr>
          <w:rFonts w:hint="default" w:ascii="Times New Roman" w:hAnsi="Times New Roman" w:cs="Times New Roman"/>
          <w:sz w:val="31"/>
          <w:szCs w:val="31"/>
        </w:rPr>
        <w:t>20</w:t>
      </w:r>
      <w:r>
        <w:rPr>
          <w:rFonts w:hint="eastAsia" w:ascii="仿宋_GB2312" w:eastAsia="仿宋_GB2312" w:cs="仿宋_GB2312"/>
          <w:sz w:val="31"/>
          <w:szCs w:val="31"/>
        </w:rPr>
        <w:t>20</w:t>
      </w:r>
      <w:r>
        <w:rPr>
          <w:rFonts w:hint="eastAsia" w:ascii="仿宋_GB2312" w:hAnsi="Times New Roman" w:eastAsia="仿宋_GB2312" w:cs="仿宋_GB2312"/>
          <w:sz w:val="31"/>
          <w:szCs w:val="31"/>
        </w:rPr>
        <w:t>年共受理</w:t>
      </w:r>
      <w:r>
        <w:rPr>
          <w:rFonts w:hint="eastAsia" w:ascii="仿宋_GB2312" w:eastAsia="仿宋_GB2312" w:cs="仿宋_GB2312"/>
          <w:sz w:val="31"/>
          <w:szCs w:val="31"/>
        </w:rPr>
        <w:t>各类建议诉求</w:t>
      </w:r>
      <w:r>
        <w:rPr>
          <w:rFonts w:hint="default" w:ascii="Times New Roman" w:hAnsi="Times New Roman" w:cs="Times New Roman"/>
          <w:sz w:val="31"/>
          <w:szCs w:val="31"/>
        </w:rPr>
        <w:t>2885</w:t>
      </w:r>
      <w:r>
        <w:rPr>
          <w:rFonts w:hint="eastAsia" w:ascii="仿宋_GB2312" w:hAnsi="Times New Roman" w:eastAsia="仿宋_GB2312" w:cs="仿宋_GB2312"/>
          <w:sz w:val="31"/>
          <w:szCs w:val="31"/>
        </w:rPr>
        <w:t>件，受理率</w:t>
      </w:r>
      <w:r>
        <w:rPr>
          <w:rFonts w:hint="default" w:ascii="Times New Roman" w:hAnsi="Times New Roman" w:cs="Times New Roman"/>
          <w:sz w:val="31"/>
          <w:szCs w:val="31"/>
        </w:rPr>
        <w:t>100%</w:t>
      </w:r>
      <w:r>
        <w:rPr>
          <w:rFonts w:hint="eastAsia" w:ascii="仿宋_GB2312" w:hAnsi="Times New Roman" w:eastAsia="仿宋_GB2312" w:cs="仿宋_GB2312"/>
          <w:sz w:val="31"/>
          <w:szCs w:val="31"/>
        </w:rPr>
        <w:t>，办结率</w:t>
      </w:r>
      <w:r>
        <w:rPr>
          <w:rFonts w:hint="default" w:ascii="Times New Roman" w:hAnsi="Times New Roman" w:cs="Times New Roman"/>
          <w:sz w:val="31"/>
          <w:szCs w:val="31"/>
        </w:rPr>
        <w:t>100%</w:t>
      </w:r>
      <w:r>
        <w:rPr>
          <w:rFonts w:hint="eastAsia" w:ascii="仿宋_GB2312" w:hAnsi="Times New Roman" w:eastAsia="仿宋_GB2312" w:cs="仿宋_GB2312"/>
          <w:sz w:val="31"/>
          <w:szCs w:val="31"/>
        </w:rPr>
        <w:t>，群众满意率</w:t>
      </w:r>
      <w:r>
        <w:rPr>
          <w:rFonts w:hint="default" w:ascii="Times New Roman" w:hAnsi="Times New Roman" w:cs="Times New Roman"/>
          <w:sz w:val="31"/>
          <w:szCs w:val="31"/>
        </w:rPr>
        <w:t>99%</w:t>
      </w:r>
      <w:r>
        <w:rPr>
          <w:rFonts w:hint="eastAsia" w:ascii="仿宋_GB2312" w:hAnsi="Times New Roman" w:eastAsia="仿宋_GB2312" w:cs="仿宋_GB2312"/>
          <w:sz w:val="31"/>
          <w:szCs w:val="31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Style w:val="5"/>
          <w:rFonts w:hint="eastAsia" w:ascii="楷体_GB2312" w:eastAsia="楷体_GB2312" w:cs="楷体_GB2312"/>
          <w:sz w:val="31"/>
          <w:szCs w:val="31"/>
        </w:rPr>
        <w:t>（五）人大政协建议提案办理情况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仿宋_GB2312" w:eastAsia="仿宋_GB2312" w:cs="仿宋_GB2312"/>
          <w:sz w:val="31"/>
          <w:szCs w:val="31"/>
        </w:rPr>
        <w:t>住建局始终把建议提案办理工作作为一项重要工作来抓，成立了局主要负责人为组长的建议提案办理领导小组，落实专门人员负责提案办理工作。一是思想上高度重视。多次召开党委会、局长办公会专题研究，要求各承办科室单位、承办人从讲政治的高度，把办理工作作为接受政协监督的过程，作为了解社情民意、倾听群众呼声的过程，作为拓宽工作思路的过程。二是健全工作机制。明确了局办公室为建议提案办理工作的综合督查部门，负责组织协调和督办。各有关科室单位挑选素质高、能力强、业务精、责任心强的同志专门负责，形成了上下协调、务实高效的办理工作机制。三是抓好责任落实。我局的办理工作实行主要领导负责制，要求各位分管主任要做到“三主动”，即每件建议提案主动阅批，每件答复主动审核，重点建议提案主动协调办理。对事关全局的重点建议提案，主要领导亲自抓，统一组织，加强协调，集中办理，有力地促进了办理工作的顺利进行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rFonts w:hint="eastAsia" w:ascii="仿宋_GB2312" w:hAnsi="Times New Roman" w:eastAsia="仿宋_GB2312" w:cs="仿宋_GB2312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20</w:t>
      </w:r>
      <w:r>
        <w:rPr>
          <w:rFonts w:hint="eastAsia" w:ascii="仿宋_GB2312" w:eastAsia="仿宋_GB2312" w:cs="仿宋_GB2312"/>
          <w:sz w:val="31"/>
          <w:szCs w:val="31"/>
        </w:rPr>
        <w:t>20</w:t>
      </w:r>
      <w:r>
        <w:rPr>
          <w:rFonts w:hint="eastAsia" w:ascii="仿宋_GB2312" w:hAnsi="Times New Roman" w:eastAsia="仿宋_GB2312" w:cs="仿宋_GB2312"/>
          <w:sz w:val="31"/>
          <w:szCs w:val="31"/>
        </w:rPr>
        <w:t>年</w:t>
      </w:r>
      <w:r>
        <w:rPr>
          <w:rFonts w:hint="eastAsia" w:ascii="仿宋_GB2312" w:eastAsia="仿宋_GB2312" w:cs="仿宋_GB2312"/>
          <w:sz w:val="31"/>
          <w:szCs w:val="31"/>
        </w:rPr>
        <w:t>县</w:t>
      </w:r>
      <w:r>
        <w:rPr>
          <w:rFonts w:hint="eastAsia" w:ascii="仿宋_GB2312" w:hAnsi="Times New Roman" w:eastAsia="仿宋_GB2312" w:cs="仿宋_GB2312"/>
          <w:sz w:val="31"/>
          <w:szCs w:val="31"/>
        </w:rPr>
        <w:t>住建局共计承办建议提案</w:t>
      </w:r>
      <w:r>
        <w:rPr>
          <w:rFonts w:hint="eastAsia" w:ascii="仿宋_GB2312" w:eastAsia="仿宋_GB2312" w:cs="仿宋_GB2312"/>
          <w:sz w:val="31"/>
          <w:szCs w:val="31"/>
        </w:rPr>
        <w:t>39</w:t>
      </w:r>
      <w:r>
        <w:rPr>
          <w:rFonts w:hint="eastAsia" w:ascii="仿宋_GB2312" w:hAnsi="Times New Roman" w:eastAsia="仿宋_GB2312" w:cs="仿宋_GB2312"/>
          <w:sz w:val="31"/>
          <w:szCs w:val="31"/>
        </w:rPr>
        <w:t>件（人大</w:t>
      </w:r>
      <w:r>
        <w:rPr>
          <w:rFonts w:hint="eastAsia" w:ascii="仿宋_GB2312" w:eastAsia="仿宋_GB2312" w:cs="仿宋_GB2312"/>
          <w:sz w:val="31"/>
          <w:szCs w:val="31"/>
        </w:rPr>
        <w:t>7</w:t>
      </w:r>
      <w:r>
        <w:rPr>
          <w:rFonts w:hint="eastAsia" w:ascii="仿宋_GB2312" w:hAnsi="Times New Roman" w:eastAsia="仿宋_GB2312" w:cs="仿宋_GB2312"/>
          <w:sz w:val="31"/>
          <w:szCs w:val="31"/>
        </w:rPr>
        <w:t>件，政协</w:t>
      </w:r>
      <w:r>
        <w:rPr>
          <w:rFonts w:hint="eastAsia" w:ascii="仿宋_GB2312" w:eastAsia="仿宋_GB2312" w:cs="仿宋_GB2312"/>
          <w:sz w:val="31"/>
          <w:szCs w:val="31"/>
        </w:rPr>
        <w:t>32</w:t>
      </w:r>
      <w:r>
        <w:rPr>
          <w:rFonts w:hint="eastAsia" w:ascii="仿宋_GB2312" w:hAnsi="Times New Roman" w:eastAsia="仿宋_GB2312" w:cs="仿宋_GB2312"/>
          <w:sz w:val="31"/>
          <w:szCs w:val="31"/>
        </w:rPr>
        <w:t>件），建议提案办复率</w:t>
      </w:r>
      <w:r>
        <w:rPr>
          <w:rFonts w:hint="default" w:ascii="Times New Roman" w:hAnsi="Times New Roman" w:cs="Times New Roman"/>
          <w:sz w:val="31"/>
          <w:szCs w:val="31"/>
        </w:rPr>
        <w:t>100%</w:t>
      </w:r>
      <w:r>
        <w:rPr>
          <w:rFonts w:hint="eastAsia" w:ascii="仿宋_GB2312" w:hAnsi="Times New Roman" w:eastAsia="仿宋_GB2312" w:cs="仿宋_GB2312"/>
          <w:sz w:val="31"/>
          <w:szCs w:val="31"/>
        </w:rPr>
        <w:t>，内容涉及城乡环卫一体化、城市基础设施、棚户区改造、清洁取暖、农村新型社区建设、供气供热等，涵盖了住房城乡建设主要方面的工作，均是老百姓关心的热点和焦点</w:t>
      </w:r>
      <w:r>
        <w:rPr>
          <w:rFonts w:hint="eastAsia" w:ascii="仿宋_GB2312" w:eastAsia="仿宋_GB2312" w:cs="仿宋_GB2312"/>
          <w:sz w:val="31"/>
          <w:szCs w:val="31"/>
        </w:rPr>
        <w:t>，</w:t>
      </w:r>
      <w:r>
        <w:rPr>
          <w:rFonts w:hint="eastAsia" w:ascii="仿宋_GB2312" w:hAnsi="Times New Roman" w:eastAsia="仿宋_GB2312" w:cs="仿宋_GB2312"/>
          <w:sz w:val="31"/>
          <w:szCs w:val="31"/>
        </w:rPr>
        <w:t>也是我局当前工作的重点和难点。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rStyle w:val="5"/>
          <w:rFonts w:hint="default" w:ascii="楷体_GB2312" w:hAnsi="Times New Roman" w:eastAsia="楷体_GB2312" w:cs="楷体_GB2312"/>
          <w:sz w:val="31"/>
          <w:szCs w:val="31"/>
        </w:rPr>
      </w:pPr>
      <w:r>
        <w:rPr>
          <w:rStyle w:val="5"/>
          <w:rFonts w:hint="eastAsia" w:ascii="楷体_GB2312" w:hAnsi="Times New Roman" w:eastAsia="楷体_GB2312" w:cs="楷体_GB2312"/>
          <w:sz w:val="31"/>
          <w:szCs w:val="31"/>
          <w:lang w:eastAsia="zh-CN"/>
        </w:rPr>
        <w:t>（六）</w:t>
      </w:r>
      <w:r>
        <w:rPr>
          <w:rStyle w:val="5"/>
          <w:rFonts w:hint="default" w:ascii="楷体_GB2312" w:hAnsi="Times New Roman" w:eastAsia="楷体_GB2312" w:cs="楷体_GB2312"/>
          <w:sz w:val="31"/>
          <w:szCs w:val="31"/>
        </w:rPr>
        <w:t>政府信息公开保密审查及监督检查情况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rFonts w:hint="default" w:ascii="Times New Roman" w:hAnsi="Times New Roman" w:eastAsia="仿宋_GB2312" w:cs="Times New Roman"/>
          <w:sz w:val="31"/>
          <w:szCs w:val="31"/>
        </w:rPr>
      </w:pPr>
      <w:r>
        <w:rPr>
          <w:rFonts w:hint="default" w:ascii="Times New Roman" w:hAnsi="Times New Roman" w:eastAsia="仿宋_GB2312" w:cs="Times New Roman"/>
          <w:sz w:val="31"/>
          <w:szCs w:val="31"/>
        </w:rPr>
        <w:t>根据《国家保密法》规定，我们坚持保密不公开，公开不保密的原则开展政府信息公开工作。在推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1"/>
          <w:szCs w:val="31"/>
        </w:rPr>
        <w:t>进政府信息公开工作中，我局严格坚持政府信息公开保密工作程序，建立健全信息发布保密审查机制。落实专人负责做好本部门政府信息公开的保密检查，以及不予公开信息的审查工作。加强政府信息公开工作人员的保密审查教育，定期组织开展了业务培训。建立健全了政府信息公开工作过错责任追究制度。坚持行政监督与群众监督相结合、内部评议和社会评议相结合，建立健全了透明、廉洁、高效的政府信息公开监督评议机制，对机关各科室和局属单位的政府信息公开情况进行监督评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rFonts w:hint="eastAsia" w:ascii="Times New Roman" w:hAnsi="Times New Roman" w:cs="Times New Roman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二、主动公开政府信息情况</w:t>
      </w:r>
    </w:p>
    <w:tbl>
      <w:tblPr>
        <w:tblStyle w:val="3"/>
        <w:tblW w:w="864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0"/>
        <w:gridCol w:w="1995"/>
        <w:gridCol w:w="1350"/>
        <w:gridCol w:w="19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86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第二十条第（一）项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信息内容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本年新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制作数量</w:t>
            </w: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本年新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公开数量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对外公开总数量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规章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规范性文件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864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第二十条第（五）项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信息内容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上一年项目数量</w:t>
            </w: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本年增/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减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行政许可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-6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其他对外管理服务事项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-3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121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864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第二十条第（六）项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信息内容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上一年项目数量</w:t>
            </w: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本年增/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减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行政处罚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行政强制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864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第二十条第（八）项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信息内容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上一年项目数量</w:t>
            </w:r>
          </w:p>
        </w:tc>
        <w:tc>
          <w:tcPr>
            <w:tcW w:w="33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本年增/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行政事业性收费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5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-1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864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第二十条第（九）项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信息内容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采购项目数量</w:t>
            </w:r>
          </w:p>
        </w:tc>
        <w:tc>
          <w:tcPr>
            <w:tcW w:w="33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采购总金额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政府集中采购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379460.00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元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​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三、收到和处理政府信息公开申请情况</w:t>
      </w:r>
    </w:p>
    <w:tbl>
      <w:tblPr>
        <w:tblStyle w:val="3"/>
        <w:tblW w:w="931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5"/>
        <w:gridCol w:w="855"/>
        <w:gridCol w:w="2340"/>
        <w:gridCol w:w="810"/>
        <w:gridCol w:w="750"/>
        <w:gridCol w:w="750"/>
        <w:gridCol w:w="810"/>
        <w:gridCol w:w="975"/>
        <w:gridCol w:w="705"/>
        <w:gridCol w:w="70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381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（本列数据的勾稽关系为：第一项加第二项之和，等于第三项加第四项之和）</w:t>
            </w:r>
          </w:p>
        </w:tc>
        <w:tc>
          <w:tcPr>
            <w:tcW w:w="550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  <w:jc w:val="center"/>
        </w:trPr>
        <w:tc>
          <w:tcPr>
            <w:tcW w:w="381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自然人</w:t>
            </w:r>
          </w:p>
        </w:tc>
        <w:tc>
          <w:tcPr>
            <w:tcW w:w="399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  <w:jc w:val="center"/>
        </w:trPr>
        <w:tc>
          <w:tcPr>
            <w:tcW w:w="381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科研机构</w:t>
            </w:r>
          </w:p>
        </w:tc>
        <w:tc>
          <w:tcPr>
            <w:tcW w:w="8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社会公益组织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法律服务机构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其他</w:t>
            </w: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381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一、本年新收政府信息公开申请数量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381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二、上年结转政府信息公开申请数量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三、本年度办理结果</w:t>
            </w:r>
          </w:p>
        </w:tc>
        <w:tc>
          <w:tcPr>
            <w:tcW w:w="31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ascii="楷体" w:hAnsi="楷体" w:eastAsia="楷体" w:cs="楷体"/>
                <w:sz w:val="19"/>
                <w:szCs w:val="19"/>
              </w:rPr>
              <w:t>（一）予以公开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（二）部分公开（区分处理的，只计这一情形，不计其他情形）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（三）不予公开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1.属于国家秘密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2.其他法律行政法规禁止公开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3.危及“三安全一稳定”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4.保护第三方合法权益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5.属于三类内部事务信息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6.属于四类过程性信息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7.属于行政执法案卷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8.属于行政查询事项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（四）无法提供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1.本机关不掌握相关政府信息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2.没有现成信息需要另行制作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3.补正后申请内容仍不明确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（五）不予处理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1.信访举报投诉类申请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2.重复申请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3.要求提供公开出版物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4.无正当理由大量反复申请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5.要求行政机关确认或重新出具已获取信息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（六）其他处理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（七）总计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381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四、结转下年度继续办理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四、政府信息公开行政复议、行政诉讼情况</w:t>
      </w:r>
    </w:p>
    <w:tbl>
      <w:tblPr>
        <w:tblStyle w:val="3"/>
        <w:tblW w:w="936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5"/>
        <w:gridCol w:w="615"/>
        <w:gridCol w:w="615"/>
        <w:gridCol w:w="615"/>
        <w:gridCol w:w="705"/>
        <w:gridCol w:w="570"/>
        <w:gridCol w:w="615"/>
        <w:gridCol w:w="615"/>
        <w:gridCol w:w="615"/>
        <w:gridCol w:w="645"/>
        <w:gridCol w:w="615"/>
        <w:gridCol w:w="615"/>
        <w:gridCol w:w="615"/>
        <w:gridCol w:w="615"/>
        <w:gridCol w:w="67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31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行政复议</w:t>
            </w:r>
          </w:p>
        </w:tc>
        <w:tc>
          <w:tcPr>
            <w:tcW w:w="6195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结果维持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结果纠正</w:t>
            </w:r>
          </w:p>
        </w:tc>
        <w:tc>
          <w:tcPr>
            <w:tcW w:w="61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其他结果</w:t>
            </w:r>
          </w:p>
        </w:tc>
        <w:tc>
          <w:tcPr>
            <w:tcW w:w="61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尚未审结</w:t>
            </w:r>
          </w:p>
        </w:tc>
        <w:tc>
          <w:tcPr>
            <w:tcW w:w="69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总计</w:t>
            </w:r>
          </w:p>
        </w:tc>
        <w:tc>
          <w:tcPr>
            <w:tcW w:w="306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未经复议直接起诉</w:t>
            </w:r>
          </w:p>
        </w:tc>
        <w:tc>
          <w:tcPr>
            <w:tcW w:w="312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结果维持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结果纠正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其他结果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尚未审结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总计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结果维持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结果纠正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其他结果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尚未审结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6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仿宋_GB2312" w:eastAsia="仿宋_GB2312" w:cs="仿宋_GB2312"/>
          <w:sz w:val="31"/>
          <w:szCs w:val="31"/>
        </w:rPr>
        <w:t>针对</w:t>
      </w:r>
      <w:r>
        <w:rPr>
          <w:rFonts w:hint="default" w:ascii="Times New Roman" w:hAnsi="Times New Roman" w:cs="Times New Roman"/>
          <w:sz w:val="31"/>
          <w:szCs w:val="31"/>
        </w:rPr>
        <w:t>2019</w:t>
      </w:r>
      <w:r>
        <w:rPr>
          <w:rFonts w:hint="eastAsia" w:ascii="仿宋_GB2312" w:eastAsia="仿宋_GB2312" w:cs="仿宋_GB2312"/>
          <w:sz w:val="31"/>
          <w:szCs w:val="31"/>
        </w:rPr>
        <w:t>年我单位政务公开工作中存在的问题和不足，县住建局不断完善领导机制，细化工作制度，通过加大公开力度、深化公开内容、拓展公开渠道、提升公开实效，全面推进决策、执行、管理、服务、结果“五公开”，全局政务公开工作质量效益稳步提升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default" w:ascii="Times New Roman" w:hAnsi="Times New Roman" w:cs="Times New Roman"/>
          <w:sz w:val="31"/>
          <w:szCs w:val="31"/>
        </w:rPr>
        <w:t>2020</w:t>
      </w:r>
      <w:r>
        <w:rPr>
          <w:rFonts w:hint="eastAsia" w:ascii="仿宋_GB2312" w:hAnsi="Times New Roman" w:eastAsia="仿宋_GB2312" w:cs="仿宋_GB2312"/>
          <w:sz w:val="31"/>
          <w:szCs w:val="31"/>
        </w:rPr>
        <w:t>年，</w:t>
      </w:r>
      <w:r>
        <w:rPr>
          <w:rFonts w:hint="eastAsia" w:ascii="仿宋_GB2312" w:eastAsia="仿宋_GB2312" w:cs="仿宋_GB2312"/>
          <w:sz w:val="31"/>
          <w:szCs w:val="31"/>
        </w:rPr>
        <w:t>全局</w:t>
      </w:r>
      <w:r>
        <w:rPr>
          <w:rFonts w:hint="eastAsia" w:ascii="仿宋_GB2312" w:hAnsi="Times New Roman" w:eastAsia="仿宋_GB2312" w:cs="仿宋_GB2312"/>
          <w:sz w:val="31"/>
          <w:szCs w:val="31"/>
        </w:rPr>
        <w:t>政务公开工作取得一定成效，但总体仍存在公开意识有待提高、重点领域内容有待深化、依申请公开能力有待增强、解读回应有待提升等诸多问题。具体表现在以下几个方面：一是公开意识有待进一步提升。部分</w:t>
      </w:r>
      <w:r>
        <w:rPr>
          <w:rFonts w:hint="eastAsia" w:ascii="仿宋_GB2312" w:eastAsia="仿宋_GB2312" w:cs="仿宋_GB2312"/>
          <w:sz w:val="31"/>
          <w:szCs w:val="31"/>
        </w:rPr>
        <w:t>科室</w:t>
      </w:r>
      <w:r>
        <w:rPr>
          <w:rFonts w:hint="eastAsia" w:ascii="仿宋_GB2312" w:hAnsi="Times New Roman" w:eastAsia="仿宋_GB2312" w:cs="仿宋_GB2312"/>
          <w:sz w:val="31"/>
          <w:szCs w:val="31"/>
        </w:rPr>
        <w:t>对政务公开工作的重要性认识不到位，没有</w:t>
      </w:r>
      <w:r>
        <w:rPr>
          <w:rFonts w:hint="eastAsia" w:ascii="仿宋_GB2312" w:eastAsia="仿宋_GB2312" w:cs="仿宋_GB2312"/>
          <w:sz w:val="31"/>
          <w:szCs w:val="31"/>
        </w:rPr>
        <w:t>专门</w:t>
      </w:r>
      <w:r>
        <w:rPr>
          <w:rFonts w:hint="eastAsia" w:ascii="仿宋_GB2312" w:hAnsi="Times New Roman" w:eastAsia="仿宋_GB2312" w:cs="仿宋_GB2312"/>
          <w:sz w:val="31"/>
          <w:szCs w:val="31"/>
        </w:rPr>
        <w:t>进行研究和部署。二是办文办会公开力度有待进一步加大</w:t>
      </w:r>
      <w:r>
        <w:rPr>
          <w:rFonts w:hint="eastAsia" w:ascii="仿宋_GB2312" w:eastAsia="仿宋_GB2312" w:cs="仿宋_GB2312"/>
          <w:sz w:val="31"/>
          <w:szCs w:val="31"/>
        </w:rPr>
        <w:t>，</w:t>
      </w:r>
      <w:r>
        <w:rPr>
          <w:rFonts w:hint="eastAsia" w:ascii="仿宋_GB2312" w:hAnsi="Times New Roman" w:eastAsia="仿宋_GB2312" w:cs="仿宋_GB2312"/>
          <w:sz w:val="31"/>
          <w:szCs w:val="31"/>
        </w:rPr>
        <w:t>召开的办公会议公开率较低。</w:t>
      </w:r>
      <w:r>
        <w:rPr>
          <w:rFonts w:hint="eastAsia" w:ascii="仿宋_GB2312" w:eastAsia="仿宋_GB2312" w:cs="仿宋_GB2312"/>
          <w:sz w:val="31"/>
          <w:szCs w:val="31"/>
        </w:rPr>
        <w:t>三</w:t>
      </w:r>
      <w:r>
        <w:rPr>
          <w:rFonts w:hint="eastAsia" w:ascii="仿宋_GB2312" w:hAnsi="Times New Roman" w:eastAsia="仿宋_GB2312" w:cs="仿宋_GB2312"/>
          <w:sz w:val="31"/>
          <w:szCs w:val="31"/>
        </w:rPr>
        <w:t>是政策解读方式有待进一步拓展</w:t>
      </w:r>
      <w:r>
        <w:rPr>
          <w:rFonts w:hint="eastAsia" w:ascii="仿宋_GB2312" w:eastAsia="仿宋_GB2312" w:cs="仿宋_GB2312"/>
          <w:sz w:val="31"/>
          <w:szCs w:val="31"/>
        </w:rPr>
        <w:t>，</w:t>
      </w:r>
      <w:r>
        <w:rPr>
          <w:rFonts w:hint="eastAsia" w:ascii="仿宋_GB2312" w:hAnsi="Times New Roman" w:eastAsia="仿宋_GB2312" w:cs="仿宋_GB2312"/>
          <w:sz w:val="31"/>
          <w:szCs w:val="31"/>
        </w:rPr>
        <w:t>存在解读方式单一的问题，部分解读材料流于形式，且发布时限滞后。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default" w:ascii="Times New Roman" w:hAnsi="Times New Roman" w:cs="Times New Roman"/>
          <w:sz w:val="31"/>
          <w:szCs w:val="31"/>
        </w:rPr>
        <w:t>202</w:t>
      </w:r>
      <w:r>
        <w:rPr>
          <w:rFonts w:hint="eastAsia" w:ascii="仿宋_GB2312" w:eastAsia="仿宋_GB2312" w:cs="仿宋_GB2312"/>
          <w:sz w:val="31"/>
          <w:szCs w:val="31"/>
        </w:rPr>
        <w:t>1</w:t>
      </w:r>
      <w:r>
        <w:rPr>
          <w:rFonts w:hint="eastAsia" w:ascii="仿宋_GB2312" w:hAnsi="Times New Roman" w:eastAsia="仿宋_GB2312" w:cs="仿宋_GB2312"/>
          <w:sz w:val="31"/>
          <w:szCs w:val="31"/>
        </w:rPr>
        <w:t>年</w:t>
      </w:r>
      <w:r>
        <w:rPr>
          <w:rFonts w:hint="eastAsia" w:ascii="仿宋_GB2312" w:eastAsia="仿宋_GB2312" w:cs="仿宋_GB2312"/>
          <w:sz w:val="31"/>
          <w:szCs w:val="31"/>
        </w:rPr>
        <w:t>县住建局将</w:t>
      </w:r>
      <w:r>
        <w:rPr>
          <w:rFonts w:hint="eastAsia" w:ascii="仿宋_GB2312" w:hAnsi="Times New Roman" w:eastAsia="仿宋_GB2312" w:cs="仿宋_GB2312"/>
          <w:sz w:val="31"/>
          <w:szCs w:val="31"/>
        </w:rPr>
        <w:t>继续以贯彻落实国家、省</w:t>
      </w:r>
      <w:r>
        <w:rPr>
          <w:rFonts w:hint="eastAsia" w:ascii="仿宋_GB2312" w:eastAsia="仿宋_GB2312" w:cs="仿宋_GB2312"/>
          <w:sz w:val="31"/>
          <w:szCs w:val="31"/>
        </w:rPr>
        <w:t>、市、县</w:t>
      </w:r>
      <w:r>
        <w:rPr>
          <w:rFonts w:hint="eastAsia" w:ascii="仿宋_GB2312" w:hAnsi="Times New Roman" w:eastAsia="仿宋_GB2312" w:cs="仿宋_GB2312"/>
          <w:sz w:val="31"/>
          <w:szCs w:val="31"/>
        </w:rPr>
        <w:t>政务公开工作部署为牵引，以政务公开标准化规范化建设为重点，以畅通公开渠道、深化政策解读和扩大公众参与为抓手，以</w:t>
      </w:r>
      <w:r>
        <w:rPr>
          <w:rFonts w:hint="eastAsia" w:ascii="仿宋_GB2312" w:eastAsia="仿宋_GB2312" w:cs="仿宋_GB2312"/>
          <w:sz w:val="31"/>
          <w:szCs w:val="31"/>
        </w:rPr>
        <w:t>提升政务公开工作能力</w:t>
      </w:r>
      <w:r>
        <w:rPr>
          <w:rFonts w:hint="eastAsia" w:ascii="仿宋_GB2312" w:hAnsi="Times New Roman" w:eastAsia="仿宋_GB2312" w:cs="仿宋_GB2312"/>
          <w:sz w:val="31"/>
          <w:szCs w:val="31"/>
        </w:rPr>
        <w:t>为着力点，全面提升</w:t>
      </w:r>
      <w:r>
        <w:rPr>
          <w:rFonts w:hint="eastAsia" w:ascii="仿宋_GB2312" w:eastAsia="仿宋_GB2312" w:cs="仿宋_GB2312"/>
          <w:sz w:val="31"/>
          <w:szCs w:val="31"/>
        </w:rPr>
        <w:t>全局</w:t>
      </w:r>
      <w:r>
        <w:rPr>
          <w:rFonts w:hint="eastAsia" w:ascii="仿宋_GB2312" w:hAnsi="Times New Roman" w:eastAsia="仿宋_GB2312" w:cs="仿宋_GB2312"/>
          <w:sz w:val="31"/>
          <w:szCs w:val="31"/>
        </w:rPr>
        <w:t>政务公开整体水平。</w:t>
      </w:r>
      <w:r>
        <w:rPr>
          <w:rFonts w:hint="eastAsia" w:ascii="仿宋_GB2312" w:eastAsia="仿宋_GB2312" w:cs="仿宋_GB2312"/>
          <w:sz w:val="31"/>
          <w:szCs w:val="31"/>
        </w:rPr>
        <w:t>通过</w:t>
      </w:r>
      <w:r>
        <w:rPr>
          <w:rFonts w:hint="eastAsia" w:ascii="仿宋_GB2312" w:hAnsi="Times New Roman" w:eastAsia="仿宋_GB2312" w:cs="仿宋_GB2312"/>
          <w:sz w:val="31"/>
          <w:szCs w:val="31"/>
        </w:rPr>
        <w:t>进一步完善工作机制，研究提高政府信息公开工作水平</w:t>
      </w:r>
      <w:r>
        <w:rPr>
          <w:rFonts w:hint="eastAsia" w:ascii="仿宋_GB2312" w:eastAsia="仿宋_GB2312" w:cs="仿宋_GB2312"/>
          <w:sz w:val="31"/>
          <w:szCs w:val="31"/>
        </w:rPr>
        <w:t>，</w:t>
      </w:r>
      <w:r>
        <w:rPr>
          <w:rFonts w:hint="eastAsia" w:ascii="仿宋_GB2312" w:hAnsi="Times New Roman" w:eastAsia="仿宋_GB2312" w:cs="仿宋_GB2312"/>
          <w:sz w:val="31"/>
          <w:szCs w:val="31"/>
        </w:rPr>
        <w:t>及时、全面、主动公开政策信息，做好重要政策的宣传、解读工作</w:t>
      </w:r>
      <w:r>
        <w:rPr>
          <w:rFonts w:hint="eastAsia" w:ascii="仿宋_GB2312" w:eastAsia="仿宋_GB2312" w:cs="仿宋_GB2312"/>
          <w:sz w:val="31"/>
          <w:szCs w:val="31"/>
        </w:rPr>
        <w:t>，</w:t>
      </w:r>
      <w:r>
        <w:rPr>
          <w:rFonts w:hint="eastAsia" w:ascii="仿宋_GB2312" w:hAnsi="Times New Roman" w:eastAsia="仿宋_GB2312" w:cs="仿宋_GB2312"/>
          <w:sz w:val="31"/>
          <w:szCs w:val="31"/>
        </w:rPr>
        <w:t>严格依法依规做好依申请公开工作。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仿宋_GB2312" w:eastAsia="仿宋_GB2312" w:cs="仿宋_GB2312"/>
          <w:sz w:val="31"/>
          <w:szCs w:val="31"/>
        </w:rPr>
        <w:t>无。    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</w:pPr>
    </w:p>
    <w:p/>
    <w:sectPr>
      <w:pgSz w:w="11906" w:h="16838"/>
      <w:pgMar w:top="1701" w:right="1417" w:bottom="1417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9A4F9B"/>
    <w:rsid w:val="461559BE"/>
    <w:rsid w:val="696A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4" Type="http://schemas.microsoft.com/office/2011/relationships/chartColorStyle" Target="colors2.xml"/><Relationship Id="rId3" Type="http://schemas.microsoft.com/office/2011/relationships/chartStyle" Target="style2.xml"/><Relationship Id="rId2" Type="http://schemas.openxmlformats.org/officeDocument/2006/relationships/themeOverride" Target="../theme/themeOverride2.xml"/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75000"/>
                    <a:lumOff val="2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altLang="zh-CN"/>
              <a:t>政务公开信息柱状图</a:t>
            </a:r>
            <a:endParaRPr altLang="zh-CN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582"/>
          <c:y val="0.24585487887559"/>
          <c:w val="0.911111111111111"/>
          <c:h val="0.6540277777777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rgbClr val="365B7C"/>
            </a:solidFill>
            <a:ln w="57150" cmpd="dbl">
              <a:solidFill>
                <a:srgbClr val="365B7C"/>
              </a:solidFill>
            </a:ln>
            <a:effectLst/>
          </c:spPr>
          <c:invertIfNegative val="0"/>
          <c:dLbls>
            <c:numFmt formatCode="#,##0.00_);[Red]\(#,##0.00\)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/>
              <a:lstStyle/>
              <a:p>
                <a:pPr>
                  <a:defRPr lang="zh-CN" sz="900" b="0" i="0" u="none" strike="noStrike" kern="1200" baseline="0">
                    <a:solidFill>
                      <a:schemeClr val="bg1"/>
                    </a:solidFill>
                    <a:latin typeface="微软雅黑" panose="020B0503020204020204" charset="-122"/>
                    <a:ea typeface="微软雅黑" panose="020B0503020204020204" charset="-122"/>
                    <a:cs typeface="微软雅黑" panose="020B0503020204020204" charset="-122"/>
                    <a:sym typeface="微软雅黑" panose="020B0503020204020204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县政府网站公开信息</c:v>
                </c:pt>
                <c:pt idx="1">
                  <c:v>住建局微信公众平台公开信息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173</c:v>
                </c:pt>
                <c:pt idx="1">
                  <c:v>203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55"/>
        <c:axId val="410904572"/>
        <c:axId val="893051096"/>
      </c:barChart>
      <c:catAx>
        <c:axId val="4109045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893051096"/>
        <c:crosses val="autoZero"/>
        <c:auto val="1"/>
        <c:lblAlgn val="ctr"/>
        <c:lblOffset val="100"/>
        <c:noMultiLvlLbl val="0"/>
      </c:catAx>
      <c:valAx>
        <c:axId val="8930510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4109045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</c:dTable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微软雅黑" panose="020B0503020204020204" charset="-122"/>
              <a:ea typeface="微软雅黑" panose="020B0503020204020204" charset="-122"/>
              <a:cs typeface="微软雅黑" panose="020B0503020204020204" charset="-122"/>
              <a:sym typeface="微软雅黑" panose="020B0503020204020204" charset="-122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solidFill>
            <a:schemeClr val="tx1">
              <a:lumMod val="75000"/>
              <a:lumOff val="25000"/>
            </a:schemeClr>
          </a:solidFill>
          <a:latin typeface="微软雅黑" panose="020B0503020204020204" charset="-122"/>
          <a:ea typeface="微软雅黑" panose="020B0503020204020204" charset="-122"/>
          <a:cs typeface="微软雅黑" panose="020B0503020204020204" charset="-122"/>
          <a:sym typeface="微软雅黑" panose="020B0503020204020204" charset="-122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t>政务公开信息扇形图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00459674049311"/>
          <c:y val="0.25974025974026"/>
          <c:w val="0.408552723220504"/>
          <c:h val="0.69256198347107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rgbClr val="859949"/>
            </a:solidFill>
            <a:ln w="31750">
              <a:solidFill>
                <a:schemeClr val="bg1">
                  <a:alpha val="42000"/>
                </a:schemeClr>
              </a:solidFill>
            </a:ln>
          </c:spPr>
          <c:explosion val="0"/>
          <c:dPt>
            <c:idx val="0"/>
            <c:bubble3D val="0"/>
            <c:spPr>
              <a:solidFill>
                <a:srgbClr val="365B7C"/>
              </a:solidFill>
              <a:ln w="31750">
                <a:solidFill>
                  <a:schemeClr val="bg1">
                    <a:alpha val="42000"/>
                  </a:schemeClr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966480"/>
              </a:solidFill>
              <a:ln w="31750">
                <a:solidFill>
                  <a:schemeClr val="bg1">
                    <a:alpha val="42000"/>
                  </a:schemeClr>
                </a:solidFill>
              </a:ln>
              <a:effectLst/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/>
              <a:lstStyle/>
              <a:p>
                <a:pPr>
                  <a:defRPr lang="zh-CN" sz="900" b="0" i="0" u="none" strike="noStrike" kern="1200" baseline="0">
                    <a:solidFill>
                      <a:schemeClr val="bg1"/>
                    </a:solidFill>
                    <a:latin typeface="微软雅黑" panose="020B0503020204020204" charset="-122"/>
                    <a:ea typeface="微软雅黑" panose="020B0503020204020204" charset="-122"/>
                    <a:cs typeface="微软雅黑" panose="020B0503020204020204" charset="-122"/>
                    <a:sym typeface="微软雅黑" panose="020B0503020204020204" charset="-122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县政府网站公开信息</c:v>
                </c:pt>
                <c:pt idx="1">
                  <c:v>住建局微信公众平台公开信息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173</c:v>
                </c:pt>
                <c:pt idx="1">
                  <c:v>203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rgbClr val="859949"/>
            </a:solidFill>
            <a:ln w="31750">
              <a:solidFill>
                <a:schemeClr val="bg1">
                  <a:alpha val="42000"/>
                </a:schemeClr>
              </a:solidFill>
            </a:ln>
          </c:spPr>
          <c:explosion val="0"/>
          <c:dPt>
            <c:idx val="0"/>
            <c:bubble3D val="0"/>
            <c:spPr>
              <a:solidFill>
                <a:srgbClr val="365B7C"/>
              </a:solidFill>
              <a:ln w="31750">
                <a:solidFill>
                  <a:schemeClr val="bg1">
                    <a:alpha val="42000"/>
                  </a:schemeClr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966480"/>
              </a:solidFill>
              <a:ln w="31750">
                <a:solidFill>
                  <a:schemeClr val="bg1">
                    <a:alpha val="42000"/>
                  </a:schemeClr>
                </a:solidFill>
              </a:ln>
              <a:effectLst/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微软雅黑" panose="020B0503020204020204" charset="-122"/>
                    <a:ea typeface="微软雅黑" panose="020B0503020204020204" charset="-122"/>
                    <a:cs typeface="微软雅黑" panose="020B0503020204020204" charset="-122"/>
                    <a:sym typeface="微软雅黑" panose="020B0503020204020204" charset="-122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县政府网站公开信息</c:v>
                </c:pt>
                <c:pt idx="1">
                  <c:v>住建局微信公众平台公开信息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rgbClr val="859949"/>
            </a:solidFill>
            <a:ln w="31750">
              <a:solidFill>
                <a:schemeClr val="bg1">
                  <a:alpha val="42000"/>
                </a:schemeClr>
              </a:solidFill>
            </a:ln>
          </c:spPr>
          <c:explosion val="0"/>
          <c:dPt>
            <c:idx val="0"/>
            <c:bubble3D val="0"/>
            <c:spPr>
              <a:solidFill>
                <a:srgbClr val="365B7C"/>
              </a:solidFill>
              <a:ln w="31750">
                <a:solidFill>
                  <a:schemeClr val="bg1">
                    <a:alpha val="42000"/>
                  </a:schemeClr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966480"/>
              </a:solidFill>
              <a:ln w="31750">
                <a:solidFill>
                  <a:schemeClr val="bg1">
                    <a:alpha val="42000"/>
                  </a:schemeClr>
                </a:solidFill>
              </a:ln>
              <a:effectLst/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微软雅黑" panose="020B0503020204020204" charset="-122"/>
                    <a:ea typeface="微软雅黑" panose="020B0503020204020204" charset="-122"/>
                    <a:cs typeface="微软雅黑" panose="020B0503020204020204" charset="-122"/>
                    <a:sym typeface="微软雅黑" panose="020B0503020204020204" charset="-122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县政府网站公开信息</c:v>
                </c:pt>
                <c:pt idx="1">
                  <c:v>住建局微信公众平台公开信息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微软雅黑" panose="020B0503020204020204" charset="-122"/>
              <a:ea typeface="微软雅黑" panose="020B0503020204020204" charset="-122"/>
              <a:cs typeface="微软雅黑" panose="020B0503020204020204" charset="-122"/>
              <a:sym typeface="微软雅黑" panose="020B0503020204020204" charset="-122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solidFill>
            <a:schemeClr val="tx1">
              <a:lumMod val="65000"/>
              <a:lumOff val="35000"/>
            </a:schemeClr>
          </a:solidFill>
          <a:latin typeface="微软雅黑" panose="020B0503020204020204" charset="-122"/>
          <a:ea typeface="微软雅黑" panose="020B0503020204020204" charset="-122"/>
          <a:cs typeface="微软雅黑" panose="020B0503020204020204" charset="-122"/>
          <a:sym typeface="微软雅黑" panose="020B0503020204020204" charset="-122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2021-03-05T03:12:00Z</dcterms:created>
  <dc:creator>Administrator</dc:creator>
  <cp:lastModifiedBy>唱支山歌给党听</cp:lastModifiedBy>
  <dcterms:modified xsi:type="dcterms:W3CDTF">2021-05-24T06:59:17Z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79DF7456FB884D05AE4CE1DCC93FBD81</vt:lpwstr>
  </property>
</Properties>
</file>