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hAnsi="方正小标宋简体" w:eastAsia="方正小标宋简体" w:cs="方正小标宋简体"/>
          <w:b/>
          <w:color w:val="auto"/>
          <w:sz w:val="44"/>
          <w:szCs w:val="44"/>
        </w:rPr>
      </w:pPr>
      <w:bookmarkStart w:id="0" w:name="_GoBack"/>
      <w:bookmarkEnd w:id="0"/>
      <w:r>
        <w:rPr>
          <w:rFonts w:hint="eastAsia" w:ascii="方正小标宋简体" w:hAnsi="方正小标宋简体" w:eastAsia="方正小标宋简体" w:cs="方正小标宋简体"/>
          <w:b/>
          <w:color w:val="auto"/>
          <w:sz w:val="44"/>
          <w:szCs w:val="44"/>
          <w:lang w:val="en-US" w:eastAsia="zh-CN"/>
        </w:rPr>
        <w:t>白石镇人民政府</w:t>
      </w:r>
      <w:r>
        <w:rPr>
          <w:rFonts w:hint="eastAsia" w:ascii="方正小标宋简体" w:hAnsi="方正小标宋简体" w:eastAsia="方正小标宋简体" w:cs="方正小标宋简体"/>
          <w:b/>
          <w:color w:val="auto"/>
          <w:sz w:val="44"/>
          <w:szCs w:val="44"/>
        </w:rPr>
        <w:t>202</w:t>
      </w:r>
      <w:r>
        <w:rPr>
          <w:rFonts w:hint="eastAsia" w:ascii="方正小标宋简体" w:hAnsi="方正小标宋简体" w:eastAsia="方正小标宋简体" w:cs="方正小标宋简体"/>
          <w:b/>
          <w:color w:val="auto"/>
          <w:sz w:val="44"/>
          <w:szCs w:val="44"/>
          <w:lang w:val="en-US" w:eastAsia="zh-CN"/>
        </w:rPr>
        <w:t>3</w:t>
      </w:r>
      <w:r>
        <w:rPr>
          <w:rFonts w:hint="eastAsia" w:ascii="方正小标宋简体" w:hAnsi="方正小标宋简体" w:eastAsia="方正小标宋简体" w:cs="方正小标宋简体"/>
          <w:b/>
          <w:color w:val="auto"/>
          <w:sz w:val="44"/>
          <w:szCs w:val="44"/>
        </w:rPr>
        <w:t>年政府信息公开</w:t>
      </w:r>
    </w:p>
    <w:p>
      <w:pPr>
        <w:spacing w:line="590" w:lineRule="exact"/>
        <w:ind w:right="-100" w:rightChars="-5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工作年度报告</w:t>
      </w:r>
    </w:p>
    <w:p>
      <w:pPr>
        <w:spacing w:line="590" w:lineRule="exact"/>
        <w:ind w:right="-100" w:rightChars="-50" w:firstLine="643" w:firstLineChars="200"/>
        <w:rPr>
          <w:rFonts w:ascii="仿宋_GB2312" w:eastAsia="仿宋_GB2312"/>
          <w:b/>
          <w:color w:val="auto"/>
          <w:sz w:val="32"/>
          <w:szCs w:val="32"/>
        </w:rPr>
      </w:pP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本报告由白石镇人民政府按照《中华人民共和国政府信息公开条例》（以下简称《条例》）和《中华人民共和国政府信息公开工作年度报告格式》（国办公开办函〔2021〕30号）要求编制。</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本报告所列数据的统计期限自2023年1月1日起至2023年12月31日止。本报告电子版可在“中国·汶上”政府门户网站（www.wenshang.gov.cn）查阅或下载。如对本报告有疑问，请与白石镇人民政府联系（地址汶上县白石镇府前大街一号，联系电话：0537-7804101）。</w:t>
      </w:r>
    </w:p>
    <w:p>
      <w:pPr>
        <w:spacing w:line="590" w:lineRule="exact"/>
        <w:ind w:right="-100" w:rightChars="-50" w:firstLine="643" w:firstLineChars="200"/>
        <w:rPr>
          <w:rFonts w:ascii="黑体" w:eastAsia="黑体"/>
          <w:b/>
          <w:color w:val="auto"/>
          <w:sz w:val="32"/>
          <w:szCs w:val="32"/>
        </w:rPr>
      </w:pPr>
      <w:r>
        <w:rPr>
          <w:rFonts w:hint="eastAsia" w:ascii="黑体" w:eastAsia="黑体"/>
          <w:b/>
          <w:color w:val="auto"/>
          <w:sz w:val="32"/>
          <w:szCs w:val="32"/>
        </w:rPr>
        <w:t>一、总体情况</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2023年，在县党委、政府的正确领导下，白石镇高度重视政务公开工作，按照政务公开有关要求，紧紧围绕增强工作的透明度，加强民主监督，密切与人民群众的联系，不断规范政务公开内容，创新政务公开形式，突出政务公开重点，提高政务公开水平，全年政府信息公开信息数68条。同时，</w:t>
      </w:r>
      <w:r>
        <w:rPr>
          <w:rFonts w:hint="default" w:ascii="仿宋_GB2312" w:hAnsi="Times New Roman" w:eastAsia="仿宋_GB2312" w:cs="Times New Roman"/>
          <w:b w:val="0"/>
          <w:bCs/>
          <w:color w:val="auto"/>
          <w:sz w:val="32"/>
          <w:szCs w:val="32"/>
          <w:lang w:val="en-US" w:eastAsia="zh-CN"/>
        </w:rPr>
        <w:t>积极探索新模式、新路径，强化平台建设，拓宽公开范围，全力推进政府信息公开工作扎实有序开展。</w:t>
      </w:r>
      <w:r>
        <w:rPr>
          <w:rFonts w:hint="eastAsia" w:ascii="仿宋_GB2312" w:hAnsi="Times New Roman" w:eastAsia="仿宋_GB2312" w:cs="Times New Roman"/>
          <w:b w:val="0"/>
          <w:bCs/>
          <w:color w:val="auto"/>
          <w:sz w:val="32"/>
          <w:szCs w:val="32"/>
          <w:lang w:val="en-US" w:eastAsia="zh-CN"/>
        </w:rPr>
        <w:t>截至2023年底，我镇政务信息公开工作运行正常。</w:t>
      </w:r>
    </w:p>
    <w:p>
      <w:pPr>
        <w:spacing w:line="590" w:lineRule="exact"/>
        <w:ind w:right="-100" w:rightChars="-50" w:firstLine="643" w:firstLineChars="200"/>
        <w:rPr>
          <w:rFonts w:hint="eastAsia" w:ascii="方正楷体简体" w:hAnsi="Times New Roman" w:eastAsia="方正楷体简体" w:cs="Times New Roman"/>
          <w:b/>
          <w:color w:val="auto"/>
          <w:sz w:val="32"/>
          <w:szCs w:val="32"/>
        </w:rPr>
      </w:pPr>
      <w:r>
        <w:rPr>
          <w:rFonts w:hint="eastAsia" w:ascii="方正楷体简体" w:hAnsi="Times New Roman" w:eastAsia="方正楷体简体" w:cs="Times New Roman"/>
          <w:b/>
          <w:color w:val="auto"/>
          <w:sz w:val="32"/>
          <w:szCs w:val="32"/>
        </w:rPr>
        <w:t>（一）主动公开情况</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1.主动公开政府信息的数量</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在“幸福白石”微信公众号方面，共推送动态消息1815条，关注人数已达到10750人，同比增长13%。</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color w:val="auto"/>
          <w:lang w:val="en-US" w:eastAsia="zh-CN"/>
        </w:rPr>
      </w:pPr>
      <w:r>
        <w:rPr>
          <w:color w:val="auto"/>
        </w:rPr>
        <w:drawing>
          <wp:inline distT="0" distB="0" distL="114300" distR="114300">
            <wp:extent cx="4831080" cy="2743200"/>
            <wp:effectExtent l="4445" t="4445" r="10795" b="10795"/>
            <wp:docPr id="1"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通过政府信息公开网主动公开政府信息68条，其中会议公开31条，占46％；其他法定公开11条，占16％；政策文件公开5条，占7％;行政权力公开3条，占5%；财政预算决算公开2条，占3%；政务公开组织管理4条，占6％；政务公开基础建设2条，占3％；政府信息公开指南3条，占4％；其他类7条，占约10%。</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eastAsia="宋体"/>
          <w:color w:val="auto"/>
          <w:lang w:eastAsia="zh-CN"/>
        </w:rPr>
      </w:pPr>
      <w:r>
        <w:rPr>
          <w:rFonts w:hint="eastAsia" w:eastAsia="宋体"/>
          <w:color w:val="auto"/>
          <w:lang w:eastAsia="zh-CN"/>
        </w:rPr>
        <w:drawing>
          <wp:inline distT="0" distB="0" distL="114300" distR="114300">
            <wp:extent cx="5683885" cy="2042795"/>
            <wp:effectExtent l="0" t="0" r="635" b="14605"/>
            <wp:docPr id="2" name="图片 2" descr="170539669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5396697157"/>
                    <pic:cNvPicPr>
                      <a:picLocks noChangeAspect="1"/>
                    </pic:cNvPicPr>
                  </pic:nvPicPr>
                  <pic:blipFill>
                    <a:blip r:embed="rId5"/>
                    <a:stretch>
                      <a:fillRect/>
                    </a:stretch>
                  </pic:blipFill>
                  <pic:spPr>
                    <a:xfrm>
                      <a:off x="0" y="0"/>
                      <a:ext cx="5683885" cy="2042795"/>
                    </a:xfrm>
                    <a:prstGeom prst="rect">
                      <a:avLst/>
                    </a:prstGeom>
                    <a:noFill/>
                    <a:ln>
                      <a:noFill/>
                    </a:ln>
                  </pic:spPr>
                </pic:pic>
              </a:graphicData>
            </a:graphic>
          </wp:inline>
        </w:drawing>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2.主动公开政府信息的主要类别</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白石镇主动公开政务文件及工作动态信息的类别主要包括：会议公开类、政策文件类、行政权力运行公开类、公益事业类、政务公开组织管理类、政务公开基础建设类等，并对以上文件进行解读。</w:t>
      </w:r>
    </w:p>
    <w:p>
      <w:pPr>
        <w:spacing w:line="590" w:lineRule="exact"/>
        <w:ind w:right="-100" w:rightChars="-50" w:firstLine="643" w:firstLineChars="200"/>
        <w:rPr>
          <w:rFonts w:hint="eastAsia" w:ascii="方正楷体简体" w:hAnsi="Times New Roman" w:eastAsia="方正楷体简体" w:cs="Times New Roman"/>
          <w:b/>
          <w:color w:val="auto"/>
          <w:sz w:val="32"/>
          <w:szCs w:val="32"/>
        </w:rPr>
      </w:pPr>
      <w:r>
        <w:rPr>
          <w:rFonts w:hint="eastAsia" w:ascii="方正楷体简体" w:hAnsi="Times New Roman" w:eastAsia="方正楷体简体" w:cs="Times New Roman"/>
          <w:b/>
          <w:color w:val="auto"/>
          <w:sz w:val="32"/>
          <w:szCs w:val="32"/>
        </w:rPr>
        <w:t>（二）依申请公开情况</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我镇进一步完善政府信息公开申请登记、审核、办理、答复、归档等工作制度。2023年度，我镇未收到依申请公开申请。</w:t>
      </w:r>
    </w:p>
    <w:p>
      <w:pPr>
        <w:spacing w:line="590" w:lineRule="exact"/>
        <w:ind w:right="-100" w:rightChars="-50" w:firstLine="643" w:firstLineChars="200"/>
        <w:rPr>
          <w:rFonts w:hint="eastAsia" w:ascii="方正楷体简体" w:hAnsi="Times New Roman" w:eastAsia="方正楷体简体" w:cs="Times New Roman"/>
          <w:b/>
          <w:color w:val="auto"/>
          <w:sz w:val="32"/>
          <w:szCs w:val="32"/>
        </w:rPr>
      </w:pPr>
      <w:r>
        <w:rPr>
          <w:rFonts w:hint="eastAsia" w:ascii="方正楷体简体" w:hAnsi="Times New Roman" w:eastAsia="方正楷体简体" w:cs="Times New Roman"/>
          <w:b/>
          <w:color w:val="auto"/>
          <w:sz w:val="32"/>
          <w:szCs w:val="32"/>
        </w:rPr>
        <w:t>（三）政府信息管理情况</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我镇政府信息公开工作严格坚持以公开为常态、不公开为例外，坚持依法依规、科学管控，遵循规律、务求实效，确保网站内容发布准确、权威、及时、高效、便民。加强制度化建设，严格落实信息公开发布审查工作机制。</w:t>
      </w:r>
    </w:p>
    <w:p>
      <w:pPr>
        <w:spacing w:line="590" w:lineRule="exact"/>
        <w:ind w:right="-100" w:rightChars="-50" w:firstLine="643" w:firstLineChars="200"/>
        <w:rPr>
          <w:rFonts w:hint="eastAsia" w:ascii="方正楷体简体" w:hAnsi="Times New Roman" w:eastAsia="方正楷体简体" w:cs="Times New Roman"/>
          <w:b/>
          <w:color w:val="auto"/>
          <w:sz w:val="32"/>
          <w:szCs w:val="32"/>
          <w:lang w:val="en-US" w:eastAsia="zh-CN"/>
        </w:rPr>
      </w:pPr>
      <w:r>
        <w:rPr>
          <w:rFonts w:hint="eastAsia" w:ascii="方正楷体简体" w:hAnsi="Times New Roman" w:eastAsia="方正楷体简体" w:cs="Times New Roman"/>
          <w:b/>
          <w:color w:val="auto"/>
          <w:sz w:val="32"/>
          <w:szCs w:val="32"/>
          <w:lang w:val="en-US" w:eastAsia="zh-CN"/>
        </w:rPr>
        <w:t>（四）政府信息公开平台建设情况</w:t>
      </w:r>
    </w:p>
    <w:p>
      <w:pPr>
        <w:spacing w:line="590" w:lineRule="exact"/>
        <w:ind w:right="-100" w:rightChars="-50" w:firstLine="640" w:firstLineChars="20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一是提升政府网站运维和管理，做好定期自查工作，及时发布各类主动公开信息，优化网站栏目设置。二是在做好网站的日常维护和更新外，持续发挥微信公众号、报刊媒体、便民服务中心等平台的优势，做好信息及时发布，多平台互动，提升政务媒体效率。</w:t>
      </w:r>
    </w:p>
    <w:p>
      <w:pPr>
        <w:spacing w:line="590" w:lineRule="exact"/>
        <w:ind w:right="-100" w:rightChars="-50" w:firstLine="643" w:firstLineChars="200"/>
        <w:rPr>
          <w:rFonts w:hint="eastAsia" w:ascii="方正楷体简体" w:hAnsi="Times New Roman" w:eastAsia="方正楷体简体" w:cs="Times New Roman"/>
          <w:b/>
          <w:color w:val="auto"/>
          <w:sz w:val="32"/>
          <w:szCs w:val="32"/>
          <w:lang w:val="en-US" w:eastAsia="zh-CN"/>
        </w:rPr>
      </w:pPr>
      <w:r>
        <w:rPr>
          <w:rFonts w:hint="eastAsia" w:ascii="方正楷体简体" w:hAnsi="Times New Roman" w:eastAsia="方正楷体简体" w:cs="Times New Roman"/>
          <w:b/>
          <w:color w:val="auto"/>
          <w:sz w:val="32"/>
          <w:szCs w:val="32"/>
          <w:lang w:val="en-US" w:eastAsia="zh-CN"/>
        </w:rPr>
        <w:t>（五）监督保障情况</w:t>
      </w:r>
    </w:p>
    <w:p>
      <w:pPr>
        <w:spacing w:line="590" w:lineRule="exact"/>
        <w:ind w:right="-100" w:rightChars="-50"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主动接受社会监督，加强公众参与，及时回应社会关切热点话题。同时借助多种渠道、多方面获取社会诉求，在镇为民服务中心设置政民互动栏目，包括民意征集、咨询投诉等；线下常态化开展“政府开放日”、“在线访谈”、多维度解读涉及民生问题的政策，紧密联系群众的切身利益和实际问题，强化政策阐述，增进社会共识。</w:t>
      </w:r>
    </w:p>
    <w:p>
      <w:pPr>
        <w:spacing w:line="590" w:lineRule="exact"/>
        <w:ind w:right="-100" w:rightChars="-50" w:firstLine="643" w:firstLineChars="200"/>
        <w:rPr>
          <w:rFonts w:ascii="黑体" w:eastAsia="黑体"/>
          <w:b/>
          <w:color w:val="auto"/>
          <w:sz w:val="32"/>
          <w:szCs w:val="32"/>
        </w:rPr>
      </w:pPr>
      <w:r>
        <w:rPr>
          <w:rFonts w:hint="eastAsia" w:ascii="黑体" w:eastAsia="黑体"/>
          <w:b/>
          <w:color w:val="auto"/>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pPr>
              <w:widowControl/>
              <w:spacing w:line="340" w:lineRule="exact"/>
              <w:jc w:val="center"/>
              <w:rPr>
                <w:rFonts w:ascii="黑体" w:eastAsia="黑体"/>
                <w:b/>
                <w:color w:val="auto"/>
                <w:sz w:val="24"/>
                <w:szCs w:val="24"/>
              </w:rPr>
            </w:pPr>
            <w:r>
              <w:rPr>
                <w:rFonts w:hint="eastAsia" w:ascii="黑体" w:hAnsi="宋体" w:eastAsia="黑体" w:cs="宋体"/>
                <w:b/>
                <w:color w:val="auto"/>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信息内容</w:t>
            </w:r>
          </w:p>
        </w:tc>
        <w:tc>
          <w:tcPr>
            <w:tcW w:w="2133"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本年制发件数</w:t>
            </w:r>
          </w:p>
        </w:tc>
        <w:tc>
          <w:tcPr>
            <w:tcW w:w="2216"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本年废止件数</w:t>
            </w:r>
          </w:p>
        </w:tc>
        <w:tc>
          <w:tcPr>
            <w:tcW w:w="1989"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规章</w:t>
            </w:r>
          </w:p>
        </w:tc>
        <w:tc>
          <w:tcPr>
            <w:tcW w:w="2133"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c>
          <w:tcPr>
            <w:tcW w:w="2216"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c>
          <w:tcPr>
            <w:tcW w:w="1989"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Calibri" w:eastAsia="仿宋_GB2312" w:cs="Calibri"/>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行政规范性文件</w:t>
            </w:r>
          </w:p>
        </w:tc>
        <w:tc>
          <w:tcPr>
            <w:tcW w:w="2133"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c>
          <w:tcPr>
            <w:tcW w:w="2216"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c>
          <w:tcPr>
            <w:tcW w:w="1989" w:type="dxa"/>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Calibri" w:eastAsia="仿宋_GB2312" w:cs="Calibri"/>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黑体" w:hAnsi="宋体" w:eastAsia="黑体" w:cs="宋体"/>
                <w:b/>
                <w:color w:val="auto"/>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信息内容</w:t>
            </w:r>
          </w:p>
        </w:tc>
        <w:tc>
          <w:tcPr>
            <w:tcW w:w="6338" w:type="dxa"/>
            <w:gridSpan w:val="3"/>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行政许可</w:t>
            </w:r>
          </w:p>
        </w:tc>
        <w:tc>
          <w:tcPr>
            <w:tcW w:w="6338" w:type="dxa"/>
            <w:gridSpan w:val="3"/>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eastAsia="仿宋_GB2312"/>
                <w:b/>
                <w:color w:val="auto"/>
                <w:sz w:val="24"/>
                <w:szCs w:val="24"/>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黑体" w:hAnsi="宋体" w:eastAsia="黑体" w:cs="宋体"/>
                <w:b/>
                <w:color w:val="auto"/>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信息内容</w:t>
            </w:r>
          </w:p>
        </w:tc>
        <w:tc>
          <w:tcPr>
            <w:tcW w:w="6338" w:type="dxa"/>
            <w:gridSpan w:val="3"/>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行政处罚</w:t>
            </w:r>
          </w:p>
        </w:tc>
        <w:tc>
          <w:tcPr>
            <w:tcW w:w="6338" w:type="dxa"/>
            <w:gridSpan w:val="3"/>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行政强制</w:t>
            </w:r>
          </w:p>
        </w:tc>
        <w:tc>
          <w:tcPr>
            <w:tcW w:w="6338" w:type="dxa"/>
            <w:gridSpan w:val="3"/>
            <w:noWrap w:val="0"/>
            <w:tcMar>
              <w:left w:w="57" w:type="dxa"/>
              <w:right w:w="57" w:type="dxa"/>
            </w:tcMar>
            <w:vAlign w:val="center"/>
          </w:tcPr>
          <w:p>
            <w:pPr>
              <w:widowControl/>
              <w:spacing w:line="340" w:lineRule="exact"/>
              <w:jc w:val="center"/>
              <w:rPr>
                <w:rFonts w:hint="eastAsia" w:ascii="仿宋_GB2312" w:eastAsia="仿宋_GB2312"/>
                <w:b/>
                <w:color w:val="auto"/>
                <w:sz w:val="24"/>
                <w:szCs w:val="24"/>
                <w:lang w:val="en-US" w:eastAsia="zh-CN"/>
              </w:rPr>
            </w:pPr>
            <w:r>
              <w:rPr>
                <w:rFonts w:hint="eastAsia" w:ascii="仿宋_GB2312" w:hAnsi="宋体" w:eastAsia="仿宋_GB2312" w:cs="宋体"/>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黑体" w:hAnsi="宋体" w:eastAsia="黑体" w:cs="宋体"/>
                <w:b/>
                <w:color w:val="auto"/>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信息内容</w:t>
            </w:r>
          </w:p>
        </w:tc>
        <w:tc>
          <w:tcPr>
            <w:tcW w:w="6338" w:type="dxa"/>
            <w:gridSpan w:val="3"/>
            <w:noWrap w:val="0"/>
            <w:tcMar>
              <w:left w:w="57" w:type="dxa"/>
              <w:right w:w="57" w:type="dxa"/>
            </w:tcMar>
            <w:vAlign w:val="center"/>
          </w:tcPr>
          <w:p>
            <w:pPr>
              <w:widowControl/>
              <w:spacing w:line="340" w:lineRule="exact"/>
              <w:jc w:val="center"/>
              <w:rPr>
                <w:rFonts w:ascii="仿宋_GB2312" w:eastAsia="仿宋_GB2312"/>
                <w:b/>
                <w:color w:val="auto"/>
                <w:sz w:val="24"/>
                <w:szCs w:val="24"/>
              </w:rPr>
            </w:pPr>
            <w:r>
              <w:rPr>
                <w:rFonts w:hint="eastAsia" w:ascii="仿宋_GB2312" w:hAnsi="宋体" w:eastAsia="仿宋_GB2312" w:cs="宋体"/>
                <w:b/>
                <w:color w:val="auto"/>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340" w:lineRule="exact"/>
              <w:jc w:val="left"/>
              <w:rPr>
                <w:rFonts w:ascii="仿宋_GB2312" w:eastAsia="仿宋_GB2312"/>
                <w:b/>
                <w:color w:val="auto"/>
                <w:sz w:val="24"/>
                <w:szCs w:val="24"/>
              </w:rPr>
            </w:pPr>
            <w:r>
              <w:rPr>
                <w:rFonts w:hint="eastAsia" w:ascii="仿宋_GB2312" w:hAnsi="宋体" w:eastAsia="仿宋_GB2312" w:cs="宋体"/>
                <w:b/>
                <w:color w:val="auto"/>
                <w:sz w:val="24"/>
                <w:szCs w:val="24"/>
                <w:lang w:bidi="ar"/>
              </w:rPr>
              <w:t>行政事业性收费</w:t>
            </w:r>
          </w:p>
        </w:tc>
        <w:tc>
          <w:tcPr>
            <w:tcW w:w="6338" w:type="dxa"/>
            <w:gridSpan w:val="3"/>
            <w:noWrap w:val="0"/>
            <w:tcMar>
              <w:left w:w="57" w:type="dxa"/>
              <w:right w:w="57" w:type="dxa"/>
            </w:tcMar>
            <w:vAlign w:val="center"/>
          </w:tcPr>
          <w:p>
            <w:pPr>
              <w:spacing w:line="340" w:lineRule="exact"/>
              <w:jc w:val="center"/>
              <w:rPr>
                <w:rFonts w:hint="eastAsia" w:ascii="仿宋_GB2312" w:eastAsia="仿宋_GB2312"/>
                <w:b/>
                <w:color w:val="auto"/>
                <w:sz w:val="24"/>
                <w:szCs w:val="24"/>
                <w:lang w:val="en-US" w:eastAsia="zh-CN"/>
              </w:rPr>
            </w:pPr>
            <w:r>
              <w:rPr>
                <w:rFonts w:hint="eastAsia" w:ascii="仿宋_GB2312" w:eastAsia="仿宋_GB2312"/>
                <w:b/>
                <w:color w:val="auto"/>
                <w:sz w:val="24"/>
                <w:szCs w:val="24"/>
                <w:lang w:val="en-US" w:eastAsia="zh-CN"/>
              </w:rPr>
              <w:t>0</w:t>
            </w:r>
          </w:p>
        </w:tc>
      </w:tr>
    </w:tbl>
    <w:p>
      <w:pPr>
        <w:spacing w:before="62" w:beforeLines="10" w:after="62" w:afterLines="10" w:line="600" w:lineRule="exact"/>
        <w:ind w:firstLine="643" w:firstLineChars="200"/>
        <w:rPr>
          <w:rFonts w:ascii="黑体" w:eastAsia="黑体"/>
          <w:b/>
          <w:color w:val="auto"/>
          <w:sz w:val="32"/>
          <w:szCs w:val="32"/>
        </w:rPr>
      </w:pPr>
      <w:r>
        <w:rPr>
          <w:rFonts w:hint="eastAsia" w:ascii="黑体" w:eastAsia="黑体"/>
          <w:b/>
          <w:color w:val="auto"/>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黑体" w:hAnsi="楷体" w:eastAsia="黑体" w:cs="楷体"/>
                <w:b/>
                <w:color w:val="auto"/>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黑体" w:eastAsia="黑体"/>
                <w:b/>
                <w:color w:val="auto"/>
                <w:sz w:val="21"/>
                <w:szCs w:val="21"/>
              </w:rPr>
            </w:pPr>
          </w:p>
        </w:tc>
        <w:tc>
          <w:tcPr>
            <w:tcW w:w="791" w:type="dxa"/>
            <w:vMerge w:val="restart"/>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仿宋_GB2312" w:eastAsia="仿宋_GB2312"/>
                <w:b/>
                <w:color w:val="auto"/>
                <w:sz w:val="21"/>
                <w:szCs w:val="21"/>
              </w:rPr>
            </w:pPr>
          </w:p>
        </w:tc>
        <w:tc>
          <w:tcPr>
            <w:tcW w:w="791"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599" w:type="dxa"/>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商业</w:t>
            </w:r>
          </w:p>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企业</w:t>
            </w:r>
          </w:p>
        </w:tc>
        <w:tc>
          <w:tcPr>
            <w:tcW w:w="590" w:type="dxa"/>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科研</w:t>
            </w:r>
          </w:p>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机构</w:t>
            </w:r>
          </w:p>
        </w:tc>
        <w:tc>
          <w:tcPr>
            <w:tcW w:w="598" w:type="dxa"/>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黑体" w:eastAsia="黑体"/>
                <w:b/>
                <w:color w:val="auto"/>
                <w:sz w:val="21"/>
                <w:szCs w:val="21"/>
              </w:rPr>
            </w:pPr>
            <w:r>
              <w:rPr>
                <w:rFonts w:hint="eastAsia" w:ascii="黑体" w:hAnsi="宋体" w:eastAsia="黑体" w:cs="宋体"/>
                <w:b/>
                <w:color w:val="auto"/>
                <w:sz w:val="21"/>
                <w:szCs w:val="21"/>
                <w:lang w:bidi="ar"/>
              </w:rPr>
              <w:t>其他</w:t>
            </w:r>
          </w:p>
        </w:tc>
        <w:tc>
          <w:tcPr>
            <w:tcW w:w="521"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3820" w:type="dxa"/>
            <w:gridSpan w:val="2"/>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（二）部分公开</w:t>
            </w:r>
            <w:r>
              <w:rPr>
                <w:rFonts w:hint="eastAsia" w:ascii="仿宋_GB2312" w:hAnsi="楷体" w:eastAsia="仿宋_GB2312" w:cs="楷体"/>
                <w:b/>
                <w:color w:val="auto"/>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color w:val="auto"/>
                <w:sz w:val="21"/>
                <w:szCs w:val="21"/>
                <w:lang w:val="en-US" w:eastAsia="zh-CN" w:bidi="ar-SA"/>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center"/>
          </w:tcPr>
          <w:p>
            <w:pPr>
              <w:widowControl/>
              <w:spacing w:line="300" w:lineRule="exact"/>
              <w:rPr>
                <w:rFonts w:ascii="仿宋_GB2312" w:eastAsia="仿宋_GB2312"/>
                <w:b/>
                <w:color w:val="auto"/>
                <w:sz w:val="21"/>
                <w:szCs w:val="21"/>
              </w:rPr>
            </w:pPr>
            <w:r>
              <w:rPr>
                <w:rFonts w:hint="eastAsia" w:ascii="仿宋_GB2312" w:hAnsi="宋体" w:eastAsia="仿宋_GB2312" w:cs="宋体"/>
                <w:b/>
                <w:color w:val="auto"/>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（六）其他处理</w:t>
            </w:r>
          </w:p>
        </w:tc>
        <w:tc>
          <w:tcPr>
            <w:tcW w:w="2878" w:type="dxa"/>
            <w:noWrap w:val="0"/>
            <w:tcMar>
              <w:left w:w="57" w:type="dxa"/>
              <w:right w:w="57" w:type="dxa"/>
            </w:tcMar>
            <w:vAlign w:val="center"/>
          </w:tcPr>
          <w:p>
            <w:pPr>
              <w:widowControl/>
              <w:spacing w:line="300" w:lineRule="exact"/>
              <w:rPr>
                <w:rFonts w:ascii="仿宋_GB2312" w:eastAsia="仿宋_GB2312"/>
                <w:b/>
                <w:color w:val="auto"/>
                <w:sz w:val="21"/>
                <w:szCs w:val="21"/>
              </w:rPr>
            </w:pPr>
            <w:r>
              <w:rPr>
                <w:rFonts w:hint="eastAsia" w:ascii="仿宋_GB2312" w:hAnsi="宋体" w:eastAsia="仿宋_GB2312" w:cs="宋体"/>
                <w:b/>
                <w:color w:val="auto"/>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center"/>
          </w:tcPr>
          <w:p>
            <w:pPr>
              <w:widowControl/>
              <w:spacing w:line="300" w:lineRule="exact"/>
              <w:rPr>
                <w:rFonts w:ascii="仿宋_GB2312" w:eastAsia="仿宋_GB2312"/>
                <w:b/>
                <w:color w:val="auto"/>
                <w:sz w:val="21"/>
                <w:szCs w:val="21"/>
              </w:rPr>
            </w:pPr>
            <w:r>
              <w:rPr>
                <w:rFonts w:hint="eastAsia" w:ascii="仿宋_GB2312" w:hAnsi="宋体" w:eastAsia="仿宋_GB2312" w:cs="宋体"/>
                <w:b/>
                <w:color w:val="auto"/>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2878" w:type="dxa"/>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3.其他</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color w:val="auto"/>
                <w:sz w:val="21"/>
                <w:szCs w:val="21"/>
              </w:rPr>
            </w:pPr>
          </w:p>
        </w:tc>
        <w:tc>
          <w:tcPr>
            <w:tcW w:w="3820" w:type="dxa"/>
            <w:gridSpan w:val="2"/>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color w:val="auto"/>
                <w:sz w:val="21"/>
                <w:szCs w:val="21"/>
              </w:rPr>
            </w:pPr>
            <w:r>
              <w:rPr>
                <w:rFonts w:hint="eastAsia" w:ascii="仿宋_GB2312" w:hAnsi="宋体" w:eastAsia="仿宋_GB2312" w:cs="宋体"/>
                <w:b/>
                <w:color w:val="auto"/>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590"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仿宋_GB2312" w:eastAsia="仿宋_GB2312"/>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bl>
    <w:p>
      <w:pPr>
        <w:spacing w:line="590" w:lineRule="exact"/>
        <w:ind w:right="-100" w:rightChars="-50" w:firstLine="643" w:firstLineChars="200"/>
        <w:rPr>
          <w:rFonts w:ascii="黑体" w:eastAsia="黑体"/>
          <w:b/>
          <w:color w:val="auto"/>
          <w:sz w:val="32"/>
          <w:szCs w:val="32"/>
        </w:rPr>
      </w:pPr>
      <w:r>
        <w:rPr>
          <w:rFonts w:hint="eastAsia" w:ascii="黑体" w:eastAsia="黑体"/>
          <w:b/>
          <w:color w:val="auto"/>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hAnsi="宋体" w:eastAsia="黑体" w:cs="宋体"/>
                <w:b/>
                <w:color w:val="auto"/>
                <w:sz w:val="21"/>
                <w:szCs w:val="21"/>
                <w:lang w:bidi="ar"/>
              </w:rPr>
            </w:pPr>
            <w:r>
              <w:rPr>
                <w:rFonts w:hint="eastAsia" w:ascii="黑体" w:hAnsi="宋体" w:eastAsia="黑体" w:cs="宋体"/>
                <w:b/>
                <w:color w:val="auto"/>
                <w:sz w:val="21"/>
                <w:szCs w:val="21"/>
                <w:lang w:bidi="ar"/>
              </w:rPr>
              <w:t>结果</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其他</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尚未</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color w:val="auto"/>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color w:val="auto"/>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color w:val="auto"/>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color w:val="auto"/>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color w:val="auto"/>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结果</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结果</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其他</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尚未</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结果</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结果</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其他</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color w:val="auto"/>
                <w:sz w:val="21"/>
                <w:szCs w:val="21"/>
                <w:lang w:eastAsia="zh-CN" w:bidi="ar"/>
              </w:rPr>
            </w:pPr>
            <w:r>
              <w:rPr>
                <w:rFonts w:hint="eastAsia" w:ascii="黑体" w:hAnsi="宋体" w:eastAsia="黑体" w:cs="宋体"/>
                <w:b/>
                <w:color w:val="auto"/>
                <w:sz w:val="21"/>
                <w:szCs w:val="21"/>
                <w:lang w:bidi="ar"/>
              </w:rPr>
              <w:t>尚未</w:t>
            </w:r>
          </w:p>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color w:val="auto"/>
                <w:sz w:val="21"/>
                <w:szCs w:val="21"/>
              </w:rPr>
            </w:pPr>
            <w:r>
              <w:rPr>
                <w:rFonts w:hint="eastAsia" w:ascii="黑体" w:hAnsi="宋体" w:eastAsia="黑体" w:cs="宋体"/>
                <w:b/>
                <w:color w:val="auto"/>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val="en-US" w:eastAsia="zh-CN" w:bidi="ar"/>
              </w:rPr>
              <w:t>0</w:t>
            </w:r>
            <w:r>
              <w:rPr>
                <w:rFonts w:hint="eastAsia" w:ascii="方正仿宋简体" w:hAnsi="Calibri" w:eastAsia="方正仿宋简体" w:cs="Calibri"/>
                <w:b/>
                <w:color w:val="auto"/>
                <w:sz w:val="21"/>
                <w:szCs w:val="21"/>
                <w:lang w:bidi="ar"/>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ascii="黑体" w:eastAsia="黑体"/>
                <w:b/>
                <w:color w:val="auto"/>
                <w:sz w:val="21"/>
                <w:szCs w:val="21"/>
              </w:rPr>
            </w:pPr>
            <w:r>
              <w:rPr>
                <w:rFonts w:hint="eastAsia" w:ascii="方正仿宋简体" w:hAnsi="Calibri" w:eastAsia="方正仿宋简体" w:cs="Calibri"/>
                <w:b/>
                <w:color w:val="auto"/>
                <w:sz w:val="21"/>
                <w:szCs w:val="21"/>
                <w:lang w:bidi="ar"/>
              </w:rPr>
              <w:t> </w:t>
            </w:r>
            <w:r>
              <w:rPr>
                <w:rFonts w:hint="eastAsia" w:ascii="方正仿宋简体" w:hAnsi="Calibri" w:eastAsia="方正仿宋简体" w:cs="Calibri"/>
                <w:b/>
                <w:color w:val="auto"/>
                <w:sz w:val="21"/>
                <w:szCs w:val="21"/>
                <w:lang w:val="en-US" w:eastAsia="zh-CN" w:bidi="ar"/>
              </w:rPr>
              <w:t>0</w:t>
            </w:r>
          </w:p>
        </w:tc>
      </w:tr>
    </w:tbl>
    <w:p>
      <w:pPr>
        <w:spacing w:line="590" w:lineRule="exact"/>
        <w:ind w:right="-100" w:rightChars="-50" w:firstLine="643" w:firstLineChars="200"/>
        <w:rPr>
          <w:rFonts w:ascii="黑体" w:eastAsia="黑体"/>
          <w:b/>
          <w:color w:val="auto"/>
          <w:sz w:val="32"/>
          <w:szCs w:val="32"/>
        </w:rPr>
      </w:pPr>
      <w:r>
        <w:rPr>
          <w:rFonts w:hint="eastAsia" w:ascii="黑体" w:eastAsia="黑体"/>
          <w:b/>
          <w:color w:val="auto"/>
          <w:sz w:val="32"/>
          <w:szCs w:val="32"/>
        </w:rPr>
        <w:t>五、存在的主要问题及改进情况</w:t>
      </w:r>
    </w:p>
    <w:p>
      <w:pPr>
        <w:spacing w:line="590" w:lineRule="exact"/>
        <w:ind w:right="-100" w:rightChars="-5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是虽然已经明确专人负责，但是政务公开工作涉及面广，少数工作人员重视程度不够，专业性不强，导致部分信息公开质量不高。二是公开目录复杂繁多，评分标准较高，对专职人员的专业性要求高，专职人员的培训及学习有待加强。三是信息发布的及时性和精准性有待提高。</w:t>
      </w:r>
    </w:p>
    <w:p>
      <w:pPr>
        <w:spacing w:line="590" w:lineRule="exact"/>
        <w:ind w:right="-100" w:rightChars="-50"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下一步，我镇将积极推进信息公开工作。</w:t>
      </w:r>
      <w:r>
        <w:rPr>
          <w:rFonts w:hint="eastAsia" w:ascii="仿宋_GB2312" w:hAnsi="仿宋_GB2312" w:eastAsia="仿宋_GB2312" w:cs="仿宋_GB2312"/>
          <w:b w:val="0"/>
          <w:bCs/>
          <w:color w:val="auto"/>
          <w:sz w:val="32"/>
          <w:szCs w:val="32"/>
        </w:rPr>
        <w:t>一是加大工作力度。及时发布和更新依法应主动公开的政府信息，确保政府信息及时公开，并认真做好答复依申请公开政府信息工作。进一步完善政府信息公开制度，不断建立健全工作机制，维护政府信息公开工作的正常秩序。二是丰富公开形式。通过动画、图片等多种形式进行解读。三是建立长效机制。建立和完善信息公开内容审查和更新维护，促进信息公开工作制度化、规范化发展，深入、持续、高效地开展信息公开工作</w:t>
      </w:r>
      <w:r>
        <w:rPr>
          <w:rFonts w:hint="eastAsia" w:ascii="仿宋_GB2312" w:hAnsi="仿宋_GB2312" w:eastAsia="仿宋_GB2312" w:cs="仿宋_GB2312"/>
          <w:b w:val="0"/>
          <w:bCs/>
          <w:color w:val="auto"/>
          <w:sz w:val="32"/>
          <w:szCs w:val="32"/>
          <w:lang w:eastAsia="zh-CN"/>
        </w:rPr>
        <w:t>。</w:t>
      </w:r>
    </w:p>
    <w:p>
      <w:pPr>
        <w:spacing w:line="590" w:lineRule="exact"/>
        <w:ind w:right="-100" w:rightChars="-50" w:firstLine="643" w:firstLineChars="200"/>
        <w:rPr>
          <w:rFonts w:ascii="黑体" w:eastAsia="黑体"/>
          <w:b/>
          <w:color w:val="auto"/>
          <w:sz w:val="32"/>
          <w:szCs w:val="32"/>
        </w:rPr>
      </w:pPr>
      <w:r>
        <w:rPr>
          <w:rFonts w:hint="eastAsia" w:ascii="黑体" w:eastAsia="黑体"/>
          <w:b/>
          <w:color w:val="auto"/>
          <w:sz w:val="32"/>
          <w:szCs w:val="32"/>
        </w:rPr>
        <w:t>六、其他需要报告的事项</w:t>
      </w:r>
    </w:p>
    <w:p>
      <w:pPr>
        <w:spacing w:line="590" w:lineRule="exact"/>
        <w:ind w:right="-100" w:rightChars="-50"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主要报告本行政机关认为需要报告的其他事项，以及其他有关文件专门要求通过政府信息公开工作年度报告予以报告的事项，包括但不限于：</w:t>
      </w:r>
    </w:p>
    <w:p>
      <w:pPr>
        <w:spacing w:line="590" w:lineRule="exact"/>
        <w:ind w:right="-100" w:rightChars="-50"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（一）我镇本年度无收取信息处理费情况</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w:t>
      </w:r>
      <w:r>
        <w:rPr>
          <w:rFonts w:hint="eastAsia" w:ascii="仿宋_GB2312" w:hAnsi="仿宋_GB2312" w:eastAsia="仿宋_GB2312" w:cs="仿宋_GB2312"/>
          <w:b w:val="0"/>
          <w:bCs/>
          <w:color w:val="auto"/>
          <w:sz w:val="32"/>
          <w:szCs w:val="32"/>
          <w:lang w:val="en-US" w:eastAsia="zh-CN"/>
        </w:rPr>
        <w:t>本年度</w:t>
      </w:r>
      <w:r>
        <w:rPr>
          <w:rFonts w:hint="eastAsia" w:ascii="仿宋_GB2312" w:hAnsi="仿宋_GB2312" w:eastAsia="仿宋_GB2312" w:cs="仿宋_GB2312"/>
          <w:b w:val="0"/>
          <w:bCs/>
          <w:color w:val="auto"/>
          <w:sz w:val="32"/>
          <w:szCs w:val="32"/>
        </w:rPr>
        <w:t>政务公开工作要点：</w:t>
      </w:r>
      <w:r>
        <w:rPr>
          <w:rFonts w:hint="eastAsia" w:ascii="仿宋_GB2312" w:hAnsi="仿宋_GB2312" w:eastAsia="仿宋_GB2312" w:cs="仿宋_GB2312"/>
          <w:b w:val="0"/>
          <w:bCs/>
          <w:color w:val="auto"/>
          <w:sz w:val="32"/>
          <w:szCs w:val="32"/>
          <w:lang w:val="en-US" w:eastAsia="zh-CN"/>
        </w:rPr>
        <w:t>1、以公开促落实，加强政府公开队伍建设。一是加强组织领导，及时调整领导小组，抓好信息审核、保密审核、统筹编制、队伍建设等，确保信息畅通及时。二是</w:t>
      </w:r>
      <w:r>
        <w:rPr>
          <w:rFonts w:hint="eastAsia" w:ascii="仿宋_GB2312" w:hAnsi="仿宋_GB2312" w:eastAsia="仿宋_GB2312" w:cs="仿宋_GB2312"/>
          <w:b w:val="0"/>
          <w:bCs/>
          <w:color w:val="auto"/>
          <w:sz w:val="32"/>
          <w:szCs w:val="32"/>
          <w:lang w:eastAsia="zh-CN"/>
        </w:rPr>
        <w:t>充实公开内容。</w:t>
      </w:r>
      <w:r>
        <w:rPr>
          <w:rFonts w:hint="eastAsia" w:ascii="仿宋_GB2312" w:hAnsi="仿宋_GB2312" w:eastAsia="仿宋_GB2312" w:cs="仿宋_GB2312"/>
          <w:b w:val="0"/>
          <w:bCs/>
          <w:color w:val="auto"/>
          <w:sz w:val="32"/>
          <w:szCs w:val="32"/>
        </w:rPr>
        <w:t>围绕重大改革、重要举措、重点项目等中心工作，扩大</w:t>
      </w:r>
      <w:r>
        <w:rPr>
          <w:rFonts w:hint="eastAsia" w:ascii="仿宋_GB2312" w:hAnsi="仿宋_GB2312" w:eastAsia="仿宋_GB2312" w:cs="仿宋_GB2312"/>
          <w:b w:val="0"/>
          <w:bCs/>
          <w:color w:val="auto"/>
          <w:sz w:val="32"/>
          <w:szCs w:val="32"/>
          <w:lang w:val="en-US" w:eastAsia="zh-CN"/>
        </w:rPr>
        <w:t>公开</w:t>
      </w:r>
      <w:r>
        <w:rPr>
          <w:rFonts w:hint="eastAsia" w:ascii="仿宋_GB2312" w:hAnsi="仿宋_GB2312" w:eastAsia="仿宋_GB2312" w:cs="仿宋_GB2312"/>
          <w:b w:val="0"/>
          <w:bCs/>
          <w:color w:val="auto"/>
          <w:sz w:val="32"/>
          <w:szCs w:val="32"/>
        </w:rPr>
        <w:t>广度</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深度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注重从</w:t>
      </w:r>
      <w:r>
        <w:rPr>
          <w:rFonts w:hint="eastAsia" w:ascii="仿宋_GB2312" w:hAnsi="仿宋_GB2312" w:eastAsia="仿宋_GB2312" w:cs="仿宋_GB2312"/>
          <w:b w:val="0"/>
          <w:bCs/>
          <w:color w:val="auto"/>
          <w:sz w:val="32"/>
          <w:szCs w:val="32"/>
          <w:lang w:val="en-US" w:eastAsia="zh-CN"/>
        </w:rPr>
        <w:t>群众</w:t>
      </w:r>
      <w:r>
        <w:rPr>
          <w:rFonts w:hint="eastAsia" w:ascii="仿宋_GB2312" w:hAnsi="仿宋_GB2312" w:eastAsia="仿宋_GB2312" w:cs="仿宋_GB2312"/>
          <w:b w:val="0"/>
          <w:bCs/>
          <w:color w:val="auto"/>
          <w:sz w:val="32"/>
          <w:szCs w:val="32"/>
        </w:rPr>
        <w:t>的视角</w:t>
      </w:r>
      <w:r>
        <w:rPr>
          <w:rFonts w:hint="eastAsia" w:ascii="仿宋_GB2312" w:hAnsi="仿宋_GB2312" w:eastAsia="仿宋_GB2312" w:cs="仿宋_GB2312"/>
          <w:b w:val="0"/>
          <w:bCs/>
          <w:color w:val="auto"/>
          <w:sz w:val="32"/>
          <w:szCs w:val="32"/>
          <w:lang w:val="en-US" w:eastAsia="zh-CN"/>
        </w:rPr>
        <w:t>去</w:t>
      </w:r>
      <w:r>
        <w:rPr>
          <w:rFonts w:hint="eastAsia" w:ascii="仿宋_GB2312" w:hAnsi="仿宋_GB2312" w:eastAsia="仿宋_GB2312" w:cs="仿宋_GB2312"/>
          <w:b w:val="0"/>
          <w:bCs/>
          <w:color w:val="auto"/>
          <w:sz w:val="32"/>
          <w:szCs w:val="32"/>
        </w:rPr>
        <w:t>谋划</w:t>
      </w:r>
      <w:r>
        <w:rPr>
          <w:rFonts w:hint="eastAsia" w:ascii="仿宋_GB2312" w:hAnsi="仿宋_GB2312" w:eastAsia="仿宋_GB2312" w:cs="仿宋_GB2312"/>
          <w:b w:val="0"/>
          <w:bCs/>
          <w:color w:val="auto"/>
          <w:sz w:val="32"/>
          <w:szCs w:val="32"/>
          <w:lang w:val="en-US" w:eastAsia="zh-CN"/>
        </w:rPr>
        <w:t>内容</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发挥好信息公开</w:t>
      </w:r>
      <w:r>
        <w:rPr>
          <w:rFonts w:hint="eastAsia" w:ascii="仿宋_GB2312" w:hAnsi="仿宋_GB2312" w:eastAsia="仿宋_GB2312" w:cs="仿宋_GB2312"/>
          <w:b w:val="0"/>
          <w:bCs/>
          <w:color w:val="auto"/>
          <w:sz w:val="32"/>
          <w:szCs w:val="32"/>
          <w:lang w:val="en-US" w:eastAsia="zh-CN"/>
        </w:rPr>
        <w:t>便民利民作用，2023年政府信息公开信息数68条。三是坚持问题导向，积极对接上级，抓好问题整改，提高工作质效，围绕群众关心的事项，充分利用图解、音解、专家解读、媒体解读等形式做好解读。2、以公开促服务，打通政务公开工作难点。一是提高思想认识，年度召开4次专题会议培训，提升业务能力与服务水平，切实把握政府公开的重点是提升服务质效。二是精简办事流程，提速审批效率，</w:t>
      </w:r>
      <w:r>
        <w:rPr>
          <w:rFonts w:hint="eastAsia" w:ascii="仿宋_GB2312" w:hAnsi="仿宋_GB2312" w:eastAsia="仿宋_GB2312" w:cs="仿宋_GB2312"/>
          <w:b w:val="0"/>
          <w:bCs/>
          <w:color w:val="auto"/>
          <w:sz w:val="32"/>
          <w:szCs w:val="32"/>
          <w:lang w:eastAsia="zh-CN"/>
        </w:rPr>
        <w:t>全面</w:t>
      </w:r>
      <w:r>
        <w:rPr>
          <w:rFonts w:hint="eastAsia" w:ascii="仿宋_GB2312" w:hAnsi="仿宋_GB2312" w:eastAsia="仿宋_GB2312" w:cs="仿宋_GB2312"/>
          <w:b w:val="0"/>
          <w:bCs/>
          <w:color w:val="auto"/>
          <w:sz w:val="32"/>
          <w:szCs w:val="32"/>
          <w:lang w:val="en-US" w:eastAsia="zh-CN"/>
        </w:rPr>
        <w:t>落实</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一次性告知”“</w:t>
      </w:r>
      <w:r>
        <w:rPr>
          <w:rFonts w:hint="eastAsia" w:ascii="仿宋_GB2312" w:hAnsi="仿宋_GB2312" w:eastAsia="仿宋_GB2312" w:cs="仿宋_GB2312"/>
          <w:b w:val="0"/>
          <w:bCs/>
          <w:color w:val="auto"/>
          <w:sz w:val="32"/>
          <w:szCs w:val="32"/>
          <w:lang w:eastAsia="zh-CN"/>
        </w:rPr>
        <w:t>最多跑一次”</w:t>
      </w:r>
      <w:r>
        <w:rPr>
          <w:rFonts w:hint="eastAsia" w:ascii="仿宋_GB2312" w:hAnsi="仿宋_GB2312" w:eastAsia="仿宋_GB2312" w:cs="仿宋_GB2312"/>
          <w:b w:val="0"/>
          <w:bCs/>
          <w:color w:val="auto"/>
          <w:sz w:val="32"/>
          <w:szCs w:val="32"/>
          <w:lang w:val="en-US" w:eastAsia="zh-CN"/>
        </w:rPr>
        <w:t>服务，切实解决企业、群众不会办事的问题。三是注重平台建设，</w:t>
      </w:r>
      <w:r>
        <w:rPr>
          <w:rFonts w:hint="eastAsia" w:ascii="仿宋_GB2312" w:hAnsi="仿宋_GB2312" w:eastAsia="仿宋_GB2312" w:cs="仿宋_GB2312"/>
          <w:b w:val="0"/>
          <w:bCs/>
          <w:color w:val="auto"/>
          <w:sz w:val="32"/>
          <w:szCs w:val="32"/>
          <w:lang w:eastAsia="zh-CN"/>
        </w:rPr>
        <w:t>设置</w:t>
      </w:r>
      <w:r>
        <w:rPr>
          <w:rFonts w:hint="eastAsia" w:ascii="仿宋_GB2312" w:hAnsi="仿宋_GB2312" w:eastAsia="仿宋_GB2312" w:cs="仿宋_GB2312"/>
          <w:b w:val="0"/>
          <w:bCs/>
          <w:color w:val="auto"/>
          <w:sz w:val="32"/>
          <w:szCs w:val="32"/>
          <w:lang w:val="en-US" w:eastAsia="zh-CN"/>
        </w:rPr>
        <w:t>政府</w:t>
      </w:r>
      <w:r>
        <w:rPr>
          <w:rFonts w:hint="eastAsia" w:ascii="仿宋_GB2312" w:hAnsi="仿宋_GB2312" w:eastAsia="仿宋_GB2312" w:cs="仿宋_GB2312"/>
          <w:b w:val="0"/>
          <w:bCs/>
          <w:color w:val="auto"/>
          <w:sz w:val="32"/>
          <w:szCs w:val="32"/>
          <w:lang w:eastAsia="zh-CN"/>
        </w:rPr>
        <w:t>信息公开</w:t>
      </w:r>
      <w:r>
        <w:rPr>
          <w:rFonts w:hint="eastAsia" w:ascii="仿宋_GB2312" w:hAnsi="仿宋_GB2312" w:eastAsia="仿宋_GB2312" w:cs="仿宋_GB2312"/>
          <w:b w:val="0"/>
          <w:bCs/>
          <w:color w:val="auto"/>
          <w:sz w:val="32"/>
          <w:szCs w:val="32"/>
          <w:lang w:val="en-US" w:eastAsia="zh-CN"/>
        </w:rPr>
        <w:t>专</w:t>
      </w:r>
      <w:r>
        <w:rPr>
          <w:rFonts w:hint="eastAsia" w:ascii="仿宋_GB2312" w:hAnsi="仿宋_GB2312" w:eastAsia="仿宋_GB2312" w:cs="仿宋_GB2312"/>
          <w:b w:val="0"/>
          <w:bCs/>
          <w:color w:val="auto"/>
          <w:sz w:val="32"/>
          <w:szCs w:val="32"/>
          <w:lang w:eastAsia="zh-CN"/>
        </w:rPr>
        <w:t>区，</w:t>
      </w:r>
      <w:r>
        <w:rPr>
          <w:rFonts w:hint="eastAsia" w:ascii="仿宋_GB2312" w:hAnsi="仿宋_GB2312" w:eastAsia="仿宋_GB2312" w:cs="仿宋_GB2312"/>
          <w:b w:val="0"/>
          <w:bCs/>
          <w:color w:val="auto"/>
          <w:sz w:val="32"/>
          <w:szCs w:val="32"/>
          <w:lang w:val="en-US" w:eastAsia="zh-CN"/>
        </w:rPr>
        <w:t>配备自助服务电脑、报刊架、资料柜等，提供政府信息查询、互动交流、网上办理、意见反馈等服务。3、</w:t>
      </w:r>
      <w:r>
        <w:rPr>
          <w:rFonts w:hint="eastAsia" w:ascii="仿宋_GB2312" w:hAnsi="仿宋_GB2312" w:eastAsia="仿宋_GB2312" w:cs="仿宋_GB2312"/>
          <w:b w:val="0"/>
          <w:bCs/>
          <w:color w:val="auto"/>
          <w:sz w:val="32"/>
          <w:szCs w:val="32"/>
        </w:rPr>
        <w:t>以公开促</w:t>
      </w:r>
      <w:r>
        <w:rPr>
          <w:rFonts w:hint="eastAsia" w:ascii="仿宋_GB2312" w:hAnsi="仿宋_GB2312" w:eastAsia="仿宋_GB2312" w:cs="仿宋_GB2312"/>
          <w:b w:val="0"/>
          <w:bCs/>
          <w:color w:val="auto"/>
          <w:sz w:val="32"/>
          <w:szCs w:val="32"/>
          <w:lang w:val="en-US" w:eastAsia="zh-CN"/>
        </w:rPr>
        <w:t>治理</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持续推进数字政府建设。一是以数字化为基础，建设数字白石一体化平台，打造数据共享、业务协同的政务服务体系；二是利用平台资源，向上对接数据，建立社区、企业、群众信息档案，聚焦党建、产业、生态、民生等内容，实现数据分析和综合展示，辅助政府科学决策；三是促进政民互动，通过政府官网、“幸福白石”公众号、O2O热线、公示栏等，积极征求意见，及时回复诉求。今年以来，</w:t>
      </w:r>
      <w:r>
        <w:rPr>
          <w:rFonts w:hint="eastAsia" w:ascii="仿宋_GB2312" w:hAnsi="仿宋_GB2312" w:eastAsia="仿宋_GB2312" w:cs="仿宋_GB2312"/>
          <w:b w:val="0"/>
          <w:bCs/>
          <w:color w:val="auto"/>
          <w:sz w:val="32"/>
          <w:szCs w:val="32"/>
        </w:rPr>
        <w:t>推送</w:t>
      </w:r>
      <w:r>
        <w:rPr>
          <w:rFonts w:hint="eastAsia" w:ascii="仿宋_GB2312" w:hAnsi="仿宋_GB2312" w:eastAsia="仿宋_GB2312" w:cs="仿宋_GB2312"/>
          <w:b w:val="0"/>
          <w:bCs/>
          <w:color w:val="auto"/>
          <w:sz w:val="32"/>
          <w:szCs w:val="32"/>
          <w:lang w:val="en-US" w:eastAsia="zh-CN"/>
        </w:rPr>
        <w:t>各类信息1900余</w:t>
      </w:r>
      <w:r>
        <w:rPr>
          <w:rFonts w:hint="eastAsia" w:ascii="仿宋_GB2312" w:hAnsi="仿宋_GB2312" w:eastAsia="仿宋_GB2312" w:cs="仿宋_GB2312"/>
          <w:b w:val="0"/>
          <w:bCs/>
          <w:color w:val="auto"/>
          <w:sz w:val="32"/>
          <w:szCs w:val="32"/>
        </w:rPr>
        <w:t>条</w:t>
      </w:r>
      <w:r>
        <w:rPr>
          <w:rFonts w:hint="eastAsia" w:ascii="仿宋_GB2312" w:hAnsi="仿宋_GB2312" w:eastAsia="仿宋_GB2312" w:cs="仿宋_GB2312"/>
          <w:b w:val="0"/>
          <w:bCs/>
          <w:color w:val="auto"/>
          <w:sz w:val="32"/>
          <w:szCs w:val="32"/>
          <w:lang w:eastAsia="zh-CN"/>
        </w:rPr>
        <w:t>，回复各类咨询投诉</w:t>
      </w:r>
      <w:r>
        <w:rPr>
          <w:rFonts w:hint="eastAsia" w:ascii="仿宋_GB2312" w:hAnsi="仿宋_GB2312" w:eastAsia="仿宋_GB2312" w:cs="仿宋_GB2312"/>
          <w:b w:val="0"/>
          <w:bCs/>
          <w:color w:val="auto"/>
          <w:sz w:val="32"/>
          <w:szCs w:val="32"/>
          <w:lang w:val="en-US" w:eastAsia="zh-CN"/>
        </w:rPr>
        <w:t>640余件，公示公告重大事项40多项。</w:t>
      </w:r>
    </w:p>
    <w:p>
      <w:pPr>
        <w:spacing w:line="590" w:lineRule="exact"/>
        <w:ind w:right="-100" w:rightChars="-50"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（三）2023年我镇未承办人大代表建议和政协委员提案。</w:t>
      </w:r>
    </w:p>
    <w:p>
      <w:pPr>
        <w:spacing w:line="590" w:lineRule="exact"/>
        <w:ind w:right="-100" w:rightChars="-50"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创新举措情况：我镇围绕安全生产、医疗保险、教育卫生、人居环境等重点工作、民生工作，利用重大活动、节假日等时间节点，开展各项公开活动，及时总结提炼经验做法，累计向县政务公开办报送10篇高质量政府公开典型信息。</w:t>
      </w:r>
    </w:p>
    <w:p>
      <w:pPr>
        <w:spacing w:line="590" w:lineRule="exact"/>
        <w:ind w:right="-100" w:rightChars="-50" w:firstLine="640" w:firstLineChars="200"/>
        <w:rPr>
          <w:rFonts w:hint="eastAsia" w:ascii="仿宋_GB2312" w:hAnsi="仿宋_GB2312" w:eastAsia="仿宋_GB2312" w:cs="仿宋_GB2312"/>
          <w:b w:val="0"/>
          <w:bCs/>
          <w:color w:val="auto"/>
          <w:sz w:val="44"/>
          <w:szCs w:val="44"/>
          <w:lang w:val="en-US" w:eastAsia="zh-CN"/>
        </w:rPr>
      </w:pPr>
      <w:r>
        <w:rPr>
          <w:rFonts w:hint="eastAsia" w:ascii="仿宋_GB2312" w:hAnsi="仿宋_GB2312" w:eastAsia="仿宋_GB2312" w:cs="仿宋_GB2312"/>
          <w:b w:val="0"/>
          <w:bCs/>
          <w:color w:val="auto"/>
          <w:sz w:val="32"/>
          <w:szCs w:val="32"/>
          <w:lang w:val="en-US" w:eastAsia="zh-CN"/>
        </w:rPr>
        <w:t>（五）本报告统计时间跨度自2023年1月1日至2023年12月31日止。</w:t>
      </w: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C88F5-271D-45FB-8C1C-3D427AAAC6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11C475-26D0-4BE2-BB19-498037EAE45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1E95767E-1FDF-40AD-BB9D-63B168FA9422}"/>
  </w:font>
  <w:font w:name="方正楷体简体">
    <w:panose1 w:val="03000509000000000000"/>
    <w:charset w:val="86"/>
    <w:family w:val="auto"/>
    <w:pitch w:val="default"/>
    <w:sig w:usb0="00000001" w:usb1="080E0000" w:usb2="00000000" w:usb3="00000000" w:csb0="00040000" w:csb1="00000000"/>
    <w:embedRegular r:id="rId4" w:fontKey="{C0E0B7C2-0F20-4B38-A382-2524BAD42524}"/>
  </w:font>
  <w:font w:name="楷体">
    <w:panose1 w:val="02010609060101010101"/>
    <w:charset w:val="86"/>
    <w:family w:val="modern"/>
    <w:pitch w:val="default"/>
    <w:sig w:usb0="800002BF" w:usb1="38CF7CFA" w:usb2="00000016" w:usb3="00000000" w:csb0="00040001" w:csb1="00000000"/>
    <w:embedRegular r:id="rId5" w:fontKey="{09B97492-18A7-49F5-9B83-AAADF769069C}"/>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NDc2OTVkZGI2ODJmZDI4N2YzYTkxNDEyNTA4ZTMifQ=="/>
  </w:docVars>
  <w:rsids>
    <w:rsidRoot w:val="0EFB1392"/>
    <w:rsid w:val="046C3E0E"/>
    <w:rsid w:val="0EFB1392"/>
    <w:rsid w:val="16341162"/>
    <w:rsid w:val="1EEA68AE"/>
    <w:rsid w:val="2A8A40AB"/>
    <w:rsid w:val="2CBE3D62"/>
    <w:rsid w:val="2E965312"/>
    <w:rsid w:val="309A43D3"/>
    <w:rsid w:val="3793123B"/>
    <w:rsid w:val="3F0C74B1"/>
    <w:rsid w:val="3F8E234A"/>
    <w:rsid w:val="3FBC18DB"/>
    <w:rsid w:val="477C0DDF"/>
    <w:rsid w:val="518B2895"/>
    <w:rsid w:val="55DE8555"/>
    <w:rsid w:val="56494913"/>
    <w:rsid w:val="594054F0"/>
    <w:rsid w:val="69572814"/>
    <w:rsid w:val="6DA06D26"/>
    <w:rsid w:val="6F216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0"/>
    <w:rPr>
      <w:b/>
      <w:bCs/>
    </w:rPr>
  </w:style>
  <w:style w:type="character" w:styleId="8">
    <w:name w:val="Emphasis"/>
    <w:basedOn w:val="6"/>
    <w:qFormat/>
    <w:uiPriority w:val="0"/>
    <w:rPr>
      <w:i/>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Roaming\kingsoft\office6\backup\&#24037;&#20316;&#31807;1.20240116173354595.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白石镇主动公开情况</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Pt>
            <c:idx val="8"/>
            <c:bubble3D val="0"/>
            <c:spPr>
              <a:solidFill>
                <a:srgbClr val="5F7530">
                  <a:lumMod val="60000"/>
                </a:srgbClr>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[工作簿1.20240116173354595.et]Sheet1!$A$3:$A$11</c:f>
              <c:strCache>
                <c:ptCount val="9"/>
                <c:pt idx="0">
                  <c:v>会议公开</c:v>
                </c:pt>
                <c:pt idx="1">
                  <c:v>其他法定公开</c:v>
                </c:pt>
                <c:pt idx="2">
                  <c:v>政策文件公开</c:v>
                </c:pt>
                <c:pt idx="3">
                  <c:v>行政权力公开</c:v>
                </c:pt>
                <c:pt idx="4">
                  <c:v>财政预算决算公开</c:v>
                </c:pt>
                <c:pt idx="5">
                  <c:v>政务公开组织管理</c:v>
                </c:pt>
                <c:pt idx="6">
                  <c:v>政务公开基础建设</c:v>
                </c:pt>
                <c:pt idx="7">
                  <c:v>政府信息公开指南</c:v>
                </c:pt>
                <c:pt idx="8">
                  <c:v>其他</c:v>
                </c:pt>
              </c:strCache>
            </c:strRef>
          </c:cat>
          <c:val>
            <c:numRef>
              <c:f>[工作簿1.20240116173354595.et]Sheet1!$B$3:$B$11</c:f>
              <c:numCache>
                <c:formatCode>General</c:formatCode>
                <c:ptCount val="9"/>
                <c:pt idx="0">
                  <c:v>31</c:v>
                </c:pt>
                <c:pt idx="1">
                  <c:v>11</c:v>
                </c:pt>
                <c:pt idx="2">
                  <c:v>5</c:v>
                </c:pt>
                <c:pt idx="3">
                  <c:v>3</c:v>
                </c:pt>
                <c:pt idx="4">
                  <c:v>2</c:v>
                </c:pt>
                <c:pt idx="5">
                  <c:v>4</c:v>
                </c:pt>
                <c:pt idx="6">
                  <c:v>2</c:v>
                </c:pt>
                <c:pt idx="7">
                  <c:v>3</c:v>
                </c:pt>
                <c:pt idx="8">
                  <c:v>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3375</Words>
  <Characters>3494</Characters>
  <Lines>0</Lines>
  <Paragraphs>0</Paragraphs>
  <TotalTime>10</TotalTime>
  <ScaleCrop>false</ScaleCrop>
  <LinksUpToDate>false</LinksUpToDate>
  <CharactersWithSpaces>3684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如振落叶</cp:lastModifiedBy>
  <cp:lastPrinted>2022-01-14T09:42:47Z</cp:lastPrinted>
  <dcterms:modified xsi:type="dcterms:W3CDTF">2024-02-02T04:07:43Z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CFCE60FF7475439BBE920BDA8E21E95E_13</vt:lpwstr>
  </property>
</Properties>
</file>