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eastAsia="zh-CN"/>
        </w:rPr>
        <w:t>汶上县供销合作社联合社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年政府信息公开</w:t>
      </w:r>
      <w:bookmarkStart w:id="0" w:name="_GoBack"/>
      <w:bookmarkEnd w:id="0"/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本报告由汶上县供销社按照《中华人民共和国政府信息公开条例》（以下简称《条例》）和《中华人民共和国政府信息公开工作年度报告格式》（国办公开办函〔2021〕30号）要求编制。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年1月1日起至202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年12月31日止。本报告电子版可在“中国·汶上”政府门户网站（http://www.wenshang.gov.cn/col/col26149/index.html）查阅或下载。如对本报告有疑问，请与汶上县供销社联系（地址：汶上经济开发区英杰麻纺厂，电话：0537-7212656）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202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年，汶上县供销合作社联合社在县委、县政府的坚强领导下，认真贯彻落实《中华人民共和国政府信息公开条例》，紧紧围绕《</w:t>
      </w:r>
      <w:r>
        <w:rPr>
          <w:rFonts w:hint="default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关于印发2023年汶上县政务公开重点工作任务分解表的通知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》相关要求，结合供销系统工作实际，</w:t>
      </w:r>
      <w:r>
        <w:rPr>
          <w:rFonts w:hint="default" w:ascii="方正仿宋简体" w:hAnsi="Times New Roman" w:eastAsia="方正仿宋简体" w:cs="Times New Roman"/>
          <w:b/>
          <w:color w:val="000000"/>
          <w:sz w:val="32"/>
          <w:szCs w:val="32"/>
        </w:rPr>
        <w:t>积极推进政务公开工作，不断加强政务工作透明度，细化公开内容，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依托政府网站、微信公众号等媒体</w:t>
      </w:r>
      <w:r>
        <w:rPr>
          <w:rFonts w:hint="default" w:ascii="方正仿宋简体" w:hAnsi="Times New Roman" w:eastAsia="方正仿宋简体" w:cs="Times New Roman"/>
          <w:b/>
          <w:color w:val="000000"/>
          <w:sz w:val="32"/>
          <w:szCs w:val="32"/>
        </w:rPr>
        <w:t>加强信息发布，依法依规答复信息公开申请，进一步提高政务服务工作效能。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202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年1-12月，汶上县供销社共发布各类政务信息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102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条。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其中通过政府门户网站政府信息公开目录推送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11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条，占总量的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10.8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%；“汶上县供销社”公众平台发布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83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条，占总量的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81.4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%；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报纸、其他网站等发布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8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条，占总量的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7.8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%。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信息主要内容包括供销社提升农业社会化服务水平，完善农村现代流通网络，企业破产改制等工作。</w:t>
      </w:r>
    </w:p>
    <w:p>
      <w:pPr>
        <w:pStyle w:val="3"/>
        <w:numPr>
          <w:ilvl w:val="0"/>
          <w:numId w:val="0"/>
        </w:numPr>
        <w:ind w:leftChars="0"/>
        <w:rPr>
          <w:rFonts w:hint="eastAsia" w:eastAsia="方正仿宋简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784225</wp:posOffset>
            </wp:positionH>
            <wp:positionV relativeFrom="paragraph">
              <wp:posOffset>213360</wp:posOffset>
            </wp:positionV>
            <wp:extent cx="3947795" cy="3013710"/>
            <wp:effectExtent l="4445" t="4445" r="10160" b="10795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/>
        <w:rPr>
          <w:rFonts w:hint="eastAsia" w:ascii="方正楷体简体" w:eastAsia="方正楷体简体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202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年，汶上县供销社未收到依申请公开事项。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建立健全政务公开相关制度规范，坚持将各项制度的执行贯穿政务公开工作始终，确保信息公开的准确性、真实性、保密性，形成发布、解读、回应有序衔接的工作格局，确保政务公开工作有章可循、按章办事、高效运行。结合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单位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实际，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及时将政务信息按照公开目录进行公开，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做到栏目设置合理、条理清晰、规范有序；常态化公开相关信息，做到及时公开、规范公开、应公开尽公开。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</w:rPr>
        <w:t>全面加强政府门户网站公开专栏维护，</w:t>
      </w: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多措并举拓展公开渠道，除重点依靠汶上县人民政府门户网站外，还充分利用微信公众号等新媒体进行信息公开与宣传，全力宣传工作成效、解读政策文件、发布便民信息。</w:t>
      </w:r>
    </w:p>
    <w:p>
      <w:pPr>
        <w:spacing w:line="590" w:lineRule="exact"/>
        <w:ind w:right="-100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eastAsia" w:ascii="方正仿宋简体" w:hAnsi="Times New Roman" w:eastAsia="方正仿宋简体" w:cs="Times New Roman"/>
          <w:b/>
          <w:color w:val="000000"/>
          <w:sz w:val="32"/>
          <w:szCs w:val="32"/>
          <w:lang w:eastAsia="zh-CN"/>
        </w:rPr>
        <w:t>一是认真落实信息公开各项要求，指定专人严格按照发文制度公布信息，确保信息内容真实准确。二是认真抓好政务公开第三方评估发现问题自查自纠工作，针对自查发现的问题，认真分析原因、提出整改措施、明确整改时限，立行立改，确保整改到位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color w:val="000000"/>
          <w:sz w:val="32"/>
          <w:szCs w:val="32"/>
        </w:rPr>
      </w:pPr>
      <w:r>
        <w:rPr>
          <w:rFonts w:hint="eastAsia" w:ascii="方正黑体简体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  <w:szCs w:val="24"/>
                <w:lang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  <w:szCs w:val="24"/>
                <w:lang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  <w:szCs w:val="24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  <w:szCs w:val="24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rPr>
                <w:rFonts w:eastAsia="方正仿宋简体"/>
                <w:b/>
                <w:sz w:val="21"/>
                <w:szCs w:val="21"/>
                <w:lang w:bidi="ar"/>
              </w:rPr>
            </w:pPr>
          </w:p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b/>
                <w:sz w:val="21"/>
                <w:szCs w:val="21"/>
                <w:lang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b/>
                <w:sz w:val="21"/>
                <w:szCs w:val="21"/>
                <w:lang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b/>
                <w:sz w:val="21"/>
                <w:szCs w:val="21"/>
                <w:lang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黑体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eastAsia="方正仿宋简体"/>
                <w:b/>
                <w:sz w:val="21"/>
                <w:szCs w:val="21"/>
                <w:lang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2023年，在推进政务公开工作方面取得了一定成效，但也存在一些不足。一是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政务公开标准化建设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不到位，制度体系不健全，信息公开的时效性有待进一步加强。二是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重点领域信息公开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不及时。日常仅发布日常工作动态，对供销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领域信息公开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规范化、科学化等方面还有待进一步探索和完善。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改进措施：一是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按照上级政务公开工作要求，成立以党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组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书记为组长、分管领导为副组长、各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科室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负责人为成员的政务公开工作领导小组，细化分工、明确职责，统筹推进政务公开工作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，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确保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供销社信息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及时、准确、全面公开群众普遍关心、涉及群众切身利益的政务信息。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二是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全渠道回应群众关切问题。定期召开政务公开工作培训会议，加强工作人员对上级政务公开政策的学习和解读，提高政务服务意识。</w:t>
      </w:r>
    </w:p>
    <w:p>
      <w:pPr>
        <w:spacing w:line="590" w:lineRule="exact"/>
        <w:ind w:right="-100" w:rightChars="-50" w:firstLine="643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（一）本年度，我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单位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未收到政府信息公开申请，不存在收取信息处理费的情况。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（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二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）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单位落实上级年度政务公开工作要点情况：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一是进一步丰富信息公开渠道，扩宽政务公开的展现形式，围绕人民群众关注的重点进行主动回应，努力实现信息的及时性、有效性。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二是加强业务培训学习，加大政务公开宣传，提升公开意识，加大审核力度，提升信息来源质量、内容质量，提高信息的准确性与公开的及时性。</w:t>
      </w: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  <w:t>（三）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202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年以来，我单位共承办人大代表建议0件；政协委员提案0件；202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方正仿宋简体" w:hAnsi="Times New Roman" w:eastAsia="方正仿宋简体" w:cs="Times New Roman"/>
          <w:b/>
          <w:sz w:val="32"/>
          <w:szCs w:val="32"/>
          <w:lang w:val="en-US" w:eastAsia="zh-CN"/>
        </w:rPr>
        <w:t>年本单位未承办省级、市级人大代表建议和政协委员提案</w:t>
      </w:r>
      <w:r>
        <w:rPr>
          <w:rFonts w:hint="eastAsia" w:ascii="方正仿宋简体" w:hAnsi="Times New Roman" w:eastAsia="方正仿宋简体" w:cs="Times New Roman"/>
          <w:b/>
          <w:sz w:val="32"/>
          <w:szCs w:val="32"/>
          <w:lang w:val="en-US"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（四）本行政机关年度政务公开工作创新情况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:无。</w:t>
      </w:r>
    </w:p>
    <w:p>
      <w:pPr>
        <w:pStyle w:val="2"/>
        <w:rPr>
          <w:rFonts w:hint="eastAsia"/>
          <w:lang w:eastAsia="zh-CN"/>
        </w:rPr>
      </w:pPr>
    </w:p>
    <w:p>
      <w:pPr>
        <w:spacing w:line="590" w:lineRule="exact"/>
        <w:ind w:right="-100" w:rightChars="-50" w:firstLine="643" w:firstLineChars="200"/>
        <w:rPr>
          <w:rFonts w:hint="eastAsia" w:ascii="方正仿宋简体" w:hAnsi="Times New Roman" w:eastAsia="方正仿宋简体" w:cs="Times New Roman"/>
          <w:b/>
          <w:sz w:val="32"/>
          <w:szCs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3"/>
    <w:multiLevelType w:val="multilevel"/>
    <w:tmpl w:val="00000013"/>
    <w:lvl w:ilvl="0" w:tentative="0">
      <w:start w:val="1"/>
      <w:numFmt w:val="chineseCountingThousand"/>
      <w:pStyle w:val="3"/>
      <w:suff w:val="space"/>
      <w:lvlText w:val="第%1章"/>
      <w:lvlJc w:val="center"/>
      <w:pPr>
        <w:ind w:left="0" w:firstLine="0"/>
      </w:pPr>
      <w:rPr>
        <w:rFonts w:hint="eastAsia" w:cs="Times New Roman"/>
      </w:rPr>
    </w:lvl>
    <w:lvl w:ilvl="1" w:tentative="0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eastAsia" w:cs="Times New Roman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eastAsia" w:cs="Times New Roman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 w:cs="Times New Roman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 w:cs="Times New Roman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eastAsia" w:cs="Times New Roman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0" w:firstLine="0"/>
      </w:pPr>
      <w:rPr>
        <w:rFonts w:hint="eastAsia" w:cs="Times New Roman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0" w:firstLine="0"/>
      </w:pPr>
      <w:rPr>
        <w:rFonts w:hint="eastAsia" w:cs="Times New Roman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0" w:firstLine="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wMDU2MzZmZGMwNTNkMDQyZmYyZWRhZDhjZjY5MjcifQ=="/>
    <w:docVar w:name="KSO_WPS_MARK_KEY" w:val="5c6a17fe-4e52-4763-ad4d-27c035dec8ba"/>
  </w:docVars>
  <w:rsids>
    <w:rsidRoot w:val="00000000"/>
    <w:rsid w:val="75C4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numPr>
        <w:ilvl w:val="0"/>
        <w:numId w:val="1"/>
      </w:numPr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1" i="0" u="none" strike="noStrike" kern="1200" baseline="0">
                <a:solidFill>
                  <a:srgbClr val="404040">
                    <a:lumMod val="75000"/>
                    <a:lumOff val="25000"/>
                  </a:srgbClr>
                </a:solidFill>
                <a:latin typeface="+mn-lt"/>
                <a:ea typeface="+mn-ea"/>
                <a:cs typeface="+mn-cs"/>
              </a:defRPr>
            </a:pPr>
            <a:r>
              <a:t>政务公开信息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878125"/>
          <c:y val="0.116666666666667"/>
          <c:w val="0.570625"/>
          <c:h val="0.760833333333333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发布量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rgbClr val="4F81BD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rgbClr val="C0504D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rgbClr val="9BBB59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rgbClr val="404040">
                    <a:lumMod val="75000"/>
                    <a:lumOff val="25000"/>
                  </a:srgbClr>
                </a:fgClr>
                <a:bgClr>
                  <a:srgbClr val="595959">
                    <a:lumMod val="65000"/>
                    <a:lumOff val="35000"/>
                  </a:srgb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rgbClr val="FFFFFF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rgbClr val="808080">
                          <a:lumMod val="50000"/>
                          <a:lumOff val="50000"/>
                        </a:srgb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政府门户网站</c:v>
                </c:pt>
                <c:pt idx="1">
                  <c:v>微信公众号</c:v>
                </c:pt>
                <c:pt idx="2">
                  <c:v>报纸、其他网站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11</c:v>
                </c:pt>
                <c:pt idx="1">
                  <c:v>83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rgbClr val="F2F2F2">
            <a:lumMod val="95000"/>
            <a:alpha val="39000"/>
          </a:srgb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rgbClr val="404040">
                  <a:lumMod val="75000"/>
                  <a:lumOff val="25000"/>
                </a:srgb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gradFill flip="none" rotWithShape="1">
      <a:gsLst>
        <a:gs pos="0">
          <a:srgbClr val="FFFFFF"/>
        </a:gs>
        <a:gs pos="39000">
          <a:srgbClr val="FFFFFF"/>
        </a:gs>
        <a:gs pos="100000">
          <a:srgbClr val="BFBFBF">
            <a:lumMod val="75000"/>
          </a:srgbClr>
        </a:gs>
      </a:gsLst>
      <a:path path="circle">
        <a:fillToRect l="50000" t="-80000" r="50000" b="180000"/>
      </a:path>
    </a:gradFill>
    <a:ln w="9525" cap="flat" cmpd="sng" algn="ctr">
      <a:solidFill>
        <a:srgbClr val="BFBFBF">
          <a:lumMod val="25000"/>
          <a:lumOff val="75000"/>
        </a:srgb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rgbClr val="4F81BD"/>
  <a:srgbClr val="C0504D"/>
  <a:srgbClr val="9BBB59"/>
  <a:srgbClr val="8064A2"/>
  <a:srgbClr val="4BACC6"/>
  <a:srgbClr val="F7964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rgbClr val="404040">
        <a:lumMod val="75000"/>
        <a:lumOff val="25000"/>
      </a:srgbClr>
    </cs:fontRef>
    <cs:defRPr sz="900" b="1" kern="1200"/>
  </cs:axisTitle>
  <cs:categoryAxis>
    <cs:lnRef idx="0"/>
    <cs:fillRef idx="0"/>
    <cs:effectRef idx="0"/>
    <cs:fontRef idx="minor">
      <a:srgbClr val="404040">
        <a:lumMod val="75000"/>
        <a:lumOff val="25000"/>
      </a:srgbClr>
    </cs:fontRef>
    <cs:spPr>
      <a:ln w="19050" cap="flat" cmpd="sng" algn="ctr">
        <a:solidFill>
          <a:srgbClr val="404040">
            <a:lumMod val="75000"/>
            <a:lumOff val="25000"/>
          </a:srgb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rgbClr val="000000"/>
    </cs:fontRef>
    <cs:spPr>
      <a:gradFill flip="none" rotWithShape="1">
        <a:gsLst>
          <a:gs pos="0">
            <a:srgbClr val="FFFFFF"/>
          </a:gs>
          <a:gs pos="39000">
            <a:srgbClr val="FFFFFF"/>
          </a:gs>
          <a:gs pos="100000">
            <a:srgbClr val="BFBFBF">
              <a:lumMod val="75000"/>
            </a:srgbClr>
          </a:gs>
        </a:gsLst>
        <a:path path="circle">
          <a:fillToRect l="50000" t="-80000" r="50000" b="180000"/>
        </a:path>
      </a:gradFill>
      <a:ln w="9525" cap="flat" cmpd="sng" algn="ctr">
        <a:solidFill>
          <a:srgbClr val="BFBFBF">
            <a:lumMod val="25000"/>
            <a:lumOff val="75000"/>
          </a:srgbClr>
        </a:solidFill>
        <a:round/>
      </a:ln>
    </cs:spPr>
    <cs:defRPr sz="900" kern="1200"/>
  </cs:chartArea>
  <cs:dataLabel>
    <cs:lnRef idx="0"/>
    <cs:fillRef idx="0"/>
    <cs:effectRef idx="0"/>
    <cs:fontRef idx="minor">
      <a:srgbClr val="FFFFFF"/>
    </cs:fontRef>
    <cs:spPr>
      <a:pattFill prst="pct75">
        <a:fgClr>
          <a:srgbClr val="404040">
            <a:lumMod val="75000"/>
            <a:lumOff val="25000"/>
          </a:srgbClr>
        </a:fgClr>
        <a:bgClr>
          <a:srgbClr val="595959">
            <a:lumMod val="65000"/>
            <a:lumOff val="35000"/>
          </a:srgb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rgbClr val="FFFFFF"/>
    </cs:fontRef>
    <cs:spPr>
      <a:pattFill prst="pct75">
        <a:fgClr>
          <a:srgbClr val="404040">
            <a:lumMod val="75000"/>
            <a:lumOff val="25000"/>
          </a:srgbClr>
        </a:fgClr>
        <a:bgClr>
          <a:srgbClr val="595959">
            <a:lumMod val="65000"/>
            <a:lumOff val="35000"/>
          </a:srgb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rgbClr val="000000"/>
    </cs:fontRef>
    <cs:spPr>
      <a:solidFill>
        <a:srgbClr val="FFFFFF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rgbClr val="000000"/>
    </cs:fontRef>
    <cs:spPr>
      <a:solidFill>
        <a:srgbClr val="FFFFFF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rgbClr val="000000"/>
    </cs:fontRef>
    <cs:spPr>
      <a:ln w="31750" cap="rnd">
        <a:solidFill>
          <a:srgbClr val="FFFFFF">
            <a:alpha val="85000"/>
          </a:srgb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rgbClr val="000000"/>
    </cs:fontRef>
    <cs:spPr>
      <a:solidFill>
        <a:srgbClr val="FFFFFF">
          <a:alpha val="85000"/>
        </a:srgb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rgbClr val="000000"/>
    </cs:fontRef>
    <cs:spPr>
      <a:ln w="9525" cap="rnd">
        <a:solidFill>
          <a:srgbClr val="FFFFFF"/>
        </a:solidFill>
        <a:round/>
      </a:ln>
    </cs:spPr>
  </cs:dataPointWireframe>
  <cs:dataTable>
    <cs:lnRef idx="0"/>
    <cs:fillRef idx="0"/>
    <cs:effectRef idx="0"/>
    <cs:fontRef idx="minor">
      <a:srgbClr val="404040">
        <a:lumMod val="75000"/>
        <a:lumOff val="25000"/>
      </a:srgbClr>
    </cs:fontRef>
    <cs:spPr>
      <a:ln w="9525">
        <a:solidFill>
          <a:srgbClr val="A6A6A6">
            <a:lumMod val="35000"/>
            <a:lumOff val="65000"/>
          </a:srgbClr>
        </a:solidFill>
      </a:ln>
    </cs:spPr>
    <cs:defRPr sz="900" kern="1200"/>
  </cs:dataTable>
  <cs:downBar>
    <cs:lnRef idx="0"/>
    <cs:fillRef idx="0"/>
    <cs:effectRef idx="0"/>
    <cs:fontRef idx="minor">
      <a:srgbClr val="000000"/>
    </cs:fontRef>
    <cs:spPr>
      <a:solidFill>
        <a:srgbClr val="808080">
          <a:lumMod val="50000"/>
          <a:lumOff val="50000"/>
        </a:srgbClr>
      </a:solidFill>
      <a:ln w="9525">
        <a:solidFill>
          <a:srgbClr val="595959">
            <a:lumMod val="65000"/>
            <a:lumOff val="35000"/>
          </a:srgbClr>
        </a:solidFill>
      </a:ln>
    </cs:spPr>
  </cs:downBar>
  <cs:dropLine>
    <cs:lnRef idx="0"/>
    <cs:fillRef idx="0"/>
    <cs:effectRef idx="0"/>
    <cs:fontRef idx="minor">
      <a:srgbClr val="000000"/>
    </cs:fontRef>
    <cs:spPr>
      <a:ln w="9525">
        <a:solidFill>
          <a:srgbClr val="A6A6A6">
            <a:lumMod val="35000"/>
            <a:lumOff val="65000"/>
          </a:srgbClr>
        </a:solidFill>
        <a:prstDash val="dash"/>
      </a:ln>
    </cs:spPr>
  </cs:dropLine>
  <cs:errorBar>
    <cs:lnRef idx="0"/>
    <cs:fillRef idx="0"/>
    <cs:effectRef idx="0"/>
    <cs:fontRef idx="minor">
      <a:srgbClr val="000000"/>
    </cs:fontRef>
    <cs:spPr>
      <a:ln w="9525">
        <a:solidFill>
          <a:srgbClr val="595959">
            <a:lumMod val="65000"/>
            <a:lumOff val="35000"/>
          </a:srgbClr>
        </a:solidFill>
        <a:round/>
      </a:ln>
    </cs:spPr>
  </cs:errorBar>
  <cs:floor>
    <cs:lnRef idx="0"/>
    <cs:fillRef idx="0"/>
    <cs:effectRef idx="0"/>
    <cs:fontRef idx="minor">
      <a:srgbClr val="000000"/>
    </cs:fontRef>
  </cs:floor>
  <cs:gridlineMajor>
    <cs:lnRef idx="0"/>
    <cs:fillRef idx="0"/>
    <cs:effectRef idx="0"/>
    <cs:fontRef idx="minor">
      <a:srgbClr val="000000"/>
    </cs:fontRef>
    <cs:spPr>
      <a:ln w="9525" cap="flat" cmpd="sng" algn="ctr">
        <a:gradFill>
          <a:gsLst>
            <a:gs pos="100000">
              <a:srgbClr val="0D0D0D">
                <a:lumMod val="95000"/>
                <a:lumOff val="5000"/>
                <a:alpha val="42000"/>
              </a:srgbClr>
            </a:gs>
            <a:gs pos="0">
              <a:srgbClr val="BFBFBF">
                <a:lumMod val="75000"/>
                <a:alpha val="36000"/>
              </a:srgb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rgbClr val="000000"/>
    </cs:fontRef>
    <cs:spPr>
      <a:ln>
        <a:gradFill>
          <a:gsLst>
            <a:gs pos="100000">
              <a:srgbClr val="0D0D0D">
                <a:lumMod val="95000"/>
                <a:lumOff val="5000"/>
                <a:alpha val="42000"/>
              </a:srgbClr>
            </a:gs>
            <a:gs pos="0">
              <a:srgbClr val="BFBFBF">
                <a:lumMod val="75000"/>
                <a:alpha val="36000"/>
              </a:srgb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rgbClr val="000000"/>
    </cs:fontRef>
    <cs:spPr>
      <a:ln w="9525">
        <a:solidFill>
          <a:srgbClr val="A6A6A6">
            <a:lumMod val="35000"/>
            <a:lumOff val="65000"/>
          </a:srgbClr>
        </a:solidFill>
        <a:prstDash val="dash"/>
      </a:ln>
    </cs:spPr>
  </cs:hiLoLine>
  <cs:leaderLine>
    <cs:lnRef idx="0"/>
    <cs:fillRef idx="0"/>
    <cs:effectRef idx="0"/>
    <cs:fontRef idx="minor">
      <a:srgbClr val="000000"/>
    </cs:fontRef>
    <cs:spPr>
      <a:ln w="9525">
        <a:solidFill>
          <a:srgbClr val="808080">
            <a:lumMod val="50000"/>
            <a:lumOff val="50000"/>
          </a:srgbClr>
        </a:solidFill>
      </a:ln>
    </cs:spPr>
  </cs:leaderLine>
  <cs:legend>
    <cs:lnRef idx="0"/>
    <cs:fillRef idx="0"/>
    <cs:effectRef idx="0"/>
    <cs:fontRef idx="minor">
      <a:srgbClr val="404040">
        <a:lumMod val="75000"/>
        <a:lumOff val="25000"/>
      </a:srgbClr>
    </cs:fontRef>
    <cs:spPr>
      <a:solidFill>
        <a:srgbClr val="F2F2F2">
          <a:lumMod val="95000"/>
          <a:alpha val="39000"/>
        </a:srgbClr>
      </a:solidFill>
    </cs:spPr>
    <cs:defRPr sz="900" kern="1200"/>
  </cs:legend>
  <cs:plotArea>
    <cs:lnRef idx="0"/>
    <cs:fillRef idx="0"/>
    <cs:effectRef idx="0"/>
    <cs:fontRef idx="minor">
      <a:srgbClr val="000000"/>
    </cs:fontRef>
  </cs:plotArea>
  <cs:plotArea3D>
    <cs:lnRef idx="0"/>
    <cs:fillRef idx="0"/>
    <cs:effectRef idx="0"/>
    <cs:fontRef idx="minor">
      <a:srgbClr val="000000"/>
    </cs:fontRef>
  </cs:plotArea3D>
  <cs:seriesAxis>
    <cs:lnRef idx="0"/>
    <cs:fillRef idx="0"/>
    <cs:effectRef idx="0"/>
    <cs:fontRef idx="minor">
      <a:srgbClr val="404040">
        <a:lumMod val="75000"/>
        <a:lumOff val="25000"/>
      </a:srgbClr>
    </cs:fontRef>
    <cs:spPr>
      <a:ln w="31750" cap="flat" cmpd="sng" algn="ctr">
        <a:solidFill>
          <a:srgbClr val="404040">
            <a:lumMod val="75000"/>
            <a:lumOff val="25000"/>
          </a:srgbClr>
        </a:solidFill>
        <a:round/>
      </a:ln>
    </cs:spPr>
    <cs:defRPr sz="900" kern="1200"/>
  </cs:seriesAxis>
  <cs:seriesLine>
    <cs:lnRef idx="0"/>
    <cs:fillRef idx="0"/>
    <cs:effectRef idx="0"/>
    <cs:fontRef idx="minor">
      <a:srgbClr val="000000"/>
    </cs:fontRef>
    <cs:spPr>
      <a:ln w="9525">
        <a:solidFill>
          <a:srgbClr val="808080">
            <a:lumMod val="50000"/>
            <a:lumOff val="50000"/>
          </a:srgbClr>
        </a:solidFill>
        <a:round/>
      </a:ln>
    </cs:spPr>
  </cs:seriesLine>
  <cs:title>
    <cs:lnRef idx="0"/>
    <cs:fillRef idx="0"/>
    <cs:effectRef idx="0"/>
    <cs:fontRef idx="minor">
      <a:srgbClr val="404040">
        <a:lumMod val="75000"/>
        <a:lumOff val="25000"/>
      </a:srgbClr>
    </cs:fontRef>
    <cs:defRPr sz="1800" b="1" kern="1200" baseline="0"/>
  </cs:title>
  <cs:trendline>
    <cs:lnRef idx="0">
      <cs:styleClr val="auto"/>
    </cs:lnRef>
    <cs:fillRef idx="0"/>
    <cs:effectRef idx="0"/>
    <cs:fontRef idx="minor">
      <a:srgbClr val="000000"/>
    </cs:fontRef>
    <cs:spPr>
      <a:ln w="19050" cap="rnd">
        <a:solidFill>
          <a:srgbClr val="FFFFFF"/>
        </a:solidFill>
      </a:ln>
    </cs:spPr>
  </cs:trendline>
  <cs:trendlineLabel>
    <cs:lnRef idx="0"/>
    <cs:fillRef idx="0"/>
    <cs:effectRef idx="0"/>
    <cs:fontRef idx="minor">
      <a:srgbClr val="404040">
        <a:lumMod val="75000"/>
        <a:lumOff val="25000"/>
      </a:srgbClr>
    </cs:fontRef>
    <cs:defRPr sz="900" kern="1200"/>
  </cs:trendlineLabel>
  <cs:upBar>
    <cs:lnRef idx="0"/>
    <cs:fillRef idx="0"/>
    <cs:effectRef idx="0"/>
    <cs:fontRef idx="minor">
      <a:srgbClr val="000000"/>
    </cs:fontRef>
    <cs:spPr>
      <a:solidFill>
        <a:srgbClr val="FFFFFF"/>
      </a:solidFill>
      <a:ln w="9525">
        <a:solidFill>
          <a:srgbClr val="595959">
            <a:lumMod val="65000"/>
            <a:lumOff val="35000"/>
          </a:srgbClr>
        </a:solidFill>
      </a:ln>
    </cs:spPr>
  </cs:upBar>
  <cs:valueAxis>
    <cs:lnRef idx="0"/>
    <cs:fillRef idx="0"/>
    <cs:effectRef idx="0"/>
    <cs:fontRef idx="minor">
      <a:srgbClr val="404040">
        <a:lumMod val="75000"/>
        <a:lumOff val="25000"/>
      </a:srgb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rgbClr val="000000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2548</Words>
  <Characters>2681</Characters>
  <Lines>0</Lines>
  <Paragraphs>0</Paragraphs>
  <TotalTime>0</TotalTime>
  <ScaleCrop>false</ScaleCrop>
  <LinksUpToDate>false</LinksUpToDate>
  <CharactersWithSpaces>2681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2024-02-06T07:20:34Z</dcterms:created>
  <dc:creator>Administrator</dc:creator>
  <cp:lastModifiedBy>张学滋</cp:lastModifiedBy>
  <dcterms:modified xsi:type="dcterms:W3CDTF">2024-02-06T07:20:45Z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0E7F0D2AE24045ECA55BFBC26050ADE2_12</vt:lpwstr>
  </property>
</Properties>
</file>