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  <w:t>汶上县供销合作社联合社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</w:t>
      </w:r>
      <w:bookmarkStart w:id="0" w:name="_GoBack"/>
      <w:bookmarkEnd w:id="0"/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仿宋简体" w:eastAsia="方正仿宋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本报告由汶上县供销社按照《中华人民共和国政府信息公开条例》（以下简称《条例》）和《中华人民共和国政府信息公开工作年度报告格式》（国办公开办函〔2021〕30号）要求编制。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年1月1日起至202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年12月31日止。本报告电子版可在“中国·汶上”政府门户网站（http://www.wenshang.gov.cn/col/col26149/index.html）查阅或下载。如对本报告有疑问，请与汶上县供销社联系（地址：汶上经济开发区英杰麻纺厂，电话：0537-7212656）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  <w:t>202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  <w:t>年，汶上县供销合作社联合社在县委、县政府的坚强领导下，认真贯彻落实《中华人民共和国政府信息公开条例》，紧紧围绕《</w:t>
      </w:r>
      <w:r>
        <w:rPr>
          <w:rFonts w:hint="default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  <w:t>关于印发2023年汶上县政务公开重点工作任务分解表的通知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  <w:t>》相关要求，结合供销系统工作实际，</w:t>
      </w:r>
      <w:r>
        <w:rPr>
          <w:rFonts w:hint="default" w:ascii="方正仿宋简体" w:hAnsi="Times New Roman" w:eastAsia="方正仿宋简体" w:cs="Times New Roman"/>
          <w:b/>
          <w:color w:val="000000"/>
          <w:sz w:val="32"/>
          <w:szCs w:val="32"/>
        </w:rPr>
        <w:t>积极推进政务公开工作，不断加强政务工作透明度，细化公开内容，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  <w:t>依托政府网站、微信公众号等媒体</w:t>
      </w:r>
      <w:r>
        <w:rPr>
          <w:rFonts w:hint="default" w:ascii="方正仿宋简体" w:hAnsi="Times New Roman" w:eastAsia="方正仿宋简体" w:cs="Times New Roman"/>
          <w:b/>
          <w:color w:val="000000"/>
          <w:sz w:val="32"/>
          <w:szCs w:val="32"/>
        </w:rPr>
        <w:t>加强信息发布，依法依规答复信息公开申请，进一步提高政务服务工作效能。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202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年1-12月，汶上县供销社共发布各类政务信息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102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条。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  <w:t>其中通过政府门户网站政府信息公开目录推送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11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  <w:t>条，占总量的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10.8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  <w:t>%；“汶上县供销社”公众平台发布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83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  <w:t>条，占总量的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81.4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  <w:t>%；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报纸、其他网站等发布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条，占总量的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7.8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%。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  <w:t>信息主要内容包括供销社提升农业社会化服务水平，完善农村现代流通网络，企业破产改制等工作。</w:t>
      </w:r>
    </w:p>
    <w:p>
      <w:pPr>
        <w:pStyle w:val="3"/>
        <w:numPr>
          <w:ilvl w:val="0"/>
          <w:numId w:val="0"/>
        </w:numPr>
        <w:ind w:leftChars="0"/>
        <w:rPr>
          <w:rFonts w:hint="eastAsia" w:eastAsia="方正仿宋简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784225</wp:posOffset>
            </wp:positionH>
            <wp:positionV relativeFrom="paragraph">
              <wp:posOffset>213360</wp:posOffset>
            </wp:positionV>
            <wp:extent cx="3947795" cy="3013710"/>
            <wp:effectExtent l="4445" t="4445" r="10160" b="10795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/>
        <w:rPr>
          <w:rFonts w:hint="eastAsia" w:ascii="方正楷体简体" w:eastAsia="方正楷体简体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（二）依申请公开情况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202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年，汶上县供销社未收到依申请公开事项。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（三）政府信息管理情况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建立健全政务公开相关制度规范，坚持将各项制度的执行贯穿政务公开工作始终，确保信息公开的准确性、真实性、保密性，形成发布、解读、回应有序衔接的工作格局，确保政务公开工作有章可循、按章办事、高效运行。结合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  <w:t>单位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实际，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  <w:t>及时将政务信息按照公开目录进行公开，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做到栏目设置合理、条理清晰、规范有序；常态化公开相关信息，做到及时公开、规范公开、应公开尽公开。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（四）政府信息公开平台建设情况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</w:rPr>
        <w:t>全面加强政府门户网站公开专栏维护，</w:t>
      </w: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  <w:t>多措并举拓展公开渠道，除重点依靠汶上县人民政府门户网站外，还充分利用微信公众号等新媒体进行信息公开与宣传，全力宣传工作成效、解读政策文件、发布便民信息。</w:t>
      </w:r>
    </w:p>
    <w:p>
      <w:pPr>
        <w:spacing w:line="590" w:lineRule="exact"/>
        <w:ind w:right="-100" w:rightChars="-50" w:firstLine="643" w:firstLineChars="200"/>
        <w:rPr>
          <w:rFonts w:ascii="方正楷体简体" w:eastAsia="方正楷体简体"/>
          <w:b/>
          <w:color w:val="000000"/>
          <w:sz w:val="32"/>
          <w:szCs w:val="32"/>
        </w:rPr>
      </w:pPr>
      <w:r>
        <w:rPr>
          <w:rFonts w:hint="eastAsia" w:ascii="方正楷体简体" w:eastAsia="方正楷体简体"/>
          <w:b/>
          <w:color w:val="000000"/>
          <w:sz w:val="32"/>
          <w:szCs w:val="32"/>
        </w:rPr>
        <w:t>（五）监督保障情况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sz w:val="32"/>
          <w:szCs w:val="32"/>
          <w:lang w:eastAsia="zh-CN"/>
        </w:rPr>
        <w:t>一是认真落实信息公开各项要求，指定专人严格按照发文制度公布信息，确保信息内容真实准确。二是认真抓好政务公开第三方评估发现问题自查自纠工作，针对自查发现的问题，认真分析原因、提出整改措施、明确整改时限，立行立改，确保整改到位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  <w:lang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  <w:lang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rPr>
                <w:rFonts w:eastAsia="方正仿宋简体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eastAsia="方正仿宋简体"/>
                <w:b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eastAsia="方正黑体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eastAsia="方正仿宋简体"/>
                <w:b/>
                <w:sz w:val="21"/>
                <w:szCs w:val="21"/>
                <w:lang w:bidi="ar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2023年，在推进政务公开工作方面取得了一定成效，但也存在一些不足。一是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政务公开标准化建设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不到位，制度体系不健全，信息公开的时效性有待进一步加强。二是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重点领域信息公开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不及时。日常仅发布日常工作动态，对供销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领域信息公开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规范化、科学化等方面还有待进一步探索和完善。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改进措施：一是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按照上级政务公开工作要求，成立以党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组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书记为组长、分管领导为副组长、各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科室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负责人为成员的政务公开工作领导小组，细化分工、明确职责，统筹推进政务公开工作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，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确保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供销社信息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及时、准确、全面公开群众普遍关心、涉及群众切身利益的政务信息。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二是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全渠道回应群众关切问题。定期召开政务公开工作培训会议，加强工作人员对上级政务公开政策的学习和解读，提高政务服务意识。</w:t>
      </w:r>
    </w:p>
    <w:p>
      <w:pPr>
        <w:spacing w:line="590" w:lineRule="exact"/>
        <w:ind w:right="-100" w:rightChars="-50" w:firstLine="643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3" w:firstLineChars="200"/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（一）本年度，我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单位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未收到政府信息公开申请，不存在收取信息处理费的情况。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（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二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）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单位落实上级年度政务公开工作要点情况：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一是进一步丰富信息公开渠道，扩宽政务公开的展现形式，围绕人民群众关注的重点进行主动回应，努力实现信息的及时性、有效性。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二是加强业务培训学习，加大政务公开宣传，提升公开意识，加大审核力度，提升信息来源质量、内容质量，提高信息的准确性与公开的及时性。</w:t>
      </w: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（三）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202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年以来，我单位共承办人大代表建议0件；政协委员提案0件；202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方正仿宋简体" w:hAnsi="Times New Roman" w:eastAsia="方正仿宋简体" w:cs="Times New Roman"/>
          <w:b/>
          <w:sz w:val="32"/>
          <w:szCs w:val="32"/>
          <w:lang w:val="en-US" w:eastAsia="zh-CN"/>
        </w:rPr>
        <w:t>年本单位未承办省级、市级人大代表建议和政协委员提案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  <w:lang w:val="en-US" w:eastAsia="zh-CN"/>
        </w:rPr>
        <w:t>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（四）本行政机关年度政务公开工作创新情况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:无。</w:t>
      </w:r>
    </w:p>
    <w:p>
      <w:pPr>
        <w:pStyle w:val="2"/>
        <w:rPr>
          <w:rFonts w:hint="eastAsia"/>
          <w:lang w:eastAsia="zh-CN"/>
        </w:rPr>
      </w:pPr>
    </w:p>
    <w:p>
      <w:pPr>
        <w:spacing w:line="590" w:lineRule="exact"/>
        <w:ind w:right="-100" w:rightChars="-50" w:firstLine="643" w:firstLineChars="200"/>
        <w:rPr>
          <w:rFonts w:hint="eastAsia" w:ascii="方正仿宋简体" w:hAnsi="Times New Roman" w:eastAsia="方正仿宋简体" w:cs="Times New Roman"/>
          <w:b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3"/>
    <w:multiLevelType w:val="multilevel"/>
    <w:tmpl w:val="00000013"/>
    <w:lvl w:ilvl="0" w:tentative="0">
      <w:start w:val="1"/>
      <w:numFmt w:val="chineseCountingThousand"/>
      <w:pStyle w:val="3"/>
      <w:suff w:val="space"/>
      <w:lvlText w:val="第%1章"/>
      <w:lvlJc w:val="center"/>
      <w:pPr>
        <w:ind w:left="0" w:firstLine="0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 w:cs="Times New Roman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 w:cs="Times New Roman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 w:cs="Times New Roman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 w:cs="Times New Roman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 w:cs="Times New Roman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 w:cs="Times New Roman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 w:cs="Times New Roman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MDU2MzZmZGMwNTNkMDQyZmYyZWRhZDhjZjY5MjcifQ=="/>
    <w:docVar w:name="KSO_WPS_MARK_KEY" w:val="5c6a17fe-4e52-4763-ad4d-27c035dec8ba"/>
  </w:docVars>
  <w:rsids>
    <w:rsidRoot w:val="00000000"/>
    <w:rsid w:val="75C4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numPr>
        <w:ilvl w:val="0"/>
        <w:numId w:val="1"/>
      </w:numPr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rgbClr val="404040">
                    <a:lumMod val="75000"/>
                    <a:lumOff val="2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t>政务公开信息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878125"/>
          <c:y val="0.116666666666667"/>
          <c:w val="0.570625"/>
          <c:h val="0.76083333333333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发布量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rgbClr val="4F81BD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C0504D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rgbClr val="9BBB59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rgbClr val="404040">
                    <a:lumMod val="75000"/>
                    <a:lumOff val="25000"/>
                  </a:srgbClr>
                </a:fgClr>
                <a:bgClr>
                  <a:srgbClr val="595959">
                    <a:lumMod val="65000"/>
                    <a:lumOff val="35000"/>
                  </a:srgb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rgbClr val="FFFFFF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rgbClr val="808080">
                          <a:lumMod val="50000"/>
                          <a:lumOff val="50000"/>
                        </a:srgb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政府门户网站</c:v>
                </c:pt>
                <c:pt idx="1">
                  <c:v>微信公众号</c:v>
                </c:pt>
                <c:pt idx="2">
                  <c:v>报纸、其他网站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11</c:v>
                </c:pt>
                <c:pt idx="1">
                  <c:v>83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rgbClr val="F2F2F2">
            <a:lumMod val="95000"/>
            <a:alpha val="39000"/>
          </a:srgbClr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rgbClr val="404040">
                  <a:lumMod val="75000"/>
                  <a:lumOff val="25000"/>
                </a:srgb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gradFill flip="none" rotWithShape="1">
      <a:gsLst>
        <a:gs pos="0">
          <a:srgbClr val="FFFFFF"/>
        </a:gs>
        <a:gs pos="39000">
          <a:srgbClr val="FFFFFF"/>
        </a:gs>
        <a:gs pos="100000">
          <a:srgbClr val="BFBFBF">
            <a:lumMod val="75000"/>
          </a:srgbClr>
        </a:gs>
      </a:gsLst>
      <a:path path="circle">
        <a:fillToRect l="50000" t="-80000" r="50000" b="180000"/>
      </a:path>
    </a:gradFill>
    <a:ln w="9525" cap="flat" cmpd="sng" algn="ctr">
      <a:solidFill>
        <a:srgbClr val="BFBFBF">
          <a:lumMod val="25000"/>
          <a:lumOff val="75000"/>
        </a:srgb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rgbClr val="404040">
        <a:lumMod val="75000"/>
        <a:lumOff val="25000"/>
      </a:srgbClr>
    </cs:fontRef>
    <cs:defRPr sz="900" b="1" kern="1200"/>
  </cs:axisTitle>
  <cs:categoryAxis>
    <cs:lnRef idx="0"/>
    <cs:fillRef idx="0"/>
    <cs:effectRef idx="0"/>
    <cs:fontRef idx="minor">
      <a:srgbClr val="404040">
        <a:lumMod val="75000"/>
        <a:lumOff val="25000"/>
      </a:srgbClr>
    </cs:fontRef>
    <cs:spPr>
      <a:ln w="19050" cap="flat" cmpd="sng" algn="ctr">
        <a:solidFill>
          <a:srgbClr val="404040">
            <a:lumMod val="75000"/>
            <a:lumOff val="25000"/>
          </a:srgb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rgbClr val="000000"/>
    </cs:fontRef>
    <cs:spPr>
      <a:gradFill flip="none" rotWithShape="1">
        <a:gsLst>
          <a:gs pos="0">
            <a:srgbClr val="FFFFFF"/>
          </a:gs>
          <a:gs pos="39000">
            <a:srgbClr val="FFFFFF"/>
          </a:gs>
          <a:gs pos="100000">
            <a:srgbClr val="BFBFBF">
              <a:lumMod val="75000"/>
            </a:srgbClr>
          </a:gs>
        </a:gsLst>
        <a:path path="circle">
          <a:fillToRect l="50000" t="-80000" r="50000" b="180000"/>
        </a:path>
      </a:gradFill>
      <a:ln w="9525" cap="flat" cmpd="sng" algn="ctr">
        <a:solidFill>
          <a:srgbClr val="BFBFBF">
            <a:lumMod val="25000"/>
            <a:lumOff val="7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FFFFFF"/>
    </cs:fontRef>
    <cs:spPr>
      <a:pattFill prst="pct75">
        <a:fgClr>
          <a:srgbClr val="404040">
            <a:lumMod val="75000"/>
            <a:lumOff val="25000"/>
          </a:srgbClr>
        </a:fgClr>
        <a:bgClr>
          <a:srgbClr val="595959">
            <a:lumMod val="65000"/>
            <a:lumOff val="35000"/>
          </a:srgb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rgbClr val="FFFFFF"/>
    </cs:fontRef>
    <cs:spPr>
      <a:pattFill prst="pct75">
        <a:fgClr>
          <a:srgbClr val="404040">
            <a:lumMod val="75000"/>
            <a:lumOff val="25000"/>
          </a:srgbClr>
        </a:fgClr>
        <a:bgClr>
          <a:srgbClr val="595959">
            <a:lumMod val="65000"/>
            <a:lumOff val="35000"/>
          </a:srgb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rgbClr val="000000"/>
    </cs:fontRef>
    <cs:spPr>
      <a:solidFill>
        <a:srgbClr val="FFFFFF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rgbClr val="000000"/>
    </cs:fontRef>
    <cs:spPr>
      <a:solidFill>
        <a:srgbClr val="FFFFFF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rgbClr val="000000"/>
    </cs:fontRef>
    <cs:spPr>
      <a:ln w="31750" cap="rnd">
        <a:solidFill>
          <a:srgbClr val="FFFFFF">
            <a:alpha val="85000"/>
          </a:srgb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rgbClr val="000000"/>
    </cs:fontRef>
    <cs:spPr>
      <a:solidFill>
        <a:srgbClr val="FFFFFF">
          <a:alpha val="85000"/>
        </a:srgb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404040">
        <a:lumMod val="75000"/>
        <a:lumOff val="25000"/>
      </a:srgbClr>
    </cs:fontRef>
    <cs:spPr>
      <a:ln w="9525">
        <a:solidFill>
          <a:srgbClr val="A6A6A6">
            <a:lumMod val="35000"/>
            <a:lumOff val="65000"/>
          </a:srgbClr>
        </a:solidFill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808080">
          <a:lumMod val="50000"/>
          <a:lumOff val="50000"/>
        </a:srgbClr>
      </a:solidFill>
      <a:ln w="9525">
        <a:solidFill>
          <a:srgbClr val="595959">
            <a:lumMod val="65000"/>
            <a:lumOff val="35000"/>
          </a:srgbClr>
        </a:solidFill>
      </a:ln>
    </cs:spPr>
  </cs:downBar>
  <cs:dropLine>
    <cs:lnRef idx="0"/>
    <cs:fillRef idx="0"/>
    <cs:effectRef idx="0"/>
    <cs:fontRef idx="minor">
      <a:srgbClr val="000000"/>
    </cs:fontRef>
    <cs:spPr>
      <a:ln w="9525">
        <a:solidFill>
          <a:srgbClr val="A6A6A6">
            <a:lumMod val="35000"/>
            <a:lumOff val="65000"/>
          </a:srgbClr>
        </a:solidFill>
        <a:prstDash val="dash"/>
      </a:ln>
    </cs:spPr>
  </cs:dropLine>
  <cs:errorBar>
    <cs:lnRef idx="0"/>
    <cs:fillRef idx="0"/>
    <cs:effectRef idx="0"/>
    <cs:fontRef idx="minor">
      <a:srgbClr val="000000"/>
    </cs:fontRef>
    <cs:spPr>
      <a:ln w="9525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</cs:floor>
  <cs:gridlineMajor>
    <cs:lnRef idx="0"/>
    <cs:fillRef idx="0"/>
    <cs:effectRef idx="0"/>
    <cs:fontRef idx="minor">
      <a:srgbClr val="000000"/>
    </cs:fontRef>
    <cs:spPr>
      <a:ln w="9525" cap="flat" cmpd="sng" algn="ctr">
        <a:gradFill>
          <a:gsLst>
            <a:gs pos="100000">
              <a:srgbClr val="0D0D0D">
                <a:lumMod val="95000"/>
                <a:lumOff val="5000"/>
                <a:alpha val="42000"/>
              </a:srgbClr>
            </a:gs>
            <a:gs pos="0">
              <a:srgbClr val="BFBFBF">
                <a:lumMod val="75000"/>
                <a:alpha val="36000"/>
              </a:srgb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>
        <a:gradFill>
          <a:gsLst>
            <a:gs pos="100000">
              <a:srgbClr val="0D0D0D">
                <a:lumMod val="95000"/>
                <a:lumOff val="5000"/>
                <a:alpha val="42000"/>
              </a:srgbClr>
            </a:gs>
            <a:gs pos="0">
              <a:srgbClr val="BFBFBF">
                <a:lumMod val="75000"/>
                <a:alpha val="36000"/>
              </a:srgb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rgbClr val="000000"/>
    </cs:fontRef>
    <cs:spPr>
      <a:ln w="9525">
        <a:solidFill>
          <a:srgbClr val="A6A6A6">
            <a:lumMod val="35000"/>
            <a:lumOff val="65000"/>
          </a:srgbClr>
        </a:solidFill>
        <a:prstDash val="dash"/>
      </a:ln>
    </cs:spPr>
  </cs:hiLoLine>
  <cs:leaderLine>
    <cs:lnRef idx="0"/>
    <cs:fillRef idx="0"/>
    <cs:effectRef idx="0"/>
    <cs:fontRef idx="minor">
      <a:srgbClr val="000000"/>
    </cs:fontRef>
    <cs:spPr>
      <a:ln w="9525">
        <a:solidFill>
          <a:srgbClr val="808080">
            <a:lumMod val="50000"/>
            <a:lumOff val="50000"/>
          </a:srgbClr>
        </a:solidFill>
      </a:ln>
    </cs:spPr>
  </cs:leaderLine>
  <cs:legend>
    <cs:lnRef idx="0"/>
    <cs:fillRef idx="0"/>
    <cs:effectRef idx="0"/>
    <cs:fontRef idx="minor">
      <a:srgbClr val="404040">
        <a:lumMod val="75000"/>
        <a:lumOff val="25000"/>
      </a:srgbClr>
    </cs:fontRef>
    <cs:spPr>
      <a:solidFill>
        <a:srgbClr val="F2F2F2">
          <a:lumMod val="95000"/>
          <a:alpha val="39000"/>
        </a:srgbClr>
      </a:solidFill>
    </cs:spPr>
    <cs:defRPr sz="900" kern="1200"/>
  </cs:legend>
  <cs:plotArea>
    <cs:lnRef idx="0"/>
    <cs:fillRef idx="0"/>
    <cs:effectRef idx="0"/>
    <cs:fontRef idx="minor">
      <a:srgbClr val="000000"/>
    </cs:fontRef>
  </cs:plotArea>
  <cs:plotArea3D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404040">
        <a:lumMod val="75000"/>
        <a:lumOff val="25000"/>
      </a:srgbClr>
    </cs:fontRef>
    <cs:spPr>
      <a:ln w="31750" cap="flat" cmpd="sng" algn="ctr">
        <a:solidFill>
          <a:srgbClr val="404040">
            <a:lumMod val="75000"/>
            <a:lumOff val="25000"/>
          </a:srgbClr>
        </a:solidFill>
        <a:round/>
      </a:ln>
    </cs:spPr>
    <cs:defRPr sz="900" kern="1200"/>
  </cs:seriesAxis>
  <cs:seriesLine>
    <cs:lnRef idx="0"/>
    <cs:fillRef idx="0"/>
    <cs:effectRef idx="0"/>
    <cs:fontRef idx="minor">
      <a:srgbClr val="000000"/>
    </cs:fontRef>
    <cs:spPr>
      <a:ln w="9525">
        <a:solidFill>
          <a:srgbClr val="808080">
            <a:lumMod val="50000"/>
            <a:lumOff val="50000"/>
          </a:srgbClr>
        </a:solidFill>
        <a:round/>
      </a:ln>
    </cs:spPr>
  </cs:seriesLine>
  <cs:title>
    <cs:lnRef idx="0"/>
    <cs:fillRef idx="0"/>
    <cs:effectRef idx="0"/>
    <cs:fontRef idx="minor">
      <a:srgbClr val="404040">
        <a:lumMod val="75000"/>
        <a:lumOff val="25000"/>
      </a:srgbClr>
    </cs:fontRef>
    <cs:defRPr sz="1800" b="1" kern="120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</a:ln>
    </cs:spPr>
  </cs:trendline>
  <cs:trendlineLabel>
    <cs:lnRef idx="0"/>
    <cs:fillRef idx="0"/>
    <cs:effectRef idx="0"/>
    <cs:fontRef idx="minor">
      <a:srgbClr val="404040">
        <a:lumMod val="75000"/>
        <a:lumOff val="2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>
        <a:solidFill>
          <a:srgbClr val="595959">
            <a:lumMod val="65000"/>
            <a:lumOff val="35000"/>
          </a:srgbClr>
        </a:solidFill>
      </a:ln>
    </cs:spPr>
  </cs:upBar>
  <cs:valueAxis>
    <cs:lnRef idx="0"/>
    <cs:fillRef idx="0"/>
    <cs:effectRef idx="0"/>
    <cs:fontRef idx="minor">
      <a:srgbClr val="404040">
        <a:lumMod val="75000"/>
        <a:lumOff val="25000"/>
      </a:srgb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rgbClr val="000000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2548</Words>
  <Characters>2681</Characters>
  <Lines>0</Lines>
  <Paragraphs>0</Paragraphs>
  <TotalTime>0</TotalTime>
  <ScaleCrop>false</ScaleCrop>
  <LinksUpToDate>false</LinksUpToDate>
  <CharactersWithSpaces>2681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2024-02-06T07:20:34Z</dcterms:created>
  <dc:creator>Administrator</dc:creator>
  <cp:lastModifiedBy>张学滋</cp:lastModifiedBy>
  <dcterms:modified xsi:type="dcterms:W3CDTF">2024-02-06T07:20:45Z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0E7F0D2AE24045ECA55BFBC26050ADE2_12</vt:lpwstr>
  </property>
</Properties>
</file>