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1月14日至2020年1月21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邮政编码：272500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2020年1月13日</w:t>
      </w:r>
    </w:p>
    <w:tbl>
      <w:tblPr>
        <w:tblW w:w="82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7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济宁嘉旭资产管理有限公司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汶上县</w:t>
            </w:r>
            <w:bookmarkStart w:id="0" w:name="_GoBack"/>
            <w:r>
              <w:rPr>
                <w:rFonts w:hint="default" w:ascii="Calibri" w:hAnsi="Calibri" w:eastAsia="仿宋_GB2312" w:cs="Calibri"/>
                <w:sz w:val="32"/>
                <w:szCs w:val="32"/>
              </w:rPr>
              <w:t>中都怡养苑医养结合项目</w:t>
            </w:r>
            <w:bookmarkEnd w:id="0"/>
            <w:r>
              <w:rPr>
                <w:rFonts w:hint="default" w:ascii="Calibri" w:hAnsi="Calibri" w:eastAsia="仿宋_GB2312" w:cs="Calibri"/>
                <w:sz w:val="32"/>
                <w:szCs w:val="32"/>
              </w:rPr>
              <w:t>康复怡养中心、康宾楼、餐厅、职工培训中心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中都大街以东，新世纪大道以北，明星路以西，济宁荣昌置业有限公司以南。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焦恒运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_GB2312" w:cs="Calibri"/>
                <w:sz w:val="32"/>
                <w:szCs w:val="32"/>
              </w:rPr>
            </w:pPr>
            <w:r>
              <w:rPr>
                <w:rFonts w:hint="default" w:ascii="Calibri" w:hAnsi="Calibri" w:eastAsia="仿宋_GB2312" w:cs="Calibri"/>
                <w:sz w:val="32"/>
                <w:szCs w:val="32"/>
              </w:rPr>
              <w:t>42059.90平方米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1627E"/>
    <w:rsid w:val="7B71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2020-12-27T08:07:00Z</dcterms:created>
  <dc:creator>SPJ3</dc:creator>
  <cp:lastModifiedBy>SPJ3</cp:lastModifiedBy>
  <dcterms:modified xsi:type="dcterms:W3CDTF">2020-12-27T08:10:00Z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