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20" w:lineRule="exact"/>
        <w:jc w:val="center"/>
        <w:rPr>
          <w:rFonts w:hint="eastAsia" w:eastAsia="方正小标宋简体"/>
          <w:color w:val="auto"/>
          <w:sz w:val="44"/>
          <w:szCs w:val="44"/>
          <w:lang w:eastAsia="zh-CN"/>
        </w:rPr>
      </w:pPr>
      <w:r>
        <w:rPr>
          <w:rFonts w:hint="eastAsia" w:hAnsi="宋体" w:eastAsia="方正小标宋简体"/>
          <w:color w:val="auto"/>
          <w:sz w:val="44"/>
          <w:szCs w:val="44"/>
          <w:lang w:val="en-US" w:eastAsia="zh-CN"/>
        </w:rPr>
        <w:t>汶上县县级</w:t>
      </w:r>
      <w:r>
        <w:rPr>
          <w:rFonts w:hint="eastAsia" w:hAnsi="宋体" w:eastAsia="方正小标宋简体"/>
          <w:color w:val="auto"/>
          <w:sz w:val="44"/>
          <w:szCs w:val="44"/>
        </w:rPr>
        <w:t>证明事项取消清单</w:t>
      </w:r>
      <w:r>
        <w:rPr>
          <w:rFonts w:hint="eastAsia" w:hAnsi="宋体" w:eastAsia="方正小标宋简体"/>
          <w:color w:val="auto"/>
          <w:sz w:val="44"/>
          <w:szCs w:val="44"/>
          <w:lang w:eastAsia="zh-CN"/>
        </w:rPr>
        <w:t>（</w:t>
      </w:r>
      <w:r>
        <w:rPr>
          <w:rFonts w:hint="eastAsia" w:hAnsi="宋体" w:eastAsia="方正小标宋简体"/>
          <w:color w:val="auto"/>
          <w:sz w:val="44"/>
          <w:szCs w:val="44"/>
          <w:lang w:val="en-US" w:eastAsia="zh-CN"/>
        </w:rPr>
        <w:t>46项</w:t>
      </w:r>
      <w:r>
        <w:rPr>
          <w:rFonts w:hint="eastAsia" w:hAnsi="宋体" w:eastAsia="方正小标宋简体"/>
          <w:color w:val="auto"/>
          <w:sz w:val="44"/>
          <w:szCs w:val="44"/>
          <w:lang w:eastAsia="zh-CN"/>
        </w:rPr>
        <w:t>）</w:t>
      </w:r>
    </w:p>
    <w:tbl>
      <w:tblPr>
        <w:tblStyle w:val="2"/>
        <w:tblW w:w="13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171"/>
        <w:gridCol w:w="3127"/>
        <w:gridCol w:w="1078"/>
        <w:gridCol w:w="1063"/>
        <w:gridCol w:w="2318"/>
        <w:gridCol w:w="1386"/>
        <w:gridCol w:w="1569"/>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序号</w:t>
            </w:r>
          </w:p>
        </w:tc>
        <w:tc>
          <w:tcPr>
            <w:tcW w:w="1171"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证明名称</w:t>
            </w:r>
          </w:p>
        </w:tc>
        <w:tc>
          <w:tcPr>
            <w:tcW w:w="3127"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Cs/>
                <w:color w:val="auto"/>
                <w:sz w:val="21"/>
                <w:szCs w:val="21"/>
                <w:lang w:eastAsia="zh-CN"/>
              </w:rPr>
            </w:pPr>
            <w:r>
              <w:rPr>
                <w:rFonts w:hint="eastAsia" w:ascii="仿宋_GB2312" w:hAnsi="仿宋_GB2312" w:eastAsia="仿宋_GB2312" w:cs="仿宋_GB2312"/>
                <w:bCs/>
                <w:color w:val="auto"/>
                <w:sz w:val="21"/>
                <w:szCs w:val="21"/>
              </w:rPr>
              <w:t>设定依据名称、文号</w:t>
            </w:r>
            <w:r>
              <w:rPr>
                <w:rFonts w:hint="eastAsia" w:ascii="仿宋_GB2312" w:hAnsi="仿宋_GB2312" w:eastAsia="仿宋_GB2312" w:cs="仿宋_GB2312"/>
                <w:bCs/>
                <w:color w:val="auto"/>
                <w:sz w:val="21"/>
                <w:szCs w:val="21"/>
                <w:lang w:eastAsia="zh-CN"/>
              </w:rPr>
              <w:t>及条文内容</w:t>
            </w:r>
          </w:p>
        </w:tc>
        <w:tc>
          <w:tcPr>
            <w:tcW w:w="1078"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Cs/>
                <w:color w:val="auto"/>
                <w:sz w:val="21"/>
                <w:szCs w:val="21"/>
                <w:lang w:eastAsia="zh-CN"/>
              </w:rPr>
            </w:pPr>
            <w:r>
              <w:rPr>
                <w:rFonts w:hint="eastAsia" w:ascii="仿宋_GB2312" w:hAnsi="仿宋_GB2312" w:eastAsia="仿宋_GB2312" w:cs="仿宋_GB2312"/>
                <w:bCs/>
                <w:color w:val="auto"/>
                <w:sz w:val="21"/>
                <w:szCs w:val="21"/>
                <w:lang w:eastAsia="zh-CN"/>
              </w:rPr>
              <w:t>索要部</w:t>
            </w:r>
            <w:bookmarkStart w:id="0" w:name="_GoBack"/>
            <w:bookmarkEnd w:id="0"/>
            <w:r>
              <w:rPr>
                <w:rFonts w:hint="eastAsia" w:ascii="仿宋_GB2312" w:hAnsi="仿宋_GB2312" w:eastAsia="仿宋_GB2312" w:cs="仿宋_GB2312"/>
                <w:bCs/>
                <w:color w:val="auto"/>
                <w:sz w:val="21"/>
                <w:szCs w:val="21"/>
                <w:lang w:eastAsia="zh-CN"/>
              </w:rPr>
              <w:t>门</w:t>
            </w:r>
          </w:p>
        </w:tc>
        <w:tc>
          <w:tcPr>
            <w:tcW w:w="1063"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Cs/>
                <w:color w:val="auto"/>
                <w:sz w:val="21"/>
                <w:szCs w:val="21"/>
                <w:lang w:eastAsia="zh-CN"/>
              </w:rPr>
            </w:pPr>
            <w:r>
              <w:rPr>
                <w:rFonts w:hint="eastAsia" w:ascii="仿宋_GB2312" w:hAnsi="仿宋_GB2312" w:eastAsia="仿宋_GB2312" w:cs="仿宋_GB2312"/>
                <w:bCs/>
                <w:color w:val="auto"/>
                <w:sz w:val="21"/>
                <w:szCs w:val="21"/>
                <w:lang w:eastAsia="zh-CN"/>
              </w:rPr>
              <w:t>开具部门</w:t>
            </w:r>
          </w:p>
        </w:tc>
        <w:tc>
          <w:tcPr>
            <w:tcW w:w="2318"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涉及的行政权力事项或政务服务事项</w:t>
            </w:r>
          </w:p>
        </w:tc>
        <w:tc>
          <w:tcPr>
            <w:tcW w:w="1386"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Cs/>
                <w:color w:val="auto"/>
                <w:sz w:val="21"/>
                <w:szCs w:val="21"/>
                <w:lang w:eastAsia="zh-CN"/>
              </w:rPr>
            </w:pPr>
            <w:r>
              <w:rPr>
                <w:rFonts w:hint="eastAsia" w:ascii="仿宋_GB2312" w:hAnsi="仿宋_GB2312" w:eastAsia="仿宋_GB2312" w:cs="仿宋_GB2312"/>
                <w:bCs/>
                <w:color w:val="auto"/>
                <w:sz w:val="21"/>
                <w:szCs w:val="21"/>
                <w:lang w:eastAsia="zh-CN"/>
              </w:rPr>
              <w:t>取消方式</w:t>
            </w:r>
          </w:p>
        </w:tc>
        <w:tc>
          <w:tcPr>
            <w:tcW w:w="1569"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Cs/>
                <w:color w:val="auto"/>
                <w:sz w:val="21"/>
                <w:szCs w:val="21"/>
                <w:lang w:eastAsia="zh-CN"/>
              </w:rPr>
            </w:pPr>
            <w:r>
              <w:rPr>
                <w:rFonts w:hint="eastAsia" w:ascii="仿宋_GB2312" w:hAnsi="仿宋_GB2312" w:eastAsia="仿宋_GB2312" w:cs="仿宋_GB2312"/>
                <w:bCs/>
                <w:color w:val="auto"/>
                <w:sz w:val="21"/>
                <w:szCs w:val="21"/>
                <w:lang w:eastAsia="zh-CN"/>
              </w:rPr>
              <w:t>取消时间</w:t>
            </w:r>
          </w:p>
        </w:tc>
        <w:tc>
          <w:tcPr>
            <w:tcW w:w="1034"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Cs/>
                <w:color w:val="auto"/>
                <w:sz w:val="21"/>
                <w:szCs w:val="21"/>
                <w:lang w:eastAsia="zh-CN"/>
              </w:rPr>
            </w:pPr>
            <w:r>
              <w:rPr>
                <w:rFonts w:hint="eastAsia" w:ascii="仿宋_GB2312" w:hAnsi="仿宋_GB2312" w:eastAsia="仿宋_GB2312" w:cs="仿宋_GB2312"/>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caps w:val="0"/>
                <w:color w:val="auto"/>
                <w:spacing w:val="0"/>
                <w:kern w:val="2"/>
                <w:sz w:val="21"/>
                <w:szCs w:val="21"/>
                <w:shd w:val="clear" w:fill="FFFFFF"/>
                <w:lang w:val="en-US" w:eastAsia="zh-CN" w:bidi="ar-SA"/>
              </w:rPr>
            </w:pPr>
            <w:r>
              <w:rPr>
                <w:rFonts w:hint="eastAsia" w:ascii="仿宋_GB2312" w:hAnsi="仿宋_GB2312" w:eastAsia="仿宋_GB2312" w:cs="仿宋_GB2312"/>
                <w:b w:val="0"/>
                <w:bCs w:val="0"/>
                <w:i w:val="0"/>
                <w:caps w:val="0"/>
                <w:color w:val="auto"/>
                <w:spacing w:val="0"/>
                <w:sz w:val="21"/>
                <w:szCs w:val="21"/>
                <w:shd w:val="clear" w:fill="FFFFFF"/>
                <w:lang w:val="en-US" w:eastAsia="zh-CN"/>
              </w:rPr>
              <w:t>1</w:t>
            </w: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caps w:val="0"/>
                <w:color w:val="auto"/>
                <w:spacing w:val="0"/>
                <w:kern w:val="2"/>
                <w:sz w:val="21"/>
                <w:szCs w:val="21"/>
                <w:shd w:val="clear" w:fill="FFFFFF"/>
                <w:lang w:val="en-US" w:eastAsia="zh-CN" w:bidi="ar-SA"/>
              </w:rPr>
            </w:pPr>
            <w:r>
              <w:rPr>
                <w:rFonts w:hint="eastAsia" w:ascii="仿宋_GB2312" w:hAnsi="仿宋_GB2312" w:eastAsia="仿宋_GB2312" w:cs="仿宋_GB2312"/>
                <w:b w:val="0"/>
                <w:bCs w:val="0"/>
                <w:i w:val="0"/>
                <w:caps w:val="0"/>
                <w:color w:val="auto"/>
                <w:spacing w:val="0"/>
                <w:sz w:val="21"/>
                <w:szCs w:val="21"/>
                <w:shd w:val="clear" w:fill="FFFFFF"/>
              </w:rPr>
              <w:t>气象条件证明</w:t>
            </w:r>
          </w:p>
        </w:tc>
        <w:tc>
          <w:tcPr>
            <w:tcW w:w="312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caps w:val="0"/>
                <w:color w:val="auto"/>
                <w:spacing w:val="0"/>
                <w:kern w:val="2"/>
                <w:sz w:val="21"/>
                <w:szCs w:val="21"/>
                <w:shd w:val="clear" w:fill="FFFFFF"/>
                <w:lang w:val="en-US" w:eastAsia="zh-CN" w:bidi="ar-SA"/>
              </w:rPr>
            </w:pPr>
            <w:r>
              <w:rPr>
                <w:rFonts w:hint="eastAsia" w:ascii="仿宋_GB2312" w:hAnsi="仿宋_GB2312" w:eastAsia="仿宋_GB2312" w:cs="仿宋_GB2312"/>
                <w:b w:val="0"/>
                <w:bCs w:val="0"/>
                <w:i w:val="0"/>
                <w:caps w:val="0"/>
                <w:color w:val="auto"/>
                <w:spacing w:val="0"/>
                <w:sz w:val="21"/>
                <w:szCs w:val="21"/>
                <w:shd w:val="clear" w:fill="FFFFFF"/>
              </w:rPr>
              <w:t>中国气象局第9号令《施放气球管理办法》第十七条 施放气球必须符合下列安全要求：（四）施放气球必须符合适宜的气象条件。</w:t>
            </w:r>
          </w:p>
        </w:tc>
        <w:tc>
          <w:tcPr>
            <w:tcW w:w="107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caps w:val="0"/>
                <w:color w:val="auto"/>
                <w:spacing w:val="0"/>
                <w:kern w:val="2"/>
                <w:sz w:val="21"/>
                <w:szCs w:val="21"/>
                <w:shd w:val="clear" w:fill="FFFFFF"/>
                <w:lang w:val="en-US" w:eastAsia="zh-CN" w:bidi="ar-SA"/>
              </w:rPr>
            </w:pPr>
            <w:r>
              <w:rPr>
                <w:rFonts w:hint="eastAsia" w:ascii="仿宋_GB2312" w:hAnsi="仿宋_GB2312" w:eastAsia="仿宋_GB2312" w:cs="仿宋_GB2312"/>
                <w:b w:val="0"/>
                <w:bCs w:val="0"/>
                <w:i w:val="0"/>
                <w:caps w:val="0"/>
                <w:color w:val="auto"/>
                <w:spacing w:val="0"/>
                <w:sz w:val="21"/>
                <w:szCs w:val="21"/>
                <w:shd w:val="clear" w:fill="FFFFFF"/>
                <w:lang w:val="en-US" w:eastAsia="zh-CN"/>
              </w:rPr>
              <w:t>县气象局</w:t>
            </w: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caps w:val="0"/>
                <w:color w:val="auto"/>
                <w:spacing w:val="0"/>
                <w:kern w:val="2"/>
                <w:sz w:val="21"/>
                <w:szCs w:val="21"/>
                <w:shd w:val="clear" w:fill="FFFFFF"/>
                <w:lang w:val="en-US" w:eastAsia="zh-CN" w:bidi="ar-SA"/>
              </w:rPr>
            </w:pPr>
          </w:p>
        </w:tc>
        <w:tc>
          <w:tcPr>
            <w:tcW w:w="23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caps w:val="0"/>
                <w:color w:val="auto"/>
                <w:spacing w:val="0"/>
                <w:kern w:val="2"/>
                <w:sz w:val="21"/>
                <w:szCs w:val="21"/>
                <w:shd w:val="clear" w:fill="FFFFFF"/>
                <w:lang w:val="en-US" w:eastAsia="zh-CN" w:bidi="ar-SA"/>
              </w:rPr>
            </w:pPr>
            <w:r>
              <w:rPr>
                <w:rFonts w:hint="eastAsia" w:ascii="仿宋_GB2312" w:hAnsi="仿宋_GB2312" w:eastAsia="仿宋_GB2312" w:cs="仿宋_GB2312"/>
                <w:b w:val="0"/>
                <w:bCs w:val="0"/>
                <w:i w:val="0"/>
                <w:caps w:val="0"/>
                <w:color w:val="auto"/>
                <w:spacing w:val="0"/>
                <w:sz w:val="21"/>
                <w:szCs w:val="21"/>
                <w:shd w:val="clear" w:fill="FFFFFF"/>
              </w:rPr>
              <w:t>升放无人驾驶自由气球或系留气球活动审批</w:t>
            </w:r>
          </w:p>
        </w:tc>
        <w:tc>
          <w:tcPr>
            <w:tcW w:w="138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caps w:val="0"/>
                <w:color w:val="auto"/>
                <w:spacing w:val="0"/>
                <w:kern w:val="2"/>
                <w:sz w:val="21"/>
                <w:szCs w:val="21"/>
                <w:shd w:val="clear" w:fill="FFFFFF"/>
                <w:lang w:val="en-US" w:eastAsia="zh-CN" w:bidi="ar-SA"/>
              </w:rPr>
            </w:pPr>
            <w:r>
              <w:rPr>
                <w:rFonts w:hint="eastAsia" w:ascii="仿宋_GB2312" w:hAnsi="仿宋_GB2312" w:eastAsia="仿宋_GB2312" w:cs="仿宋_GB2312"/>
                <w:b w:val="0"/>
                <w:bCs w:val="0"/>
                <w:i w:val="0"/>
                <w:caps w:val="0"/>
                <w:color w:val="auto"/>
                <w:spacing w:val="0"/>
                <w:sz w:val="21"/>
                <w:szCs w:val="21"/>
                <w:shd w:val="clear" w:fill="FFFFFF"/>
                <w:lang w:val="en-US" w:eastAsia="zh-CN"/>
              </w:rPr>
              <w:t>直接取消</w:t>
            </w:r>
          </w:p>
        </w:tc>
        <w:tc>
          <w:tcPr>
            <w:tcW w:w="15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caps w:val="0"/>
                <w:color w:val="auto"/>
                <w:spacing w:val="0"/>
                <w:kern w:val="2"/>
                <w:sz w:val="21"/>
                <w:szCs w:val="21"/>
                <w:shd w:val="clear" w:fill="FFFFFF"/>
                <w:lang w:val="en-US" w:eastAsia="zh-CN" w:bidi="ar-SA"/>
              </w:rPr>
            </w:pPr>
            <w:r>
              <w:rPr>
                <w:rFonts w:hint="eastAsia" w:ascii="仿宋_GB2312" w:hAnsi="仿宋_GB2312" w:eastAsia="仿宋_GB2312" w:cs="仿宋_GB2312"/>
                <w:b w:val="0"/>
                <w:bCs w:val="0"/>
                <w:i w:val="0"/>
                <w:caps w:val="0"/>
                <w:color w:val="auto"/>
                <w:spacing w:val="0"/>
                <w:sz w:val="21"/>
                <w:szCs w:val="21"/>
                <w:shd w:val="clear" w:fill="FFFFFF"/>
                <w:lang w:val="en-US" w:eastAsia="zh-CN"/>
              </w:rPr>
              <w:t>2019年5月</w:t>
            </w:r>
          </w:p>
        </w:tc>
        <w:tc>
          <w:tcPr>
            <w:tcW w:w="1034"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w:t>
            </w:r>
          </w:p>
        </w:tc>
        <w:tc>
          <w:tcPr>
            <w:tcW w:w="1171"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280" w:lineRule="exact"/>
              <w:jc w:val="both"/>
              <w:textAlignment w:val="center"/>
              <w:rPr>
                <w:rFonts w:hint="eastAsia" w:ascii="仿宋_GB2312" w:hAnsi="仿宋_GB2312" w:eastAsia="仿宋_GB2312" w:cs="仿宋_GB2312"/>
                <w:b w:val="0"/>
                <w:bCs w:val="0"/>
                <w:color w:val="auto"/>
                <w:kern w:val="0"/>
                <w:sz w:val="21"/>
                <w:szCs w:val="21"/>
                <w:shd w:val="clear" w:color="auto" w:fill="FFFFFF"/>
                <w:lang w:val="en-US" w:eastAsia="zh-CN" w:bidi="ar-SA"/>
              </w:rPr>
            </w:pPr>
            <w:r>
              <w:rPr>
                <w:rFonts w:hint="eastAsia" w:ascii="仿宋_GB2312" w:hAnsi="仿宋_GB2312" w:eastAsia="仿宋_GB2312" w:cs="仿宋_GB2312"/>
                <w:b w:val="0"/>
                <w:bCs w:val="0"/>
                <w:color w:val="auto"/>
                <w:sz w:val="21"/>
                <w:szCs w:val="21"/>
              </w:rPr>
              <w:t>孤儿证明</w:t>
            </w:r>
          </w:p>
        </w:tc>
        <w:tc>
          <w:tcPr>
            <w:tcW w:w="3127"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280" w:lineRule="exact"/>
              <w:jc w:val="both"/>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国务院关于修改《工伤保险条例》的决定》国务院令第586号第三十九条第一款（二）供养亲属抚恤金按照职工本人工资的一定比例发给由因工死亡职工生前提供主要生活来源、无劳动能力的亲属。标准为：配偶每月40%，其他亲属每人每月30%，孤寡老人或者孤儿每人每月在上述标准的基础上增加10%。</w:t>
            </w:r>
          </w:p>
        </w:tc>
        <w:tc>
          <w:tcPr>
            <w:tcW w:w="1078" w:type="dxa"/>
            <w:tcBorders>
              <w:top w:val="single" w:color="auto" w:sz="4" w:space="0"/>
              <w:left w:val="nil"/>
              <w:bottom w:val="single" w:color="auto" w:sz="4" w:space="0"/>
              <w:right w:val="single" w:color="auto" w:sz="4" w:space="0"/>
            </w:tcBorders>
            <w:vAlign w:val="top"/>
          </w:tcPr>
          <w:p>
            <w:pPr>
              <w:jc w:val="center"/>
              <w:rPr>
                <w:rFonts w:hint="eastAsia" w:ascii="仿宋_GB2312" w:hAnsi="仿宋_GB2312" w:eastAsia="仿宋_GB2312" w:cs="仿宋_GB2312"/>
                <w:b w:val="0"/>
                <w:bCs w:val="0"/>
                <w:color w:val="auto"/>
                <w:sz w:val="21"/>
                <w:szCs w:val="21"/>
                <w:lang w:eastAsia="zh-CN"/>
              </w:rPr>
            </w:pPr>
          </w:p>
          <w:p>
            <w:pPr>
              <w:jc w:val="center"/>
              <w:rPr>
                <w:rFonts w:hint="eastAsia" w:ascii="仿宋_GB2312" w:hAnsi="仿宋_GB2312" w:eastAsia="仿宋_GB2312" w:cs="仿宋_GB2312"/>
                <w:b w:val="0"/>
                <w:bCs w:val="0"/>
                <w:color w:val="auto"/>
                <w:sz w:val="21"/>
                <w:szCs w:val="21"/>
                <w:lang w:eastAsia="zh-CN"/>
              </w:rPr>
            </w:pPr>
          </w:p>
          <w:p>
            <w:pPr>
              <w:jc w:val="center"/>
              <w:rPr>
                <w:rFonts w:hint="eastAsia" w:ascii="仿宋_GB2312" w:hAnsi="仿宋_GB2312" w:eastAsia="仿宋_GB2312" w:cs="仿宋_GB2312"/>
                <w:b w:val="0"/>
                <w:bCs w:val="0"/>
                <w:color w:val="auto"/>
                <w:sz w:val="21"/>
                <w:szCs w:val="21"/>
                <w:lang w:eastAsia="zh-CN"/>
              </w:rPr>
            </w:pPr>
          </w:p>
          <w:p>
            <w:pPr>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lang w:eastAsia="zh-CN"/>
              </w:rPr>
              <w:t>汶上县工伤保险处</w:t>
            </w:r>
          </w:p>
        </w:tc>
        <w:tc>
          <w:tcPr>
            <w:tcW w:w="1063"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280" w:lineRule="exact"/>
              <w:jc w:val="both"/>
              <w:textAlignment w:val="center"/>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sz w:val="21"/>
                <w:szCs w:val="21"/>
              </w:rPr>
              <w:t>民政局</w:t>
            </w:r>
          </w:p>
        </w:tc>
        <w:tc>
          <w:tcPr>
            <w:tcW w:w="2318"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280" w:lineRule="exact"/>
              <w:jc w:val="both"/>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因工死亡职工待遇审核</w:t>
            </w:r>
          </w:p>
        </w:tc>
        <w:tc>
          <w:tcPr>
            <w:tcW w:w="1386" w:type="dxa"/>
            <w:tcBorders>
              <w:top w:val="single" w:color="auto" w:sz="4" w:space="0"/>
              <w:left w:val="nil"/>
              <w:bottom w:val="single" w:color="auto" w:sz="4" w:space="0"/>
              <w:right w:val="single" w:color="auto" w:sz="4" w:space="0"/>
            </w:tcBorders>
            <w:vAlign w:val="top"/>
          </w:tcPr>
          <w:p>
            <w:pPr>
              <w:jc w:val="left"/>
              <w:rPr>
                <w:rFonts w:hint="eastAsia" w:ascii="仿宋_GB2312" w:hAnsi="仿宋_GB2312" w:eastAsia="仿宋_GB2312" w:cs="仿宋_GB2312"/>
                <w:b w:val="0"/>
                <w:bCs w:val="0"/>
                <w:color w:val="auto"/>
                <w:sz w:val="21"/>
                <w:szCs w:val="21"/>
              </w:rPr>
            </w:pPr>
          </w:p>
          <w:p>
            <w:pPr>
              <w:jc w:val="left"/>
              <w:rPr>
                <w:rFonts w:hint="eastAsia" w:ascii="仿宋_GB2312" w:hAnsi="仿宋_GB2312" w:eastAsia="仿宋_GB2312" w:cs="仿宋_GB2312"/>
                <w:b w:val="0"/>
                <w:bCs w:val="0"/>
                <w:color w:val="auto"/>
                <w:sz w:val="21"/>
                <w:szCs w:val="21"/>
              </w:rPr>
            </w:pPr>
          </w:p>
          <w:p>
            <w:pPr>
              <w:jc w:val="left"/>
              <w:rPr>
                <w:rFonts w:hint="eastAsia" w:ascii="仿宋_GB2312" w:hAnsi="仿宋_GB2312" w:eastAsia="仿宋_GB2312" w:cs="仿宋_GB2312"/>
                <w:b w:val="0"/>
                <w:bCs w:val="0"/>
                <w:color w:val="auto"/>
                <w:sz w:val="21"/>
                <w:szCs w:val="21"/>
              </w:rPr>
            </w:pPr>
          </w:p>
          <w:p>
            <w:pPr>
              <w:jc w:val="left"/>
              <w:rPr>
                <w:rFonts w:hint="eastAsia" w:ascii="仿宋_GB2312" w:hAnsi="仿宋_GB2312" w:eastAsia="仿宋_GB2312" w:cs="仿宋_GB2312"/>
                <w:b w:val="0"/>
                <w:bCs w:val="0"/>
                <w:color w:val="auto"/>
                <w:sz w:val="21"/>
                <w:szCs w:val="21"/>
              </w:rPr>
            </w:pPr>
          </w:p>
          <w:p>
            <w:pPr>
              <w:jc w:val="left"/>
              <w:rPr>
                <w:rFonts w:hint="eastAsia" w:ascii="仿宋_GB2312" w:hAnsi="仿宋_GB2312" w:eastAsia="仿宋_GB2312" w:cs="仿宋_GB2312"/>
                <w:b w:val="0"/>
                <w:bCs w:val="0"/>
                <w:color w:val="auto"/>
                <w:sz w:val="21"/>
                <w:szCs w:val="21"/>
              </w:rPr>
            </w:pPr>
          </w:p>
          <w:p>
            <w:pPr>
              <w:ind w:firstLine="210" w:firstLineChars="100"/>
              <w:jc w:val="lef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告知承诺</w:t>
            </w:r>
          </w:p>
        </w:tc>
        <w:tc>
          <w:tcPr>
            <w:tcW w:w="1569" w:type="dxa"/>
            <w:tcBorders>
              <w:top w:val="single" w:color="auto" w:sz="4" w:space="0"/>
              <w:left w:val="nil"/>
              <w:bottom w:val="single" w:color="auto" w:sz="4" w:space="0"/>
              <w:right w:val="single" w:color="auto" w:sz="4" w:space="0"/>
            </w:tcBorders>
            <w:vAlign w:val="top"/>
          </w:tcPr>
          <w:p>
            <w:pPr>
              <w:jc w:val="center"/>
              <w:rPr>
                <w:rFonts w:hint="eastAsia" w:ascii="仿宋_GB2312" w:hAnsi="仿宋_GB2312" w:eastAsia="仿宋_GB2312" w:cs="仿宋_GB2312"/>
                <w:b w:val="0"/>
                <w:bCs w:val="0"/>
                <w:color w:val="auto"/>
                <w:sz w:val="21"/>
                <w:szCs w:val="21"/>
                <w:lang w:val="en-US" w:eastAsia="zh-CN"/>
              </w:rPr>
            </w:pPr>
          </w:p>
          <w:p>
            <w:pPr>
              <w:jc w:val="center"/>
              <w:rPr>
                <w:rFonts w:hint="eastAsia" w:ascii="仿宋_GB2312" w:hAnsi="仿宋_GB2312" w:eastAsia="仿宋_GB2312" w:cs="仿宋_GB2312"/>
                <w:b w:val="0"/>
                <w:bCs w:val="0"/>
                <w:color w:val="auto"/>
                <w:sz w:val="21"/>
                <w:szCs w:val="21"/>
                <w:lang w:val="en-US" w:eastAsia="zh-CN"/>
              </w:rPr>
            </w:pPr>
          </w:p>
          <w:p>
            <w:pPr>
              <w:jc w:val="center"/>
              <w:rPr>
                <w:rFonts w:hint="eastAsia" w:ascii="仿宋_GB2312" w:hAnsi="仿宋_GB2312" w:eastAsia="仿宋_GB2312" w:cs="仿宋_GB2312"/>
                <w:b w:val="0"/>
                <w:bCs w:val="0"/>
                <w:color w:val="auto"/>
                <w:sz w:val="21"/>
                <w:szCs w:val="21"/>
                <w:lang w:val="en-US" w:eastAsia="zh-CN"/>
              </w:rPr>
            </w:pPr>
          </w:p>
          <w:p>
            <w:pPr>
              <w:jc w:val="center"/>
              <w:rPr>
                <w:rFonts w:hint="eastAsia" w:ascii="仿宋_GB2312" w:hAnsi="仿宋_GB2312" w:eastAsia="仿宋_GB2312" w:cs="仿宋_GB2312"/>
                <w:b w:val="0"/>
                <w:bCs w:val="0"/>
                <w:color w:val="auto"/>
                <w:sz w:val="21"/>
                <w:szCs w:val="21"/>
                <w:lang w:val="en-US" w:eastAsia="zh-CN"/>
              </w:rPr>
            </w:pPr>
          </w:p>
          <w:p>
            <w:pPr>
              <w:jc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lang w:val="en-US" w:eastAsia="zh-CN"/>
              </w:rPr>
              <w:t>2020年1月1日</w:t>
            </w:r>
          </w:p>
        </w:tc>
        <w:tc>
          <w:tcPr>
            <w:tcW w:w="1034"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171"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280" w:lineRule="exact"/>
              <w:jc w:val="both"/>
              <w:textAlignment w:val="center"/>
              <w:rPr>
                <w:rFonts w:hint="eastAsia" w:ascii="仿宋_GB2312" w:hAnsi="仿宋_GB2312" w:eastAsia="仿宋_GB2312" w:cs="仿宋_GB2312"/>
                <w:b w:val="0"/>
                <w:bCs w:val="0"/>
                <w:color w:val="auto"/>
                <w:kern w:val="0"/>
                <w:sz w:val="21"/>
                <w:szCs w:val="21"/>
                <w:shd w:val="clear" w:color="auto" w:fill="FFFFFF"/>
                <w:lang w:val="en-US" w:eastAsia="zh-CN" w:bidi="ar-SA"/>
              </w:rPr>
            </w:pPr>
            <w:r>
              <w:rPr>
                <w:rFonts w:hint="eastAsia" w:ascii="仿宋_GB2312" w:hAnsi="仿宋_GB2312" w:eastAsia="仿宋_GB2312" w:cs="仿宋_GB2312"/>
                <w:b w:val="0"/>
                <w:bCs w:val="0"/>
                <w:color w:val="auto"/>
                <w:sz w:val="21"/>
                <w:szCs w:val="21"/>
              </w:rPr>
              <w:t>近亲属证明</w:t>
            </w:r>
          </w:p>
        </w:tc>
        <w:tc>
          <w:tcPr>
            <w:tcW w:w="3127"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280" w:lineRule="exact"/>
              <w:jc w:val="both"/>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《国务院关于修改《工伤保险条例》的决定》国务院令第586号第三十九条职工因工死亡，其近亲属按照下列规定从工伤保险基金领取丧葬补助金、供养亲属抚恤金和一次性工亡补助金</w:t>
            </w:r>
          </w:p>
        </w:tc>
        <w:tc>
          <w:tcPr>
            <w:tcW w:w="1078" w:type="dxa"/>
            <w:tcBorders>
              <w:top w:val="single" w:color="auto" w:sz="4" w:space="0"/>
              <w:left w:val="nil"/>
              <w:bottom w:val="single" w:color="auto" w:sz="4" w:space="0"/>
              <w:right w:val="single" w:color="auto" w:sz="4" w:space="0"/>
            </w:tcBorders>
            <w:vAlign w:val="center"/>
          </w:tcPr>
          <w:p>
            <w:pPr>
              <w:adjustRightInd w:val="0"/>
              <w:spacing w:line="440" w:lineRule="exact"/>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lang w:eastAsia="zh-CN"/>
              </w:rPr>
              <w:t>汶上县工伤保险处</w:t>
            </w:r>
          </w:p>
        </w:tc>
        <w:tc>
          <w:tcPr>
            <w:tcW w:w="1063"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280" w:lineRule="exact"/>
              <w:jc w:val="both"/>
              <w:textAlignment w:val="center"/>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sz w:val="21"/>
                <w:szCs w:val="21"/>
              </w:rPr>
              <w:t>村居委员会</w:t>
            </w:r>
          </w:p>
        </w:tc>
        <w:tc>
          <w:tcPr>
            <w:tcW w:w="2318"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因工死亡职工待遇审核</w:t>
            </w:r>
          </w:p>
        </w:tc>
        <w:tc>
          <w:tcPr>
            <w:tcW w:w="1386" w:type="dxa"/>
            <w:tcBorders>
              <w:top w:val="single" w:color="auto" w:sz="4" w:space="0"/>
              <w:left w:val="nil"/>
              <w:bottom w:val="single" w:color="auto" w:sz="4" w:space="0"/>
              <w:right w:val="single" w:color="auto" w:sz="4" w:space="0"/>
            </w:tcBorders>
            <w:vAlign w:val="center"/>
          </w:tcPr>
          <w:p>
            <w:pPr>
              <w:adjustRightInd w:val="0"/>
              <w:spacing w:line="440" w:lineRule="exact"/>
              <w:ind w:firstLine="210" w:firstLineChars="100"/>
              <w:jc w:val="left"/>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告知承诺</w:t>
            </w:r>
          </w:p>
        </w:tc>
        <w:tc>
          <w:tcPr>
            <w:tcW w:w="1569" w:type="dxa"/>
            <w:tcBorders>
              <w:top w:val="single" w:color="auto" w:sz="4" w:space="0"/>
              <w:left w:val="nil"/>
              <w:bottom w:val="single" w:color="auto" w:sz="4" w:space="0"/>
              <w:right w:val="single" w:color="auto" w:sz="4" w:space="0"/>
            </w:tcBorders>
            <w:vAlign w:val="center"/>
          </w:tcPr>
          <w:p>
            <w:pPr>
              <w:adjustRightInd w:val="0"/>
              <w:spacing w:line="440" w:lineRule="exact"/>
              <w:jc w:val="center"/>
              <w:textAlignment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lang w:val="en-US" w:eastAsia="zh-CN"/>
              </w:rPr>
              <w:t>2020年1月1日</w:t>
            </w:r>
          </w:p>
        </w:tc>
        <w:tc>
          <w:tcPr>
            <w:tcW w:w="1034"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w:t>
            </w:r>
          </w:p>
        </w:tc>
        <w:tc>
          <w:tcPr>
            <w:tcW w:w="1171" w:type="dxa"/>
            <w:tcBorders>
              <w:top w:val="single" w:color="auto" w:sz="4" w:space="0"/>
              <w:left w:val="nil"/>
              <w:bottom w:val="single" w:color="auto" w:sz="4" w:space="0"/>
              <w:right w:val="single" w:color="auto" w:sz="4" w:space="0"/>
            </w:tcBorders>
            <w:vAlign w:val="top"/>
          </w:tcPr>
          <w:p>
            <w:pPr>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用火点的权属证明</w:t>
            </w:r>
          </w:p>
        </w:tc>
        <w:tc>
          <w:tcPr>
            <w:tcW w:w="3127" w:type="dxa"/>
            <w:tcBorders>
              <w:top w:val="single" w:color="auto" w:sz="4" w:space="0"/>
              <w:left w:val="nil"/>
              <w:bottom w:val="single" w:color="auto" w:sz="4" w:space="0"/>
              <w:right w:val="single" w:color="auto" w:sz="4" w:space="0"/>
            </w:tcBorders>
            <w:vAlign w:val="top"/>
          </w:tcPr>
          <w:p>
            <w:pPr>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《森林防火条例》第二十五条森林防火期内，禁止在森林防火区野外用火。……</w:t>
            </w:r>
          </w:p>
        </w:tc>
        <w:tc>
          <w:tcPr>
            <w:tcW w:w="1078" w:type="dxa"/>
            <w:tcBorders>
              <w:top w:val="single" w:color="auto" w:sz="4" w:space="0"/>
              <w:left w:val="nil"/>
              <w:bottom w:val="single" w:color="auto" w:sz="4" w:space="0"/>
              <w:right w:val="single" w:color="auto" w:sz="4" w:space="0"/>
            </w:tcBorders>
            <w:vAlign w:val="top"/>
          </w:tcPr>
          <w:p>
            <w:pPr>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自然资源和规划局</w:t>
            </w:r>
          </w:p>
        </w:tc>
        <w:tc>
          <w:tcPr>
            <w:tcW w:w="1063" w:type="dxa"/>
            <w:tcBorders>
              <w:top w:val="single" w:color="auto" w:sz="4" w:space="0"/>
              <w:left w:val="nil"/>
              <w:bottom w:val="single" w:color="auto" w:sz="4" w:space="0"/>
              <w:right w:val="single" w:color="auto" w:sz="4" w:space="0"/>
            </w:tcBorders>
            <w:vAlign w:val="top"/>
          </w:tcPr>
          <w:p>
            <w:pPr>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村委会</w:t>
            </w:r>
          </w:p>
        </w:tc>
        <w:tc>
          <w:tcPr>
            <w:tcW w:w="2318" w:type="dxa"/>
            <w:tcBorders>
              <w:top w:val="single" w:color="auto" w:sz="4" w:space="0"/>
              <w:left w:val="nil"/>
              <w:bottom w:val="single" w:color="auto" w:sz="4" w:space="0"/>
              <w:right w:val="single" w:color="auto" w:sz="4" w:space="0"/>
            </w:tcBorders>
            <w:vAlign w:val="top"/>
          </w:tcPr>
          <w:p>
            <w:pPr>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办理森林防火期内林区用火申请</w:t>
            </w:r>
          </w:p>
        </w:tc>
        <w:tc>
          <w:tcPr>
            <w:tcW w:w="1386" w:type="dxa"/>
            <w:tcBorders>
              <w:top w:val="single" w:color="auto" w:sz="4" w:space="0"/>
              <w:left w:val="nil"/>
              <w:bottom w:val="single" w:color="auto" w:sz="4" w:space="0"/>
              <w:right w:val="single" w:color="auto" w:sz="4" w:space="0"/>
            </w:tcBorders>
            <w:vAlign w:val="top"/>
          </w:tcPr>
          <w:p>
            <w:pPr>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直接取消</w:t>
            </w:r>
          </w:p>
        </w:tc>
        <w:tc>
          <w:tcPr>
            <w:tcW w:w="1569" w:type="dxa"/>
            <w:tcBorders>
              <w:top w:val="single" w:color="auto" w:sz="4" w:space="0"/>
              <w:left w:val="nil"/>
              <w:bottom w:val="single" w:color="auto" w:sz="4" w:space="0"/>
              <w:right w:val="single" w:color="auto" w:sz="4" w:space="0"/>
            </w:tcBorders>
            <w:vAlign w:val="top"/>
          </w:tcPr>
          <w:p>
            <w:pPr>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2020年</w:t>
            </w:r>
            <w:r>
              <w:rPr>
                <w:rFonts w:hint="eastAsia" w:ascii="仿宋_GB2312" w:hAnsi="仿宋_GB2312" w:eastAsia="仿宋_GB2312" w:cs="仿宋_GB2312"/>
                <w:b w:val="0"/>
                <w:bCs w:val="0"/>
                <w:color w:val="auto"/>
                <w:sz w:val="21"/>
                <w:szCs w:val="21"/>
                <w:lang w:val="en-US" w:eastAsia="zh-CN"/>
              </w:rPr>
              <w:t>6</w:t>
            </w:r>
            <w:r>
              <w:rPr>
                <w:rFonts w:hint="eastAsia" w:ascii="仿宋_GB2312" w:hAnsi="仿宋_GB2312" w:eastAsia="仿宋_GB2312" w:cs="仿宋_GB2312"/>
                <w:b w:val="0"/>
                <w:bCs w:val="0"/>
                <w:color w:val="auto"/>
                <w:sz w:val="21"/>
                <w:szCs w:val="21"/>
              </w:rPr>
              <w:t>月</w:t>
            </w:r>
            <w:r>
              <w:rPr>
                <w:rFonts w:hint="eastAsia" w:ascii="仿宋_GB2312" w:hAnsi="仿宋_GB2312" w:eastAsia="仿宋_GB2312" w:cs="仿宋_GB2312"/>
                <w:b w:val="0"/>
                <w:bCs w:val="0"/>
                <w:color w:val="auto"/>
                <w:sz w:val="21"/>
                <w:szCs w:val="21"/>
                <w:lang w:val="en-US" w:eastAsia="zh-CN"/>
              </w:rPr>
              <w:t>30</w:t>
            </w:r>
            <w:r>
              <w:rPr>
                <w:rFonts w:hint="eastAsia" w:ascii="仿宋_GB2312" w:hAnsi="仿宋_GB2312" w:eastAsia="仿宋_GB2312" w:cs="仿宋_GB2312"/>
                <w:b w:val="0"/>
                <w:bCs w:val="0"/>
                <w:color w:val="auto"/>
                <w:sz w:val="21"/>
                <w:szCs w:val="21"/>
              </w:rPr>
              <w:t>日</w:t>
            </w:r>
          </w:p>
        </w:tc>
        <w:tc>
          <w:tcPr>
            <w:tcW w:w="1034"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w:t>
            </w:r>
          </w:p>
        </w:tc>
        <w:tc>
          <w:tcPr>
            <w:tcW w:w="1171" w:type="dxa"/>
            <w:tcBorders>
              <w:top w:val="single" w:color="auto" w:sz="4" w:space="0"/>
              <w:left w:val="nil"/>
              <w:bottom w:val="single" w:color="auto" w:sz="4" w:space="0"/>
              <w:right w:val="single" w:color="auto" w:sz="4" w:space="0"/>
            </w:tcBorders>
            <w:vAlign w:val="center"/>
          </w:tcPr>
          <w:p>
            <w:pPr>
              <w:adjustRightInd w:val="0"/>
              <w:spacing w:line="440" w:lineRule="exact"/>
              <w:jc w:val="center"/>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森林、林地使用者或所有者同意其进入森林高火险区的相关证明</w:t>
            </w:r>
          </w:p>
        </w:tc>
        <w:tc>
          <w:tcPr>
            <w:tcW w:w="3127" w:type="dxa"/>
            <w:tcBorders>
              <w:top w:val="single" w:color="auto" w:sz="4" w:space="0"/>
              <w:left w:val="nil"/>
              <w:bottom w:val="single" w:color="auto" w:sz="4" w:space="0"/>
              <w:right w:val="single" w:color="auto" w:sz="4" w:space="0"/>
            </w:tcBorders>
            <w:vAlign w:val="center"/>
          </w:tcPr>
          <w:p>
            <w:pPr>
              <w:adjustRightInd w:val="0"/>
              <w:spacing w:line="440" w:lineRule="exact"/>
              <w:jc w:val="center"/>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《森林防火条例》第二十九条森林高火险期内，进入森林高火险区的，应当经县级以上地方人民政府批准，…..</w:t>
            </w:r>
          </w:p>
        </w:tc>
        <w:tc>
          <w:tcPr>
            <w:tcW w:w="1078" w:type="dxa"/>
            <w:tcBorders>
              <w:top w:val="single" w:color="auto" w:sz="4" w:space="0"/>
              <w:left w:val="nil"/>
              <w:bottom w:val="single" w:color="auto" w:sz="4" w:space="0"/>
              <w:right w:val="single" w:color="auto" w:sz="4" w:space="0"/>
            </w:tcBorders>
            <w:vAlign w:val="center"/>
          </w:tcPr>
          <w:p>
            <w:pPr>
              <w:adjustRightInd w:val="0"/>
              <w:spacing w:line="440" w:lineRule="exact"/>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自然资源和规划局</w:t>
            </w:r>
          </w:p>
        </w:tc>
        <w:tc>
          <w:tcPr>
            <w:tcW w:w="1063" w:type="dxa"/>
            <w:tcBorders>
              <w:top w:val="single" w:color="auto" w:sz="4" w:space="0"/>
              <w:left w:val="nil"/>
              <w:bottom w:val="single" w:color="auto" w:sz="4" w:space="0"/>
              <w:right w:val="single" w:color="auto" w:sz="4" w:space="0"/>
            </w:tcBorders>
            <w:vAlign w:val="center"/>
          </w:tcPr>
          <w:p>
            <w:pPr>
              <w:adjustRightInd w:val="0"/>
              <w:spacing w:line="440" w:lineRule="exact"/>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村委会</w:t>
            </w:r>
          </w:p>
        </w:tc>
        <w:tc>
          <w:tcPr>
            <w:tcW w:w="2318"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办理森林高火险期内进入森林高火险区申请</w:t>
            </w:r>
          </w:p>
        </w:tc>
        <w:tc>
          <w:tcPr>
            <w:tcW w:w="1386" w:type="dxa"/>
            <w:tcBorders>
              <w:top w:val="single" w:color="auto" w:sz="4" w:space="0"/>
              <w:left w:val="nil"/>
              <w:bottom w:val="single" w:color="auto" w:sz="4" w:space="0"/>
              <w:right w:val="single" w:color="auto" w:sz="4" w:space="0"/>
            </w:tcBorders>
            <w:vAlign w:val="center"/>
          </w:tcPr>
          <w:p>
            <w:pPr>
              <w:adjustRightInd w:val="0"/>
              <w:spacing w:line="440" w:lineRule="exact"/>
              <w:jc w:val="center"/>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直接取消</w:t>
            </w:r>
          </w:p>
        </w:tc>
        <w:tc>
          <w:tcPr>
            <w:tcW w:w="1569" w:type="dxa"/>
            <w:tcBorders>
              <w:top w:val="single" w:color="auto" w:sz="4" w:space="0"/>
              <w:left w:val="nil"/>
              <w:bottom w:val="single" w:color="auto" w:sz="4" w:space="0"/>
              <w:right w:val="single" w:color="auto" w:sz="4" w:space="0"/>
            </w:tcBorders>
            <w:vAlign w:val="top"/>
          </w:tcPr>
          <w:p>
            <w:pPr>
              <w:jc w:val="center"/>
              <w:rPr>
                <w:rFonts w:hint="eastAsia" w:ascii="仿宋_GB2312" w:hAnsi="仿宋_GB2312" w:eastAsia="仿宋_GB2312" w:cs="仿宋_GB2312"/>
                <w:b w:val="0"/>
                <w:bCs w:val="0"/>
                <w:color w:val="auto"/>
                <w:sz w:val="21"/>
                <w:szCs w:val="21"/>
              </w:rPr>
            </w:pPr>
          </w:p>
          <w:p>
            <w:pPr>
              <w:jc w:val="center"/>
              <w:rPr>
                <w:rFonts w:hint="eastAsia" w:ascii="仿宋_GB2312" w:hAnsi="仿宋_GB2312" w:eastAsia="仿宋_GB2312" w:cs="仿宋_GB2312"/>
                <w:b w:val="0"/>
                <w:bCs w:val="0"/>
                <w:color w:val="auto"/>
                <w:sz w:val="21"/>
                <w:szCs w:val="21"/>
              </w:rPr>
            </w:pPr>
          </w:p>
          <w:p>
            <w:pPr>
              <w:jc w:val="center"/>
              <w:rPr>
                <w:rFonts w:hint="eastAsia" w:ascii="仿宋_GB2312" w:hAnsi="仿宋_GB2312" w:eastAsia="仿宋_GB2312" w:cs="仿宋_GB2312"/>
                <w:b w:val="0"/>
                <w:bCs w:val="0"/>
                <w:color w:val="auto"/>
                <w:sz w:val="21"/>
                <w:szCs w:val="21"/>
              </w:rPr>
            </w:pPr>
          </w:p>
          <w:p>
            <w:pPr>
              <w:jc w:val="center"/>
              <w:rPr>
                <w:rFonts w:hint="eastAsia" w:ascii="仿宋_GB2312" w:hAnsi="仿宋_GB2312" w:eastAsia="仿宋_GB2312" w:cs="仿宋_GB2312"/>
                <w:b w:val="0"/>
                <w:bCs w:val="0"/>
                <w:color w:val="auto"/>
                <w:sz w:val="21"/>
                <w:szCs w:val="21"/>
              </w:rPr>
            </w:pPr>
          </w:p>
          <w:p>
            <w:pPr>
              <w:jc w:val="both"/>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2020年</w:t>
            </w:r>
            <w:r>
              <w:rPr>
                <w:rFonts w:hint="eastAsia" w:ascii="仿宋_GB2312" w:hAnsi="仿宋_GB2312" w:eastAsia="仿宋_GB2312" w:cs="仿宋_GB2312"/>
                <w:b w:val="0"/>
                <w:bCs w:val="0"/>
                <w:color w:val="auto"/>
                <w:sz w:val="21"/>
                <w:szCs w:val="21"/>
                <w:lang w:val="en-US" w:eastAsia="zh-CN"/>
              </w:rPr>
              <w:t>6</w:t>
            </w:r>
            <w:r>
              <w:rPr>
                <w:rFonts w:hint="eastAsia" w:ascii="仿宋_GB2312" w:hAnsi="仿宋_GB2312" w:eastAsia="仿宋_GB2312" w:cs="仿宋_GB2312"/>
                <w:b w:val="0"/>
                <w:bCs w:val="0"/>
                <w:color w:val="auto"/>
                <w:sz w:val="21"/>
                <w:szCs w:val="21"/>
              </w:rPr>
              <w:t>月</w:t>
            </w:r>
            <w:r>
              <w:rPr>
                <w:rFonts w:hint="eastAsia" w:ascii="仿宋_GB2312" w:hAnsi="仿宋_GB2312" w:eastAsia="仿宋_GB2312" w:cs="仿宋_GB2312"/>
                <w:b w:val="0"/>
                <w:bCs w:val="0"/>
                <w:color w:val="auto"/>
                <w:sz w:val="21"/>
                <w:szCs w:val="21"/>
                <w:lang w:val="en-US" w:eastAsia="zh-CN"/>
              </w:rPr>
              <w:t>30</w:t>
            </w:r>
            <w:r>
              <w:rPr>
                <w:rFonts w:hint="eastAsia" w:ascii="仿宋_GB2312" w:hAnsi="仿宋_GB2312" w:eastAsia="仿宋_GB2312" w:cs="仿宋_GB2312"/>
                <w:b w:val="0"/>
                <w:bCs w:val="0"/>
                <w:color w:val="auto"/>
                <w:sz w:val="21"/>
                <w:szCs w:val="21"/>
              </w:rPr>
              <w:t>日</w:t>
            </w:r>
          </w:p>
        </w:tc>
        <w:tc>
          <w:tcPr>
            <w:tcW w:w="1034"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6</w:t>
            </w:r>
          </w:p>
        </w:tc>
        <w:tc>
          <w:tcPr>
            <w:tcW w:w="1171" w:type="dxa"/>
            <w:tcBorders>
              <w:top w:val="single" w:color="auto" w:sz="4" w:space="0"/>
              <w:left w:val="nil"/>
              <w:bottom w:val="single" w:color="auto" w:sz="4" w:space="0"/>
              <w:right w:val="single" w:color="auto" w:sz="4" w:space="0"/>
            </w:tcBorders>
            <w:vAlign w:val="center"/>
          </w:tcPr>
          <w:p>
            <w:pPr>
              <w:spacing w:line="280" w:lineRule="exact"/>
              <w:rPr>
                <w:rFonts w:hint="eastAsia" w:ascii="仿宋_GB2312" w:hAnsi="仿宋_GB2312" w:eastAsia="仿宋_GB2312" w:cs="仿宋_GB2312"/>
                <w:b w:val="0"/>
                <w:bCs w:val="0"/>
                <w:color w:val="auto"/>
                <w:kern w:val="2"/>
                <w:sz w:val="21"/>
                <w:szCs w:val="21"/>
                <w:shd w:val="clear" w:color="auto" w:fill="FFFFFF"/>
                <w:lang w:val="en-US" w:eastAsia="zh-CN" w:bidi="ar-SA"/>
              </w:rPr>
            </w:pPr>
            <w:r>
              <w:rPr>
                <w:rFonts w:hint="eastAsia" w:ascii="仿宋_GB2312" w:hAnsi="仿宋_GB2312" w:eastAsia="仿宋_GB2312" w:cs="仿宋_GB2312"/>
                <w:b w:val="0"/>
                <w:bCs w:val="0"/>
                <w:color w:val="auto"/>
                <w:kern w:val="0"/>
                <w:sz w:val="21"/>
                <w:szCs w:val="21"/>
              </w:rPr>
              <w:t>无犯罪记录证明</w:t>
            </w: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《社会团体登记管理条例》第十三条有下列情形之一的，登记管理机关不予登记： (三)发起人、拟任负责人正在或者曾经受到剥夺政治权利的刑事处罚，或者不具有完全民事行为能力的；</w:t>
            </w:r>
          </w:p>
        </w:tc>
        <w:tc>
          <w:tcPr>
            <w:tcW w:w="1078"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280" w:lineRule="exact"/>
              <w:jc w:val="center"/>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民政局</w:t>
            </w:r>
          </w:p>
        </w:tc>
        <w:tc>
          <w:tcPr>
            <w:tcW w:w="1063"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人事关系所在单位</w:t>
            </w:r>
          </w:p>
        </w:tc>
        <w:tc>
          <w:tcPr>
            <w:tcW w:w="2318"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社会团体登记</w:t>
            </w:r>
          </w:p>
        </w:tc>
        <w:tc>
          <w:tcPr>
            <w:tcW w:w="1386"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告知承诺</w:t>
            </w:r>
          </w:p>
        </w:tc>
        <w:tc>
          <w:tcPr>
            <w:tcW w:w="1569"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2019年9月底</w:t>
            </w:r>
          </w:p>
        </w:tc>
        <w:tc>
          <w:tcPr>
            <w:tcW w:w="1034"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7</w:t>
            </w:r>
          </w:p>
        </w:tc>
        <w:tc>
          <w:tcPr>
            <w:tcW w:w="1171" w:type="dxa"/>
            <w:tcBorders>
              <w:top w:val="single" w:color="auto" w:sz="4" w:space="0"/>
              <w:left w:val="nil"/>
              <w:bottom w:val="single" w:color="auto" w:sz="4" w:space="0"/>
              <w:right w:val="single" w:color="auto" w:sz="4" w:space="0"/>
            </w:tcBorders>
            <w:vAlign w:val="center"/>
          </w:tcPr>
          <w:p>
            <w:pPr>
              <w:spacing w:line="280" w:lineRule="exact"/>
              <w:rPr>
                <w:rFonts w:hint="eastAsia" w:ascii="仿宋_GB2312" w:hAnsi="仿宋_GB2312" w:eastAsia="仿宋_GB2312" w:cs="仿宋_GB2312"/>
                <w:b w:val="0"/>
                <w:bCs w:val="0"/>
                <w:color w:val="auto"/>
                <w:kern w:val="2"/>
                <w:sz w:val="21"/>
                <w:szCs w:val="21"/>
                <w:shd w:val="clear" w:color="auto" w:fill="FFFFFF"/>
                <w:lang w:val="en-US" w:eastAsia="zh-CN" w:bidi="ar-SA"/>
              </w:rPr>
            </w:pPr>
            <w:r>
              <w:rPr>
                <w:rFonts w:hint="eastAsia" w:ascii="仿宋_GB2312" w:hAnsi="仿宋_GB2312" w:eastAsia="仿宋_GB2312" w:cs="仿宋_GB2312"/>
                <w:b w:val="0"/>
                <w:bCs w:val="0"/>
                <w:color w:val="auto"/>
                <w:kern w:val="0"/>
                <w:sz w:val="21"/>
                <w:szCs w:val="21"/>
              </w:rPr>
              <w:t>无犯罪记录证明</w:t>
            </w: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 xml:space="preserve">《民办非企业单位登记管理暂行条例》第十一条 有下列情形之一的，登记管理机关不予登记，并向申请人说明理由： （四）拟任负责人正在或者曾经受到剥夺政治权利的刑事处罚，或者不具有完全民事行为能力的； </w:t>
            </w:r>
          </w:p>
        </w:tc>
        <w:tc>
          <w:tcPr>
            <w:tcW w:w="1078"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280" w:lineRule="exact"/>
              <w:jc w:val="center"/>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民政局</w:t>
            </w:r>
          </w:p>
        </w:tc>
        <w:tc>
          <w:tcPr>
            <w:tcW w:w="1063"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人事关系所在单位</w:t>
            </w:r>
          </w:p>
        </w:tc>
        <w:tc>
          <w:tcPr>
            <w:tcW w:w="2318"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民办非企业单位登记</w:t>
            </w:r>
          </w:p>
        </w:tc>
        <w:tc>
          <w:tcPr>
            <w:tcW w:w="1386" w:type="dxa"/>
            <w:tcBorders>
              <w:top w:val="single" w:color="auto" w:sz="4" w:space="0"/>
              <w:left w:val="nil"/>
              <w:bottom w:val="single" w:color="auto" w:sz="4" w:space="0"/>
              <w:right w:val="single" w:color="auto" w:sz="4" w:space="0"/>
            </w:tcBorders>
            <w:vAlign w:val="center"/>
          </w:tcPr>
          <w:p>
            <w:pPr>
              <w:adjustRightInd w:val="0"/>
              <w:spacing w:line="440" w:lineRule="exact"/>
              <w:jc w:val="center"/>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告知承诺</w:t>
            </w:r>
          </w:p>
        </w:tc>
        <w:tc>
          <w:tcPr>
            <w:tcW w:w="1569" w:type="dxa"/>
            <w:tcBorders>
              <w:top w:val="single" w:color="auto" w:sz="4" w:space="0"/>
              <w:left w:val="nil"/>
              <w:bottom w:val="single" w:color="auto" w:sz="4" w:space="0"/>
              <w:right w:val="single" w:color="auto" w:sz="4" w:space="0"/>
            </w:tcBorders>
            <w:vAlign w:val="center"/>
          </w:tcPr>
          <w:p>
            <w:pPr>
              <w:adjustRightInd w:val="0"/>
              <w:spacing w:line="440" w:lineRule="exact"/>
              <w:jc w:val="center"/>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2019年9月底</w:t>
            </w:r>
          </w:p>
        </w:tc>
        <w:tc>
          <w:tcPr>
            <w:tcW w:w="1034"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8</w:t>
            </w:r>
          </w:p>
        </w:tc>
        <w:tc>
          <w:tcPr>
            <w:tcW w:w="1171"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280" w:lineRule="exact"/>
              <w:jc w:val="both"/>
              <w:textAlignment w:val="center"/>
              <w:rPr>
                <w:rFonts w:hint="eastAsia" w:ascii="仿宋_GB2312" w:hAnsi="仿宋_GB2312" w:eastAsia="仿宋_GB2312" w:cs="仿宋_GB2312"/>
                <w:b w:val="0"/>
                <w:bCs w:val="0"/>
                <w:color w:val="auto"/>
                <w:kern w:val="2"/>
                <w:sz w:val="21"/>
                <w:szCs w:val="21"/>
                <w:shd w:val="clear" w:color="auto" w:fill="FFFFFF"/>
                <w:lang w:val="en-US" w:eastAsia="zh-CN" w:bidi="ar-SA"/>
              </w:rPr>
            </w:pPr>
            <w:r>
              <w:rPr>
                <w:rFonts w:hint="eastAsia" w:ascii="仿宋_GB2312" w:hAnsi="仿宋_GB2312" w:eastAsia="仿宋_GB2312" w:cs="仿宋_GB2312"/>
                <w:b w:val="0"/>
                <w:bCs w:val="0"/>
                <w:color w:val="auto"/>
                <w:sz w:val="21"/>
                <w:szCs w:val="21"/>
              </w:rPr>
              <w:t>无犯罪记录证明</w:t>
            </w: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《基金会管理条例》第二十三条 因犯罪被判处管制、拘役或者有期徒刑，刑期执行完毕之日起未逾5年的，因犯罪被判处剥夺政治权利正在执行期间或者曾经被判处剥夺政治权利的，以及曾在因违法被撤销登记的基金会担任理事长、副理事长或者秘书长，且对该基金会的违法行为负有个人责任，自该基金会被撤销之日起未逾5年的，不得担任基金会的理事长、副理事长或者秘书长。</w:t>
            </w:r>
          </w:p>
        </w:tc>
        <w:tc>
          <w:tcPr>
            <w:tcW w:w="1078"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280" w:lineRule="exact"/>
              <w:ind w:left="-60" w:leftChars="-30" w:right="-60" w:rightChars="-30"/>
              <w:jc w:val="center"/>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民政局</w:t>
            </w:r>
          </w:p>
        </w:tc>
        <w:tc>
          <w:tcPr>
            <w:tcW w:w="1063" w:type="dxa"/>
            <w:tcBorders>
              <w:top w:val="single" w:color="auto" w:sz="4" w:space="0"/>
              <w:left w:val="nil"/>
              <w:bottom w:val="single" w:color="auto" w:sz="4" w:space="0"/>
              <w:right w:val="single" w:color="auto" w:sz="4" w:space="0"/>
            </w:tcBorders>
            <w:vAlign w:val="center"/>
          </w:tcPr>
          <w:p>
            <w:pPr>
              <w:spacing w:line="280" w:lineRule="exact"/>
              <w:ind w:left="-60" w:leftChars="-30" w:right="-60" w:rightChars="-30"/>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人事关系所在单位</w:t>
            </w:r>
          </w:p>
        </w:tc>
        <w:tc>
          <w:tcPr>
            <w:tcW w:w="2318"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基金会登记</w:t>
            </w:r>
          </w:p>
        </w:tc>
        <w:tc>
          <w:tcPr>
            <w:tcW w:w="1386" w:type="dxa"/>
            <w:tcBorders>
              <w:top w:val="single" w:color="auto" w:sz="4" w:space="0"/>
              <w:left w:val="nil"/>
              <w:bottom w:val="single" w:color="auto" w:sz="4" w:space="0"/>
              <w:right w:val="single" w:color="auto" w:sz="4" w:space="0"/>
            </w:tcBorders>
            <w:vAlign w:val="center"/>
          </w:tcPr>
          <w:p>
            <w:pPr>
              <w:adjustRightInd w:val="0"/>
              <w:spacing w:line="440" w:lineRule="exact"/>
              <w:jc w:val="center"/>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告知承诺</w:t>
            </w:r>
          </w:p>
        </w:tc>
        <w:tc>
          <w:tcPr>
            <w:tcW w:w="1569" w:type="dxa"/>
            <w:tcBorders>
              <w:top w:val="single" w:color="auto" w:sz="4" w:space="0"/>
              <w:left w:val="nil"/>
              <w:bottom w:val="single" w:color="auto" w:sz="4" w:space="0"/>
              <w:right w:val="single" w:color="auto" w:sz="4" w:space="0"/>
            </w:tcBorders>
            <w:vAlign w:val="center"/>
          </w:tcPr>
          <w:p>
            <w:pPr>
              <w:adjustRightInd w:val="0"/>
              <w:spacing w:line="440" w:lineRule="exact"/>
              <w:jc w:val="center"/>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2019年9月底</w:t>
            </w:r>
          </w:p>
        </w:tc>
        <w:tc>
          <w:tcPr>
            <w:tcW w:w="1034" w:type="dxa"/>
            <w:tcBorders>
              <w:top w:val="single" w:color="auto" w:sz="4" w:space="0"/>
              <w:left w:val="nil"/>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9</w:t>
            </w:r>
          </w:p>
        </w:tc>
        <w:tc>
          <w:tcPr>
            <w:tcW w:w="1171"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公共场所卫生检测报告</w:t>
            </w: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公共场所卫生管理条例》(1987年4月1日国务院发布)第四条：国家对公共场所以及新建、改建、扩建的公共场所的选址和设计实行“卫生许可证”制度。《公共场所卫生管理条例实施细则》（2017年国家卫生和计划生育委员会令第18号）第二十三条 公共场所经营者申请卫生许可证的，应当提交下列材料：（一）卫生许可证申请表;（二）法定代表人或者负责人身份证明;(三)公共场所地址方位示意图、平面图和卫生设施平面布局图；(四)公共场所卫生检测或者评价报告；（五）公共场所卫生管理制度；（六）省、自治区、直辖市卫生计生行政部门要求提供的其他材料。</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使用集中空调通风系统的，还应当提供集中空调通风系统卫生检测或者评价报告。</w:t>
            </w:r>
          </w:p>
        </w:tc>
        <w:tc>
          <w:tcPr>
            <w:tcW w:w="107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063"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具有资质的检测机构</w:t>
            </w:r>
          </w:p>
        </w:tc>
        <w:tc>
          <w:tcPr>
            <w:tcW w:w="231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公共场所卫生许可</w:t>
            </w:r>
          </w:p>
        </w:tc>
        <w:tc>
          <w:tcPr>
            <w:tcW w:w="1386"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直接取消</w:t>
            </w:r>
          </w:p>
        </w:tc>
        <w:tc>
          <w:tcPr>
            <w:tcW w:w="1569"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2019年8月</w:t>
            </w:r>
          </w:p>
        </w:tc>
        <w:tc>
          <w:tcPr>
            <w:tcW w:w="1034" w:type="dxa"/>
            <w:tcBorders>
              <w:top w:val="single" w:color="auto" w:sz="4" w:space="0"/>
              <w:left w:val="nil"/>
              <w:bottom w:val="single" w:color="auto" w:sz="4" w:space="0"/>
              <w:right w:val="single" w:color="auto" w:sz="4" w:space="0"/>
            </w:tcBorders>
            <w:vAlign w:val="top"/>
          </w:tcPr>
          <w:p>
            <w:pPr>
              <w:rPr>
                <w:rFonts w:hint="eastAsia" w:ascii="仿宋_GB2312" w:hAnsi="仿宋_GB2312" w:eastAsia="仿宋_GB2312" w:cs="仿宋_GB2312"/>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10</w:t>
            </w:r>
          </w:p>
        </w:tc>
        <w:tc>
          <w:tcPr>
            <w:tcW w:w="1171"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验资报告</w:t>
            </w:r>
          </w:p>
          <w:p>
            <w:pPr>
              <w:rPr>
                <w:rFonts w:hint="eastAsia" w:ascii="仿宋_GB2312" w:hAnsi="仿宋_GB2312" w:eastAsia="仿宋_GB2312" w:cs="仿宋_GB2312"/>
                <w:color w:val="auto"/>
                <w:kern w:val="2"/>
                <w:sz w:val="21"/>
                <w:szCs w:val="24"/>
                <w:lang w:val="en-US" w:eastAsia="zh-CN" w:bidi="ar-SA"/>
              </w:rPr>
            </w:pP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《中华人民共和国民办教育促进法》第十四条 申请正式设立民办学校的，举办者应当向审批机关提交下列材料：（四）学校资产的有效证明文件；</w:t>
            </w:r>
          </w:p>
        </w:tc>
        <w:tc>
          <w:tcPr>
            <w:tcW w:w="107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063"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资产评估中介</w:t>
            </w:r>
          </w:p>
        </w:tc>
        <w:tc>
          <w:tcPr>
            <w:tcW w:w="231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举办实施学历教育、学前教育、自学考试助学及其他文化教育的民办学校筹设、设立、变更、分立、合并、终止审批</w:t>
            </w:r>
          </w:p>
        </w:tc>
        <w:tc>
          <w:tcPr>
            <w:tcW w:w="1386"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直接取消</w:t>
            </w:r>
          </w:p>
        </w:tc>
        <w:tc>
          <w:tcPr>
            <w:tcW w:w="1569"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2019年11月</w:t>
            </w:r>
          </w:p>
        </w:tc>
        <w:tc>
          <w:tcPr>
            <w:tcW w:w="103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11</w:t>
            </w:r>
          </w:p>
        </w:tc>
        <w:tc>
          <w:tcPr>
            <w:tcW w:w="1171"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演出场地证明</w:t>
            </w: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《营业性演出管理条例》（2016年2月6日修订，国务院令第666号）第二十条 审批临时搭建舞台、看台的营业性演出时，文化主管部门应当核验演出举办单位的下列文件:</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(一)依法验收后取得的演出场所合格证明;</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(二)安全保卫工作方案和灭火、应急疏散预案;</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(三)依法取得的安全、消防批准文件。</w:t>
            </w:r>
          </w:p>
        </w:tc>
        <w:tc>
          <w:tcPr>
            <w:tcW w:w="107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063"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文化主管部门</w:t>
            </w:r>
          </w:p>
        </w:tc>
        <w:tc>
          <w:tcPr>
            <w:tcW w:w="231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举办营业性演出审批</w:t>
            </w:r>
          </w:p>
        </w:tc>
        <w:tc>
          <w:tcPr>
            <w:tcW w:w="1386"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部门核验</w:t>
            </w:r>
          </w:p>
        </w:tc>
        <w:tc>
          <w:tcPr>
            <w:tcW w:w="1569"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2020年6月</w:t>
            </w:r>
          </w:p>
        </w:tc>
        <w:tc>
          <w:tcPr>
            <w:tcW w:w="103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12</w:t>
            </w:r>
          </w:p>
        </w:tc>
        <w:tc>
          <w:tcPr>
            <w:tcW w:w="1171"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水质检验报告</w:t>
            </w: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公共场所卫生管理条例》（1987年4月1日国务院发布）第三条公共场所的下列项目应符合国家卫生标准和要求：（一）空气、微小气候（湿度、温度、风速）；（二）水质；（三）采光、照明；（四）噪音；（五）顾客用具和卫生设施；《公共场所卫生管理条例实施细则》第二十三条 公共场所经营者申请卫生许可证的，应当提交下列资料：（一）卫生许可证申请表；（法定代表人或者负责人身份证明）；（三）公共场所地址方位示意图、平面图和卫生设施平面图；（四）公共场所卫生检测或者评价报告；（五）公共场所卫生管理制度；（六）省、自治区、直辖市卫生行政部门要求提供的其他材料。</w:t>
            </w:r>
          </w:p>
        </w:tc>
        <w:tc>
          <w:tcPr>
            <w:tcW w:w="107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063"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具有资质的检测机构</w:t>
            </w:r>
          </w:p>
        </w:tc>
        <w:tc>
          <w:tcPr>
            <w:tcW w:w="231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供水单位卫生许可证</w:t>
            </w:r>
          </w:p>
        </w:tc>
        <w:tc>
          <w:tcPr>
            <w:tcW w:w="1386"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直接取消</w:t>
            </w:r>
          </w:p>
        </w:tc>
        <w:tc>
          <w:tcPr>
            <w:tcW w:w="1569"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2019年8月</w:t>
            </w:r>
          </w:p>
        </w:tc>
        <w:tc>
          <w:tcPr>
            <w:tcW w:w="103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与前款水源水和出厂水水质检验报告重复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13</w:t>
            </w:r>
          </w:p>
        </w:tc>
        <w:tc>
          <w:tcPr>
            <w:tcW w:w="1171"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种子生产地点检疫证明</w:t>
            </w: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"https://baike.baidu.com/item/%E4%B8%AD%E5%8D%8E%E4%BA%BA%E6%B0%91%E5%85%B1%E5%92%8C%E5%9B%BD%E7%A7%8D%E5%AD%90%E6%B3%95/4471386" \t "https://baike.baidu.com/item/_blank"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中华人民共和国种子法</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第三十一条……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2.种子生产经营许可管理办法》（农业部令2016年第5号）第十一条……（七）种子生产地点检疫证明；</w:t>
            </w:r>
          </w:p>
        </w:tc>
        <w:tc>
          <w:tcPr>
            <w:tcW w:w="107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审批局初审</w:t>
            </w:r>
          </w:p>
        </w:tc>
        <w:tc>
          <w:tcPr>
            <w:tcW w:w="1063"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种子生产所在地农业主管部门</w:t>
            </w:r>
          </w:p>
        </w:tc>
        <w:tc>
          <w:tcPr>
            <w:tcW w:w="231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农作物种子生产经营许可（审核）</w:t>
            </w:r>
          </w:p>
        </w:tc>
        <w:tc>
          <w:tcPr>
            <w:tcW w:w="1386"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告知承诺</w:t>
            </w:r>
          </w:p>
        </w:tc>
        <w:tc>
          <w:tcPr>
            <w:tcW w:w="1569"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2019年4月</w:t>
            </w:r>
          </w:p>
        </w:tc>
        <w:tc>
          <w:tcPr>
            <w:tcW w:w="103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14</w:t>
            </w:r>
          </w:p>
        </w:tc>
        <w:tc>
          <w:tcPr>
            <w:tcW w:w="1171"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城乡规划行政主管部门出具的选址意见书（仅指以划拨方式提供国有土地使用权的项目）</w:t>
            </w: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1、《企业投资项目核准和备案管理条例》（2016年国务院令第673号）第九条　核准机关应当从下列方面对项目进行审查：（一）是否危害经济安全、社会安全、生态安全等国家安全；（二）是否符合相关发展建设规划、技术标准和产业政策；（三）是否合理开发并有效利用资源；（四）是否对重大公共利益产生不利影响。</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项目涉及有关部门或者项目所在地地方人民政府职责的，核准机关应当书面征求其意见,被征求意见单位应当及时书面回复。</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2、《外商投资项目核准和备案管理办法》（国家发展改革委令2014年第12号），第十条 项目申请报告应附以下文件：（三）城乡规划行政主管部门出具的选址意见书（仅指以划拨方式提供国有土地使用权的项目）；</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3、《企业投资项目核准和备案管理办法》（国家发改委2017年第2号令），第二十二条 项目单位在报送项目申请报告时，应当根据国家法律法规的规定附具以下文件：（一）城乡规划行政主管部门出具的选址意见书（仅指以划拨方式提供国有土地使用权的项目）；</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4、《中央预算内直接投资项目管理办法》（国家发展改革委2014年第7号令），第十六条 可行性研究报告编制完成后，由项目单位按照规定程序报送项目审批部门审批，并应当附以下文件：（一）城乡规划行政主管部门出具的选址意见书。</w:t>
            </w:r>
          </w:p>
        </w:tc>
        <w:tc>
          <w:tcPr>
            <w:tcW w:w="107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063"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231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行政许可：外商投资项目核准（已划转至审批局）、企业投资项目核准（已划转至审批局）。</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政府内部审批事项：权限内政府投资项目审批（含初步设计概算审批）</w:t>
            </w:r>
          </w:p>
        </w:tc>
        <w:tc>
          <w:tcPr>
            <w:tcW w:w="1386"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直接取消</w:t>
            </w:r>
          </w:p>
        </w:tc>
        <w:tc>
          <w:tcPr>
            <w:tcW w:w="1569"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2020年2月</w:t>
            </w:r>
          </w:p>
        </w:tc>
        <w:tc>
          <w:tcPr>
            <w:tcW w:w="103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15</w:t>
            </w:r>
          </w:p>
        </w:tc>
        <w:tc>
          <w:tcPr>
            <w:tcW w:w="1171"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国土资源行政主管部门出具的用地预审意见（国土资源主管部门明确可以不进行用地预审的情形除外）</w:t>
            </w: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1、《企业投资项目核准和备案管理条例》（2016年国务院令第673号）第九条　核准机关应当从下列方面对项目进行审查：（一）是否危害经济安全、社会安全、生态安全等国家安全；（二）是否符合相关发展建设规划、技术标准和产业政策；（三）是否合理开发并有效利用资源；（四）是否对重大公共利益产生不利影响。</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项目涉及有关部门或者项目所在地地方人民政府职责的，核准机关应当书面征求其意见,被征求意见单位应当及时书面回复。</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2、《外商投资项目核准和备案管理办法》（国家发展改革委令2014年第12号），第十条 项目申请报告应附以下文件：（四）国土资源行政主管部门出具的用地预审意见（不涉及新增用地，在已批准的建设用地范围内进行改扩建的项目，可以不进行用地预审）；</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3、《企业投资项目核准和备案管理办法》（国家发改委2017年第2号令），第二十二条 项目单位在报送项目申请报告时，应当根据国家法律法规的规定附具以下文件：（二）国土资源（海洋）行政主管部门出具的用地（用海）预审意见（国土资源主管部门明确可以不进行用地预审的情形除外）；</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4、《中央预算内直接投资项目管理办法》（国家发展改革委2014年第7号令），第十六条 可行性研究报告编制完成后，由项目单位按照规定程序报送项目审批部门审批，并应当附以下文件：（二）国土资源行政主管部门出具的用地预审意见。</w:t>
            </w:r>
          </w:p>
        </w:tc>
        <w:tc>
          <w:tcPr>
            <w:tcW w:w="107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063"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231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行政许可：外商投资项目核准（已划转至审批局）、企业投资项目核准（已划转至审批局）。</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政府内部审批事项：权限内政府投资项目审批（含初步设计概算审批）</w:t>
            </w:r>
          </w:p>
        </w:tc>
        <w:tc>
          <w:tcPr>
            <w:tcW w:w="1386"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直接取消</w:t>
            </w:r>
          </w:p>
        </w:tc>
        <w:tc>
          <w:tcPr>
            <w:tcW w:w="1569"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2020年2月</w:t>
            </w:r>
          </w:p>
        </w:tc>
        <w:tc>
          <w:tcPr>
            <w:tcW w:w="103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16</w:t>
            </w:r>
          </w:p>
        </w:tc>
        <w:tc>
          <w:tcPr>
            <w:tcW w:w="1171"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企业名称预先核准通知书和土地使用证明</w:t>
            </w: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1.《动物防疫法》（1997年7月通过，2015年4月修订）第二十条第一款：“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说明理由。”</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2.《动物防疫条件审查办法》第二条第一款 动物饲养场、养殖小区、动物隔离场所、动物屠宰加工场所以及动物和动物产品无害化处理场所，应当符合本办法规定的动物防疫条件，并取得《动物防疫条件合格证》。</w:t>
            </w:r>
          </w:p>
        </w:tc>
        <w:tc>
          <w:tcPr>
            <w:tcW w:w="107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县行政审批局</w:t>
            </w:r>
          </w:p>
        </w:tc>
        <w:tc>
          <w:tcPr>
            <w:tcW w:w="1063"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工商行政管理部门和土管部门</w:t>
            </w:r>
          </w:p>
        </w:tc>
        <w:tc>
          <w:tcPr>
            <w:tcW w:w="231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动物防疫条件合格证核发</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（新设立的企业）</w:t>
            </w:r>
          </w:p>
        </w:tc>
        <w:tc>
          <w:tcPr>
            <w:tcW w:w="1386"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直接取消</w:t>
            </w:r>
          </w:p>
        </w:tc>
        <w:tc>
          <w:tcPr>
            <w:tcW w:w="1569"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2019年6月</w:t>
            </w:r>
          </w:p>
        </w:tc>
        <w:tc>
          <w:tcPr>
            <w:tcW w:w="103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17</w:t>
            </w:r>
          </w:p>
        </w:tc>
        <w:tc>
          <w:tcPr>
            <w:tcW w:w="1171"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无犯罪记录证明原件</w:t>
            </w: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《对外</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"https://baike.so.com/doc/7904215-8178310.html" \t "https://baike.so.com/doc/_blank"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劳务合作</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管理</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"https://baike.so.com/doc/5114591-5343453.html" \t "https://baike.so.com/doc/_blank"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条例</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》中华人民共和国国务院令 第620号第六条申请对外劳务合作经营资格，应当具备下列条件:(一)符合企业法人条件;(二)实缴注册资本不低于600万元人民币;(三)有3名以上熟悉对外劳务合作业务的管理人员;(四)有健全的内部管理制度和突发事件应急处置制度;(五)法定代表人没有故意犯罪记录。</w:t>
            </w:r>
          </w:p>
        </w:tc>
        <w:tc>
          <w:tcPr>
            <w:tcW w:w="107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063"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地点：派出所</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具体承办机构：户籍所在地派出所</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流程：所在村 开介绍信并盖章，到派出所盖章。</w:t>
            </w:r>
          </w:p>
        </w:tc>
        <w:tc>
          <w:tcPr>
            <w:tcW w:w="231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对外劳务合作经营资格核准（市县同权）</w:t>
            </w:r>
          </w:p>
        </w:tc>
        <w:tc>
          <w:tcPr>
            <w:tcW w:w="1386"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告知承诺</w:t>
            </w:r>
          </w:p>
        </w:tc>
        <w:tc>
          <w:tcPr>
            <w:tcW w:w="1569"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2020年7月</w:t>
            </w:r>
          </w:p>
        </w:tc>
        <w:tc>
          <w:tcPr>
            <w:tcW w:w="103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18</w:t>
            </w:r>
          </w:p>
        </w:tc>
        <w:tc>
          <w:tcPr>
            <w:tcW w:w="1171"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3年内无重大以上交通责任事故记录</w:t>
            </w: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1、《中华人民共和国道路运输条例》（2004年4月国务院令第406号，2016年2月修订）第八条　申请从事客运经营的，应当具备下列条件：</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（一）有与其经营业务相适应并经检测合格的车辆；</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（二）有符合本条例第九条规定条件的驾驶人员；</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（三）有健全的安全生产管理制度。申请从事班线客运经营的，还应当有明确的线路和站点方案。</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第九条　从事客运经营的驾驶人员，应当符合下列条件：</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（一）取得相应的机动车驾驶证；</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（二）年龄不超过60周岁；</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（三）3年内无重大以上交通责任事故记录；</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（四）经设区的市级道路运输管理机构对有关客运法律法规、机动车维修和旅客急救基本知识考试合格。</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2、《道路旅客运输及客运站管理规定》（交通运输部令2016年82号）第十四条　申请从事道路客运经营的，应当提供下列材料：已聘用或者拟聘用驾驶人员的驾驶证和从业资格证及其复印件，公安部门出具的3年内无重大以上交通责任事故的证明。第十五条　已获得相应道路班车客运经营许可的经营者，申请新增客运班线时，除提供第十四条第（二）项规定的材料外，还应当提供下列材料：拟聘用驾驶人员的驾驶证和从业资格证及其复印件，公安部门出具的3年内无重大以上交通责任事故的证明；</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3、《道路运输从业人员管理规定》（交通运输部令2016年第52号）第九条经营性道路旅客运输驾驶员应当符合下列条件：3年内无重大以上交通责任事故；第十一条道路危险货物运输驾驶员应当符合下列条件：3年内无重大以上交通责任事故；</w:t>
            </w:r>
          </w:p>
        </w:tc>
        <w:tc>
          <w:tcPr>
            <w:tcW w:w="107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063"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公安部门</w:t>
            </w:r>
          </w:p>
        </w:tc>
        <w:tc>
          <w:tcPr>
            <w:tcW w:w="231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道路客运经营（含客运班线经营）许可；城市公共汽（电）车客运线路经营权许可</w:t>
            </w:r>
          </w:p>
        </w:tc>
        <w:tc>
          <w:tcPr>
            <w:tcW w:w="1386"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内部流转（通过系统进行部门间核查，非纸质流转）（仅限本县核发的驾驶证，外地核发的驾驶证仍需当事人提交此证明）</w:t>
            </w:r>
            <w:r>
              <w:rPr>
                <w:rFonts w:hint="eastAsia" w:ascii="仿宋_GB2312" w:hAnsi="仿宋_GB2312" w:eastAsia="仿宋_GB2312" w:cs="仿宋_GB2312"/>
                <w:color w:val="auto"/>
              </w:rPr>
              <w:br w:type="textWrapping"/>
            </w:r>
          </w:p>
        </w:tc>
        <w:tc>
          <w:tcPr>
            <w:tcW w:w="1569"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2020年7月</w:t>
            </w:r>
          </w:p>
        </w:tc>
        <w:tc>
          <w:tcPr>
            <w:tcW w:w="103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19</w:t>
            </w:r>
          </w:p>
        </w:tc>
        <w:tc>
          <w:tcPr>
            <w:tcW w:w="1171"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安全驾驶经历证明</w:t>
            </w: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"https://baike.baidu.com/item/%E4%B8%AD%E5%8D%8E%E4%BA%BA%E6%B0%91%E5%85%B1%E5%92%8C%E5%9B%BD%E9%81%93%E8%B7%AF%E8%BF%90%E8%BE%93%E6%9D%A1%E4%BE%8B" \t "https://baike.baidu.com/item/_blank"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中华人民共和国道路运输条例</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》第三十七条　申请从事机动车维修经营的，应当具备下列条件：(一)有相应的机动车维修场地;(二)有必要的设备、设施和技术人员;(三)有健全的机动车维修管理制度;(四)有必要的环境保护措施。</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第三十八条　申请从事机动车驾驶员培训的，应当具备下列条件：(一)有健全的培训机构和管理制度;(二)有与培训业务相适应的教学人员、管理人员;(三)有必要的教学车辆和其他教学设施、设备、场地。</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第三十九条　申请从事道路运输站(场)经营、机动车维修经营和机动车驾驶员培训业务的，应当向所在地县级道路运输管理机构提出申请，并分别附送符合本条例第三十七条、第三十八条、第三十九条规定条件的相关材料。县级道路运输管理机构应当自受理申请之日起15日内审查完毕，作出许可或者不予许可的决定，并书面通知申请人。</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《机动车驾驶员培训管理规定》第十三条 申请从事机动车驾驶员培训经营的，应当依法向工商行政管理机关办理有关登记手续后，向所在地县级道路运输管理机构提出申请，并提交以下材料：    </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申请从事普通机动车驾驶员培训业务的，在递交申请材料时，应当同时提供由公安交警部门出具的相关人员安全驾驶经历证明，安全驾驶经历的起算时间自申请材料递交之日起倒计。</w:t>
            </w:r>
          </w:p>
          <w:p>
            <w:pPr>
              <w:rPr>
                <w:rFonts w:hint="eastAsia" w:ascii="仿宋_GB2312" w:hAnsi="仿宋_GB2312" w:eastAsia="仿宋_GB2312" w:cs="仿宋_GB2312"/>
                <w:color w:val="auto"/>
                <w:kern w:val="2"/>
                <w:sz w:val="21"/>
                <w:szCs w:val="24"/>
                <w:lang w:val="en-US" w:eastAsia="zh-CN" w:bidi="ar-SA"/>
              </w:rPr>
            </w:pPr>
          </w:p>
        </w:tc>
        <w:tc>
          <w:tcPr>
            <w:tcW w:w="107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063"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公安部门</w:t>
            </w:r>
          </w:p>
        </w:tc>
        <w:tc>
          <w:tcPr>
            <w:tcW w:w="231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机动车驾驶员培训许可</w:t>
            </w:r>
          </w:p>
        </w:tc>
        <w:tc>
          <w:tcPr>
            <w:tcW w:w="1386"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内部流转（通过系统进行部门间核查，非纸质流转）（仅限本县核发的驾驶证，外地核发的驾驶证仍需当事人提交此证明）</w:t>
            </w:r>
            <w:r>
              <w:rPr>
                <w:rFonts w:hint="eastAsia" w:ascii="仿宋_GB2312" w:hAnsi="仿宋_GB2312" w:eastAsia="仿宋_GB2312" w:cs="仿宋_GB2312"/>
                <w:color w:val="auto"/>
              </w:rPr>
              <w:br w:type="textWrapping"/>
            </w:r>
          </w:p>
        </w:tc>
        <w:tc>
          <w:tcPr>
            <w:tcW w:w="1569"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2020年7月</w:t>
            </w:r>
          </w:p>
        </w:tc>
        <w:tc>
          <w:tcPr>
            <w:tcW w:w="103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20</w:t>
            </w:r>
          </w:p>
        </w:tc>
        <w:tc>
          <w:tcPr>
            <w:tcW w:w="1171"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其他合法来源证明</w:t>
            </w: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《中华人民共和国森林法实施条例》第三十六条申请木材运输证，应当提交下列证明文件：（一）林木采伐许可证或者其他合法来源证明；</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 xml:space="preserve"> </w:t>
            </w:r>
          </w:p>
        </w:tc>
        <w:tc>
          <w:tcPr>
            <w:tcW w:w="107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行政审批服务局涉农事务窗口</w:t>
            </w:r>
          </w:p>
        </w:tc>
        <w:tc>
          <w:tcPr>
            <w:tcW w:w="1063"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乡镇和村委会</w:t>
            </w:r>
          </w:p>
        </w:tc>
        <w:tc>
          <w:tcPr>
            <w:tcW w:w="231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木材运输证核发</w:t>
            </w:r>
          </w:p>
        </w:tc>
        <w:tc>
          <w:tcPr>
            <w:tcW w:w="1386"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内部核查</w:t>
            </w:r>
          </w:p>
        </w:tc>
        <w:tc>
          <w:tcPr>
            <w:tcW w:w="1569"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2020年7月</w:t>
            </w:r>
          </w:p>
        </w:tc>
        <w:tc>
          <w:tcPr>
            <w:tcW w:w="103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pStyle w:val="4"/>
              <w:widowControl w:val="0"/>
              <w:adjustRightInd w:val="0"/>
              <w:spacing w:before="0" w:beforeAutospacing="0" w:after="0" w:afterAutospacing="0" w:line="44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21</w:t>
            </w:r>
          </w:p>
        </w:tc>
        <w:tc>
          <w:tcPr>
            <w:tcW w:w="1171"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房屋产权或租赁证明</w:t>
            </w:r>
          </w:p>
        </w:tc>
        <w:tc>
          <w:tcPr>
            <w:tcW w:w="3127"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《公共场所卫生管理条例》第二十五条： 公共场所卫生许可证应当载明编号、单位名称、法定代表人或者负责人、经营项目、经营场所地址、发证机关、发证时间、有效期限。</w:t>
            </w:r>
          </w:p>
        </w:tc>
        <w:tc>
          <w:tcPr>
            <w:tcW w:w="107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063"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汶上县自然资源和规划局</w:t>
            </w:r>
          </w:p>
        </w:tc>
        <w:tc>
          <w:tcPr>
            <w:tcW w:w="2318"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公共场所卫生许可</w:t>
            </w:r>
          </w:p>
        </w:tc>
        <w:tc>
          <w:tcPr>
            <w:tcW w:w="1386"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直接取消</w:t>
            </w:r>
          </w:p>
        </w:tc>
        <w:tc>
          <w:tcPr>
            <w:tcW w:w="1569"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2019年7月</w:t>
            </w:r>
          </w:p>
        </w:tc>
        <w:tc>
          <w:tcPr>
            <w:tcW w:w="103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color w:val="auto"/>
                <w:kern w:val="2"/>
                <w:sz w:val="21"/>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kern w:val="0"/>
          <w:sz w:val="32"/>
          <w:szCs w:val="32"/>
          <w:lang w:val="en-US" w:eastAsia="zh-CN"/>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73"/>
        <w:gridCol w:w="1605"/>
        <w:gridCol w:w="1020"/>
        <w:gridCol w:w="1005"/>
        <w:gridCol w:w="3000"/>
        <w:gridCol w:w="3285"/>
        <w:gridCol w:w="1215"/>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22</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发票丢失登报作废声明</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《国家税务总局关于被盗、丢失增值税专用发票的处理意见的通知》（ 国税函</w:t>
            </w:r>
          </w:p>
          <w:p>
            <w:pPr>
              <w:adjustRightInd w:val="0"/>
              <w:spacing w:line="440" w:lineRule="exact"/>
              <w:textAlignment w:val="center"/>
              <w:rPr>
                <w:rFonts w:hint="eastAsia" w:ascii="宋体" w:hAnsi="宋体" w:cs="宋体"/>
                <w:szCs w:val="21"/>
              </w:rPr>
            </w:pPr>
            <w:r>
              <w:rPr>
                <w:rFonts w:hint="eastAsia" w:ascii="宋体" w:hAnsi="宋体" w:cs="宋体"/>
                <w:szCs w:val="21"/>
              </w:rPr>
              <w:t>〔1995〕292号）</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纸媒</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使用发票的单位和个人发生发票丢失情形，应当于发现丢失当日书面报告税务机关，并登报声明作废，向税务机关提供刊登遗失声明的报刊版面。</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不再提交。取消登报要求。</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15" w:type="dxa"/>
            <w:noWrap w:val="0"/>
            <w:vAlign w:val="center"/>
          </w:tcPr>
          <w:p>
            <w:pPr>
              <w:adjustRightInd w:val="0"/>
              <w:spacing w:line="440" w:lineRule="exact"/>
              <w:jc w:val="center"/>
              <w:textAlignment w:val="center"/>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3</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税收票证遗失登报声明</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《税收票证管理办法》</w:t>
            </w:r>
          </w:p>
          <w:p>
            <w:pPr>
              <w:adjustRightInd w:val="0"/>
              <w:spacing w:line="440" w:lineRule="exact"/>
              <w:textAlignment w:val="center"/>
              <w:rPr>
                <w:rFonts w:hint="eastAsia" w:ascii="宋体" w:hAnsi="宋体" w:cs="宋体"/>
                <w:szCs w:val="21"/>
              </w:rPr>
            </w:pPr>
            <w:r>
              <w:rPr>
                <w:rFonts w:hint="eastAsia" w:ascii="宋体" w:hAnsi="宋体" w:cs="宋体"/>
                <w:szCs w:val="21"/>
              </w:rPr>
              <w:t>（国家税务总局令第28号）</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纸媒</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纳税人遗失已完税税收票证需要税务机关另行提供的，需提供原持有联次遗失登报声明。</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不再提交。取消登报要求。</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15" w:type="dxa"/>
            <w:vMerge w:val="restart"/>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24</w:t>
            </w:r>
          </w:p>
        </w:tc>
        <w:tc>
          <w:tcPr>
            <w:tcW w:w="873" w:type="dxa"/>
            <w:vMerge w:val="restart"/>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税务登记证件</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行政审批局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3.1 已办理税务登记或扣缴税款登记，但未办理文化事业建设费登记的缴纳人、扣缴人，在办理文化事业建设费缴费信息登记时，需提供税务登记证件。</w:t>
            </w:r>
          </w:p>
        </w:tc>
        <w:tc>
          <w:tcPr>
            <w:tcW w:w="3285" w:type="dxa"/>
            <w:vMerge w:val="restart"/>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不再提交。改为部门内部核查。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行政审批局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3.2 纳税人办理发票真伪鉴定时，需提供税务登记证件。</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行政审批局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3.3 纳税人办理印制有本单位名称发票手续时，需提供税务登记证件。</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《非居民承包工程作业和提供劳务税收管理暂行办法》</w:t>
            </w:r>
          </w:p>
          <w:p>
            <w:pPr>
              <w:adjustRightInd w:val="0"/>
              <w:spacing w:line="440" w:lineRule="exact"/>
              <w:textAlignment w:val="center"/>
              <w:rPr>
                <w:rFonts w:hint="eastAsia" w:ascii="宋体" w:hAnsi="宋体" w:cs="宋体"/>
                <w:szCs w:val="21"/>
              </w:rPr>
            </w:pPr>
            <w:r>
              <w:rPr>
                <w:rFonts w:hint="eastAsia" w:ascii="宋体" w:hAnsi="宋体" w:cs="宋体"/>
                <w:szCs w:val="21"/>
              </w:rPr>
              <w:t>（国家税务总局令第19号）</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行政审批局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3.4 境内机构和个人向非居民发包工程作业或劳务项目，自项目合同签订之日起30日内向主管税务机关报告时，需提供非居民的税务登记证。</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25</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营业执照</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《国家税务总局办公厅关于印发推进</w:t>
            </w:r>
            <w:r>
              <w:rPr>
                <w:rFonts w:ascii="宋体" w:hAnsi="宋体" w:cs="宋体"/>
                <w:szCs w:val="21"/>
              </w:rPr>
              <w:t>“</w:t>
            </w:r>
            <w:r>
              <w:rPr>
                <w:rFonts w:hint="eastAsia" w:ascii="宋体" w:hAnsi="宋体" w:cs="宋体"/>
                <w:szCs w:val="21"/>
              </w:rPr>
              <w:t>三证合一、一照一码</w:t>
            </w:r>
            <w:r>
              <w:rPr>
                <w:rFonts w:ascii="宋体" w:hAnsi="宋体" w:cs="宋体"/>
                <w:szCs w:val="21"/>
              </w:rPr>
              <w:t>”</w:t>
            </w:r>
            <w:r>
              <w:rPr>
                <w:rFonts w:hint="eastAsia" w:ascii="宋体" w:hAnsi="宋体" w:cs="宋体"/>
                <w:szCs w:val="21"/>
              </w:rPr>
              <w:t>登记制度改革相关培训资料的通知》(税总办函〔</w:t>
            </w:r>
            <w:r>
              <w:rPr>
                <w:rFonts w:ascii="宋体" w:hAnsi="宋体" w:cs="宋体"/>
                <w:szCs w:val="21"/>
              </w:rPr>
              <w:t>2015</w:t>
            </w:r>
            <w:r>
              <w:rPr>
                <w:rFonts w:hint="eastAsia" w:ascii="宋体" w:hAnsi="宋体" w:cs="宋体"/>
                <w:szCs w:val="21"/>
              </w:rPr>
              <w:t>〕</w:t>
            </w:r>
            <w:r>
              <w:rPr>
                <w:rFonts w:ascii="宋体" w:hAnsi="宋体" w:cs="宋体"/>
                <w:szCs w:val="21"/>
              </w:rPr>
              <w:t>1089</w:t>
            </w:r>
            <w:r>
              <w:rPr>
                <w:rFonts w:hint="eastAsia" w:ascii="宋体" w:hAnsi="宋体" w:cs="宋体"/>
                <w:szCs w:val="21"/>
              </w:rPr>
              <w:t>号)</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行政审批局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纳税人在市场监管部门办理变更登记后，向原税务登记机关申报办理变更税务登记时，需提供营业执照。</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不再提交。通过部门间信息共享替代。</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vMerge w:val="restart"/>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26</w:t>
            </w:r>
          </w:p>
        </w:tc>
        <w:tc>
          <w:tcPr>
            <w:tcW w:w="873" w:type="dxa"/>
            <w:vMerge w:val="restart"/>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组织机构代码证</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市场监管局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5.1 企业、农民专业合作社及个体工商户在办理税务登记事项时，需提供组织机构代码证。</w:t>
            </w:r>
          </w:p>
        </w:tc>
        <w:tc>
          <w:tcPr>
            <w:tcW w:w="3285" w:type="dxa"/>
            <w:vMerge w:val="restart"/>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不再提交。通过部门间信息共享替代。</w:t>
            </w:r>
          </w:p>
        </w:tc>
        <w:tc>
          <w:tcPr>
            <w:tcW w:w="1215" w:type="dxa"/>
            <w:vMerge w:val="restart"/>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市场监管局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5.2 有组织机构代码证的企事业单位、社会团体等申请车船税退抵税时，需提供组织机构代码证。</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27</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投资、联营双方资质证明</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《财政部 国家税务总局关于企业改制重组有关土地增值税政策的通知》</w:t>
            </w:r>
          </w:p>
          <w:p>
            <w:pPr>
              <w:adjustRightInd w:val="0"/>
              <w:spacing w:line="440" w:lineRule="exact"/>
              <w:textAlignment w:val="center"/>
              <w:rPr>
                <w:rFonts w:hint="eastAsia" w:ascii="宋体" w:hAnsi="宋体" w:cs="宋体"/>
                <w:szCs w:val="21"/>
              </w:rPr>
            </w:pPr>
            <w:r>
              <w:rPr>
                <w:rFonts w:hint="eastAsia" w:ascii="宋体" w:hAnsi="宋体" w:cs="宋体"/>
                <w:szCs w:val="21"/>
              </w:rPr>
              <w:t>（财税〔2015〕5号）</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县级以上人民政府相关部门</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企业因改制、资产整合，办理免征土地增值税核准时，需提供投资、联营双方的资质证明。</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不再提交。改为纳税人自行留存备查。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28</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旧房转为改造安置住房的证明材料</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县级以上人民政府相关部门</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企事业单位、社会团体以及其他组织转让旧房作为保障性住房且增值额未超过扣除项目金额20%，办理免征土地增值税备案时，需提供政府部门将有关旧房转为改造安置住房的证明材料。</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不再提交。改为纳税人自行留存备查。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29</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开发立项证明</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发改</w:t>
            </w:r>
          </w:p>
          <w:p>
            <w:pPr>
              <w:adjustRightInd w:val="0"/>
              <w:spacing w:line="440" w:lineRule="exact"/>
              <w:textAlignment w:val="center"/>
              <w:rPr>
                <w:rFonts w:hint="eastAsia" w:ascii="宋体" w:hAnsi="宋体" w:cs="宋体"/>
                <w:szCs w:val="21"/>
              </w:rPr>
            </w:pPr>
            <w:r>
              <w:rPr>
                <w:rFonts w:hint="eastAsia" w:ascii="宋体" w:hAnsi="宋体" w:cs="宋体"/>
                <w:szCs w:val="21"/>
              </w:rPr>
              <w:t>部门</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纳税人建造普通标准住宅出售且增值率不超过20%，办理免征土地增值税核准时，需提供开发立项证明。</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不再提交。改为纳税人自行留存备查。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30</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软件产品、动漫软件检测证明材料</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《财政部</w:t>
            </w:r>
            <w:r>
              <w:rPr>
                <w:rFonts w:ascii="宋体" w:hAnsi="宋体" w:cs="宋体"/>
                <w:szCs w:val="21"/>
              </w:rPr>
              <w:t xml:space="preserve"> </w:t>
            </w:r>
            <w:r>
              <w:rPr>
                <w:rFonts w:hint="eastAsia" w:ascii="宋体" w:hAnsi="宋体" w:cs="宋体"/>
                <w:szCs w:val="21"/>
              </w:rPr>
              <w:t>国家税务总局关于软件产品增值税政策的通知》（财税〔</w:t>
            </w:r>
            <w:r>
              <w:rPr>
                <w:rFonts w:ascii="宋体" w:hAnsi="宋体" w:cs="宋体"/>
                <w:szCs w:val="21"/>
              </w:rPr>
              <w:t>2011</w:t>
            </w:r>
            <w:r>
              <w:rPr>
                <w:rFonts w:hint="eastAsia" w:ascii="宋体" w:hAnsi="宋体" w:cs="宋体"/>
                <w:szCs w:val="21"/>
              </w:rPr>
              <w:t>〕</w:t>
            </w:r>
            <w:r>
              <w:rPr>
                <w:rFonts w:ascii="宋体" w:hAnsi="宋体" w:cs="宋体"/>
                <w:szCs w:val="21"/>
              </w:rPr>
              <w:t>100</w:t>
            </w:r>
            <w:r>
              <w:rPr>
                <w:rFonts w:hint="eastAsia" w:ascii="宋体" w:hAnsi="宋体" w:cs="宋体"/>
                <w:szCs w:val="21"/>
              </w:rPr>
              <w:t>号）</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省级软件产业主管部门认可的软件检测机构</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纳税人办理软件产品、动漫软件增值税即征即退手续时，需提供省级软件产业主管部门认可的软件检测机构出具的检测证明材料。</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不再提交。主管税务机关应加强后续管理，必要时可委托第三方检测机构对产品进行检测，一经发现不符合免税条件的，应及时纠正并依法处理。</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31</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有机肥产品质量技术检测合格报告</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《财政部　国家税务总局关于有机肥产品免征增值税的通知》(财税〔2008〕56号)</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肥料产品质量检验机构</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纳税人办理生产销售和批发、零售有机肥产品免征增值税备案时，需提供通过相关资质认定的肥料产品质量检验机构一年内出具的有机肥产品质量技术检测合格报告。</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不再提交。有机肥产品应当符合有关国家标准、行业标准。主管税务机关应加强后续管理，必要时可委托第三方检测机构对产品进行检测，一经发现不符合免税条件的，应及时纠正并依法处理。</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32</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有机肥产品外省备案证明</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《财政部　国家税务总局关于有机肥产品免征增值税的通知》(财税〔2008〕56号)</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销售使用地省级农业行政主管部门</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纳税人办理生产销售和批发、零售有机肥产品免征增值税备案，在省、自治区、直辖市外销售有机肥产品的，需提供在销售使用地省级农业行政主管部门办理备案的证明。</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33</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滴灌带和滴灌管产品质量技术检测合格报告</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《财政部　国家税务总局关于免征滴灌带和滴灌管产品增值税的通知》</w:t>
            </w:r>
          </w:p>
          <w:p>
            <w:pPr>
              <w:adjustRightInd w:val="0"/>
              <w:spacing w:line="440" w:lineRule="exact"/>
              <w:textAlignment w:val="center"/>
              <w:rPr>
                <w:rFonts w:hint="eastAsia" w:ascii="宋体" w:hAnsi="宋体" w:cs="宋体"/>
                <w:szCs w:val="21"/>
              </w:rPr>
            </w:pPr>
            <w:r>
              <w:rPr>
                <w:rFonts w:hint="eastAsia" w:ascii="宋体" w:hAnsi="宋体" w:cs="宋体"/>
                <w:szCs w:val="21"/>
              </w:rPr>
              <w:t>（财税〔2007〕83号）</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通过省以上质量技术监督部门的相关资质认定的产品质量检验机构</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纳税人办理生产、批发和零售滴灌带和滴灌管产品免征增值税备案时，需提供通过省以上质量技术监督部门的相关资质认定的产品质量检验机构出具的质量技术检测合格报告。</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不再提交。滴灌带和滴灌管产品应当符合国家有关质量技术标准。主管税务机关应加强后续管理，必要时可委托第三方检测机构对产品进行检测，一经发现不符合免税条件的，应及时纠正并依法处理。</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34</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补办车辆购置税完税证明相关材料</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出厂检测部、公安机关交通管理部门、公安局、工商局、市场监管局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车辆购置税完税证明发生丢失损毁，办理车辆购置税完税证明补发时，根据不同情形，需提供车辆合格证明、机动车行驶证、机动车登记证书、居民身份证或者居民户口簿或者军人（含武警）身份证明、香港、澳门特别行政区、台湾地区居民或外国人入境的身份证明和居住证明、组织机构代码证或者税务登记证件或者其他有效机构证明、车辆购置税完税凭证收据联。</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根据2019年7月1日起施行的《中华人民共和国车辆购置税法》，自2019年7月1日起，全面实现车辆购置税电子完税信息部门间信息共享。纳税人办理车辆购置税有关纳税业务以及在公安机关交通管理部门办理车辆注册登记，不再需要提供纸质车辆购置税完税证明。据此，纳税人车辆购置税完税证明发生丢失损毁的，已无补办必要。</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15" w:type="dxa"/>
            <w:vMerge w:val="restart"/>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35</w:t>
            </w:r>
          </w:p>
        </w:tc>
        <w:tc>
          <w:tcPr>
            <w:tcW w:w="873" w:type="dxa"/>
            <w:vMerge w:val="restart"/>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占用耕地证明</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《国家税务总局关于发布&lt;耕地占用税管理规程（试行）&gt;的公告》</w:t>
            </w:r>
          </w:p>
          <w:p>
            <w:pPr>
              <w:adjustRightInd w:val="0"/>
              <w:spacing w:line="440" w:lineRule="exact"/>
              <w:textAlignment w:val="center"/>
              <w:rPr>
                <w:rFonts w:hint="eastAsia" w:ascii="宋体" w:hAnsi="宋体" w:cs="宋体"/>
                <w:szCs w:val="21"/>
              </w:rPr>
            </w:pPr>
            <w:r>
              <w:rPr>
                <w:rFonts w:hint="eastAsia" w:ascii="宋体" w:hAnsi="宋体" w:cs="宋体"/>
                <w:szCs w:val="21"/>
              </w:rPr>
              <w:t>（国家税务总局公告2016年第2号）</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自然资源规划局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14.1 纳税人占用耕地建设铁路线路、公路线路、飞机场跑道、停机坪、港口、航道等交通运输设施，办理减征耕地占用税备案时，需提供交通运输设施占用耕地证明。</w:t>
            </w:r>
          </w:p>
        </w:tc>
        <w:tc>
          <w:tcPr>
            <w:tcW w:w="3285" w:type="dxa"/>
            <w:vMerge w:val="restart"/>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根据《国家税务总局关于城镇土地使用税等“六税一费”优惠事项资料留存备查的公告》（国家税务总局公告2019年第21号），自2019年5月28日起，纳税人享受该项税收优惠方式由备案改为直接申报享受。纳税人根据政策规定自行判断是否符合优惠条件，符合条件的，申报时无需向税务机关提供有关资料，可直接享受税收优惠，并将有关资料自行留存备查。</w:t>
            </w:r>
          </w:p>
        </w:tc>
        <w:tc>
          <w:tcPr>
            <w:tcW w:w="1215" w:type="dxa"/>
            <w:vMerge w:val="restart"/>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vMerge w:val="restart"/>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《国家税务总局关于发布&lt;耕地占用税管理规程（试行）&gt;的公告》（国家税务总局公告2016年第2号）</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自然资源规划局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14.2 纳税人占用耕地建设军事设施，办理免征耕地占用税备案时，需提供军事设施占用耕地证明。</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c>
          <w:tcPr>
            <w:tcW w:w="402"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《国家税务总局关于发布&lt;耕地占用税管理规程（试行）&gt;的公告》</w:t>
            </w:r>
          </w:p>
          <w:p>
            <w:pPr>
              <w:adjustRightInd w:val="0"/>
              <w:spacing w:line="440" w:lineRule="exact"/>
              <w:textAlignment w:val="center"/>
              <w:rPr>
                <w:rFonts w:hint="eastAsia" w:ascii="宋体" w:hAnsi="宋体" w:cs="宋体"/>
                <w:szCs w:val="21"/>
              </w:rPr>
            </w:pPr>
            <w:r>
              <w:rPr>
                <w:rFonts w:hint="eastAsia" w:ascii="宋体" w:hAnsi="宋体" w:cs="宋体"/>
                <w:szCs w:val="21"/>
              </w:rPr>
              <w:t>（国家税务总局公告2016年第2号）</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自然资源规划局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14.3 农村居民占用耕地新建住宅，办理减证耕地占用税备案时，需提供农村居民新建住宅占用耕地证明。</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c>
          <w:tcPr>
            <w:tcW w:w="402"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《国家税务总局关于发布&lt;耕地占用税管理规程（试行）&gt;的公告》</w:t>
            </w:r>
          </w:p>
          <w:p>
            <w:pPr>
              <w:adjustRightInd w:val="0"/>
              <w:spacing w:line="440" w:lineRule="exact"/>
              <w:textAlignment w:val="center"/>
              <w:rPr>
                <w:rFonts w:hint="eastAsia" w:ascii="宋体" w:hAnsi="宋体" w:cs="宋体"/>
                <w:szCs w:val="21"/>
              </w:rPr>
            </w:pPr>
            <w:r>
              <w:rPr>
                <w:rFonts w:hint="eastAsia" w:ascii="宋体" w:hAnsi="宋体" w:cs="宋体"/>
                <w:szCs w:val="21"/>
              </w:rPr>
              <w:t>（国家税务总局公告2016年第2号）</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自然资源规划局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14.4 纳税人占用耕地建设学校、幼儿园、养老院、医院，办理免征耕地占用税备案时，需要提交学校、幼儿园、养老院、医院占用耕地证明。</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c>
          <w:tcPr>
            <w:tcW w:w="402"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36</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公共交通车船证明</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公安机关交通管理部门、交通局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纳税人办理公共交通车船减免车船税备案时，需提供单位证明、车船产权证（行驶证）和公共交通经营许可证明。</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根据《国家税务总局关于城镇土地使用税等“六税一费”优惠事项资料留存备查的公告》（国家税务总局公告2019年第21号），自2019年5月28日起，纳税人享受该项税收优惠方式由备案改为直接申报享受。纳税人根据政策规定自行判断是否符合优惠条件，符合条件的，申报时无需向税务机关提供有关资料，可直接享受税收优惠，并将有关资料自行留存备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37</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农村居民车船证明</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公安机关交通管理部门、公安局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纳税人办理农村居民拥有并主要在农村地区使用的摩托车、三轮汽车和低速载货汽车减免车船税备案时，需提供农村居民个人身份证明、户籍证明和车船产权证（行驶证）。</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根据《国家税务总局关于城镇土地使用税等“六税一费”优惠事项资料留存备查的公告》（国家税务总局公告2019年第21号），自2019年5月28日起，纳税人享受该项税收优惠方式由备案改为直接申报享受。纳税人根据政策规定自行判断是否符合优惠条件，符合条件的，申报时无需向税务机关提供有关资料，可直接享受税收优惠，并将有关资料自行留存备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715" w:type="dxa"/>
            <w:vMerge w:val="restart"/>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38</w:t>
            </w:r>
          </w:p>
        </w:tc>
        <w:tc>
          <w:tcPr>
            <w:tcW w:w="873" w:type="dxa"/>
            <w:vMerge w:val="restart"/>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单位性质、个人身份证明</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《国家税务总局关于发布&lt;耕地占用税管理规程（试行）&gt;的公告》</w:t>
            </w:r>
          </w:p>
          <w:p>
            <w:pPr>
              <w:adjustRightInd w:val="0"/>
              <w:spacing w:line="440" w:lineRule="exact"/>
              <w:textAlignment w:val="center"/>
              <w:rPr>
                <w:rFonts w:hint="eastAsia" w:ascii="宋体" w:hAnsi="宋体" w:cs="宋体"/>
                <w:szCs w:val="21"/>
              </w:rPr>
            </w:pPr>
            <w:r>
              <w:rPr>
                <w:rFonts w:hint="eastAsia" w:ascii="宋体" w:hAnsi="宋体" w:cs="宋体"/>
                <w:szCs w:val="21"/>
              </w:rPr>
              <w:t>（国家税务总局公告2016年第2号）</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公安局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17.1 农村居民等困难群体办理减免耕地占用税备案时，需提供个人身份证明。</w:t>
            </w:r>
          </w:p>
        </w:tc>
        <w:tc>
          <w:tcPr>
            <w:tcW w:w="3285" w:type="dxa"/>
            <w:vMerge w:val="restart"/>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根据《国家税务总局关于城镇土地使用税等“六税一费”优惠事项资料留存备查的公告》（国家税务总局公告2019年第21号），自2019年5月28日起，纳税人享受该项税收优惠方式由备案改为直接申报享受。纳税人根据政策规定自行判断是否符合优惠条件，符合条件的，申报时无需向税务机关提供有关资料，可直接享受税收优惠，并将有关资料自行留存备查。</w:t>
            </w:r>
          </w:p>
        </w:tc>
        <w:tc>
          <w:tcPr>
            <w:tcW w:w="1215" w:type="dxa"/>
            <w:vMerge w:val="restart"/>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vMerge w:val="restart"/>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公安局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17.2 个人销售或购买住房，办理暂免征收印花税备案时，需提供个人身份证明。</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c>
          <w:tcPr>
            <w:tcW w:w="402"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公安局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17.3 纳税人办理个人出租、承租住房签订的租赁合同免征印花税备案时，需提供个人身份证明。</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c>
          <w:tcPr>
            <w:tcW w:w="402"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《财政部 国家税务总局关于棚户区改造有关税收政策的通知》</w:t>
            </w:r>
          </w:p>
          <w:p>
            <w:pPr>
              <w:adjustRightInd w:val="0"/>
              <w:spacing w:line="440" w:lineRule="exact"/>
              <w:textAlignment w:val="center"/>
              <w:rPr>
                <w:rFonts w:hint="eastAsia" w:ascii="宋体" w:hAnsi="宋体" w:cs="宋体"/>
                <w:szCs w:val="21"/>
              </w:rPr>
            </w:pPr>
            <w:r>
              <w:rPr>
                <w:rFonts w:hint="eastAsia" w:ascii="宋体" w:hAnsi="宋体" w:cs="宋体"/>
                <w:szCs w:val="21"/>
              </w:rPr>
              <w:t>（财税〔2013〕101号）</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公安局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17.4 纳税人办理免征改造安置住房经营管理单位、开发商与改造安置住房相关的印花税以及购买安置住房的个人涉及的印花税备案时，需提供安置住房购买人的个人身份证明。</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c>
          <w:tcPr>
            <w:tcW w:w="402"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公安局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17.5 房地产管理部门与个人订立的租房合同，用于生活居住的，办理免征印花税备案时，需提供租赁人个人身份证明。</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c>
          <w:tcPr>
            <w:tcW w:w="402"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中国银行业监督管理委员会、纳税人本单位</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17.6 纳税人办理外国政府或者国际金融组织向我国政府及国家金融机构提供优惠贷款所书立的合同免征印花税备案时，需提供国际金融组织和国家金融机构单位性质证明。</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c>
          <w:tcPr>
            <w:tcW w:w="402"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公安局、事业单位登记管理机关、纳税人本单位</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17.7 纳税人办理财产所有人将财产赠给政府、社会福利单位、学校所立的书据免征印花税备案时，需提供财产所有人身份证明、受赠单位性质证明。</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c>
          <w:tcPr>
            <w:tcW w:w="402"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行政审批局、公安局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17.8 纳税人办理无息、贴息贷款合同免征印花税备案时，需提供合同书立双方单位性质证明、个人身份证明。</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c>
          <w:tcPr>
            <w:tcW w:w="402"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行政审批局、公安局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17.9 纳税人办理农民专业合作社与本社成员签订的农业产品和农业生产资料购销合同免征印花税备案时，需提供合同书立双方单位性质证明、个人身份证明。</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c>
          <w:tcPr>
            <w:tcW w:w="402"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行政审批局、公安局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17.10 纳税人办理国家指定的收购部门与村民委员会、农民个人书立的农副产品收购合同免征印花税备案时，需提供合同书立双方的单位性质证明、个人身份证明。</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c>
          <w:tcPr>
            <w:tcW w:w="402"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纳税人本单位、公安局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17.11 纳税人办理公共租赁住房租赁双方签订租赁协议免征印花税备案时，需提供租赁双方单位性质证明、个人身份证明。</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c>
          <w:tcPr>
            <w:tcW w:w="402"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w:t>
            </w:r>
            <w:r>
              <w:rPr>
                <w:rFonts w:ascii="宋体" w:hAnsi="宋体" w:cs="宋体"/>
                <w:szCs w:val="21"/>
              </w:rPr>
              <w:t>财政部 国家税务总局关于继续实行农村饮水安全工程建设运营税收优惠政策的通知</w:t>
            </w:r>
            <w:r>
              <w:rPr>
                <w:rFonts w:hint="eastAsia" w:ascii="宋体" w:hAnsi="宋体" w:cs="宋体"/>
                <w:szCs w:val="21"/>
              </w:rPr>
              <w:t>》（</w:t>
            </w:r>
            <w:r>
              <w:rPr>
                <w:rFonts w:ascii="宋体" w:hAnsi="宋体" w:cs="宋体"/>
                <w:szCs w:val="21"/>
              </w:rPr>
              <w:t>财税〔2016〕19号</w:t>
            </w:r>
            <w:r>
              <w:rPr>
                <w:rFonts w:hint="eastAsia" w:ascii="宋体" w:hAnsi="宋体" w:cs="宋体"/>
                <w:szCs w:val="21"/>
              </w:rPr>
              <w:t>）</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行政审批局、</w:t>
            </w:r>
          </w:p>
          <w:p>
            <w:pPr>
              <w:adjustRightInd w:val="0"/>
              <w:spacing w:line="440" w:lineRule="exact"/>
              <w:textAlignment w:val="center"/>
              <w:rPr>
                <w:rFonts w:hint="eastAsia" w:ascii="宋体" w:hAnsi="宋体" w:cs="宋体"/>
                <w:szCs w:val="21"/>
              </w:rPr>
            </w:pPr>
            <w:r>
              <w:rPr>
                <w:rFonts w:hint="eastAsia" w:ascii="宋体" w:hAnsi="宋体" w:cs="宋体"/>
                <w:szCs w:val="21"/>
              </w:rPr>
              <w:t>公安局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17.12 纳税人办理农村饮水安全工程运营管理单位为建设农村饮水安全工程取得土地使用权而签订的产权转移书据，以及与施工单位签订的建设工程承包合同免征印花税备案时，需提供合同书立双方单位性质证明、个人身份证明。</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c>
          <w:tcPr>
            <w:tcW w:w="402" w:type="dxa"/>
            <w:vMerge w:val="continue"/>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39</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发行单位资格证明</w:t>
            </w:r>
          </w:p>
        </w:tc>
        <w:tc>
          <w:tcPr>
            <w:tcW w:w="1605" w:type="dxa"/>
            <w:tcBorders>
              <w:left w:val="nil"/>
            </w:tcBorders>
            <w:noWrap w:val="0"/>
            <w:vAlign w:val="center"/>
          </w:tcPr>
          <w:p>
            <w:pPr>
              <w:adjustRightInd w:val="0"/>
              <w:spacing w:line="440" w:lineRule="exact"/>
              <w:textAlignment w:val="center"/>
              <w:rPr>
                <w:rFonts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新闻出版行政主管部门</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纳税人办理各类发行单位之间，以及发行单位与订阅单位或个人之间书立的征订凭证免征印花税备案时，需提供发行单位资格相关证明。</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根据《国家税务总局关于城镇土地使用税等“六税一费”优惠事项资料留存备查的公告》（国家税务总局公告2019年第21号），自2019年5月28日起，纳税人享受该项税收优惠方式由备案改为直接申报享受。纳税人根据政策规定自行判断是否符合优惠条件，符合条件的，申报时无需向税务机关提供有关资料，可直接享受税收优惠，并将有关资料自行留存备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vMerge w:val="restart"/>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40</w:t>
            </w:r>
          </w:p>
        </w:tc>
        <w:tc>
          <w:tcPr>
            <w:tcW w:w="873" w:type="dxa"/>
            <w:vMerge w:val="restart"/>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不动产权属证明</w:t>
            </w:r>
          </w:p>
        </w:tc>
        <w:tc>
          <w:tcPr>
            <w:tcW w:w="1605" w:type="dxa"/>
            <w:tcBorders>
              <w:left w:val="nil"/>
            </w:tcBorders>
            <w:noWrap w:val="0"/>
            <w:vAlign w:val="center"/>
          </w:tcPr>
          <w:p>
            <w:pPr>
              <w:adjustRightInd w:val="0"/>
              <w:spacing w:line="440" w:lineRule="exact"/>
              <w:textAlignment w:val="center"/>
              <w:rPr>
                <w:rFonts w:ascii="宋体" w:hAnsi="宋体" w:cs="宋体"/>
                <w:szCs w:val="21"/>
              </w:rPr>
            </w:pPr>
            <w:r>
              <w:rPr>
                <w:rFonts w:hint="eastAsia" w:ascii="宋体" w:hAnsi="宋体" w:cs="宋体"/>
                <w:szCs w:val="21"/>
              </w:rPr>
              <w:t>《</w:t>
            </w:r>
            <w:r>
              <w:rPr>
                <w:rFonts w:ascii="宋体" w:hAnsi="宋体" w:cs="宋体"/>
                <w:szCs w:val="21"/>
              </w:rPr>
              <w:t>财政部 税务总局关于高校学生公寓房产税 印花税政策的通知</w:t>
            </w:r>
            <w:r>
              <w:rPr>
                <w:rFonts w:hint="eastAsia" w:ascii="宋体" w:hAnsi="宋体" w:cs="宋体"/>
                <w:szCs w:val="21"/>
              </w:rPr>
              <w:t>》</w:t>
            </w:r>
          </w:p>
          <w:p>
            <w:pPr>
              <w:adjustRightInd w:val="0"/>
              <w:spacing w:line="440" w:lineRule="exact"/>
              <w:textAlignment w:val="center"/>
              <w:rPr>
                <w:rFonts w:hint="eastAsia" w:ascii="宋体" w:hAnsi="宋体" w:cs="宋体"/>
                <w:szCs w:val="21"/>
              </w:rPr>
            </w:pPr>
            <w:r>
              <w:rPr>
                <w:rFonts w:hint="eastAsia" w:ascii="宋体" w:hAnsi="宋体" w:cs="宋体"/>
                <w:szCs w:val="21"/>
              </w:rPr>
              <w:t>（</w:t>
            </w:r>
            <w:r>
              <w:rPr>
                <w:rFonts w:ascii="宋体" w:hAnsi="宋体" w:cs="宋体"/>
                <w:szCs w:val="21"/>
              </w:rPr>
              <w:t>财税〔2019〕14号</w:t>
            </w:r>
            <w:r>
              <w:rPr>
                <w:rFonts w:hint="eastAsia" w:ascii="宋体" w:hAnsi="宋体" w:cs="宋体"/>
                <w:szCs w:val="21"/>
              </w:rPr>
              <w:t>）</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自然资源规划局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19.1 纳税人办理与高校学生签订的高校学生公寓租赁合同免征印花税备案时，需提供不动产权属证明。</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不再提交。根据《财政部 税务总局关于高校学生公寓房产税 印花税政策的通知》（财税〔2019〕14号），自2019年1月1日起，纳税人享受该项税收优惠方式由备案改为直接申报享受。纳税人根据政策规定自行判断是否符合优惠条件，符合条件的，申报时无需向税务机关提供有关资料，可直接享受税收优惠，并将有关资料自行留存备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自然资源规划局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19.2 企事业单位、社会团体、其他组织转让旧房作为公共租赁住房房源，且增值额未超过扣除项目金额20%的，办理免征土地增值税备案时，需提供不动产权属证明。</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不再提交。根据《财政部 税务总局关于公共租赁住房税收优惠政策的公告》（财政部 税务总局公告2019年第61号），自2019年1月1日起，纳税人享受该项税收优惠方式由备案改为直接申报享受。纳税人根据政策规定自行判断是否符合优惠条件，符合条件的，申报时无需向税务机关提供有关资料，可直接享受税收优惠，并将有关资料自行留存备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41</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土地用途、性质证明</w:t>
            </w:r>
          </w:p>
        </w:tc>
        <w:tc>
          <w:tcPr>
            <w:tcW w:w="1605" w:type="dxa"/>
            <w:tcBorders>
              <w:left w:val="nil"/>
            </w:tcBorders>
            <w:noWrap w:val="0"/>
            <w:vAlign w:val="center"/>
          </w:tcPr>
          <w:p>
            <w:pPr>
              <w:adjustRightInd w:val="0"/>
              <w:spacing w:line="440" w:lineRule="exact"/>
              <w:textAlignment w:val="center"/>
              <w:rPr>
                <w:rFonts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自然资源规划局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纳税人办理农村饮水安全工程承受土地使用权免征契税备案时，需提供土地用途证明、承受土地性质证明。</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不再提交。根据《财政部 税务总局关于继续实行农村饮水安全工程税收优惠政策的公告》（财政部 税务总局公告2019年第67号），自2019年1月1日起，纳税人享受该项税收优惠方式由备案改为直接申报享受。纳税人根据政策规定自行判断是否符合优惠条件，符合条件的，申报时无需向税务机关提供有关资料，可直接享受税收优惠，并将有关资料自行留存备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vMerge w:val="restart"/>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42</w:t>
            </w:r>
          </w:p>
        </w:tc>
        <w:tc>
          <w:tcPr>
            <w:tcW w:w="873" w:type="dxa"/>
            <w:vMerge w:val="restart"/>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改造安置住房、公共租赁住房证明</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人民政府、住建等相关部门</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21.1 纳税人办理免征改造安置住房经营管理单位、开发商与改造安置住房相关的印花税以及购买安置住房的个人涉及的印花税备案时，需提供改造安置住房相关材料。</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根据《国家税务总局关于城镇土地使用税等“六税一费”优惠事项资料留存备查的公告》（国家税务总局公告2019年第21号），自2019年5月28日起，纳税人享受该项税收优惠方式由备案改为直接申报享受。纳税人根据政策规定自行判断是否符合优惠条件，符合条件的，申报时无需向税务机关提供有关资料，可直接享受税收优惠，并将有关资料自行留存备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ascii="宋体" w:hAnsi="宋体" w:cs="宋体"/>
                <w:szCs w:val="21"/>
              </w:rPr>
            </w:pPr>
            <w:r>
              <w:rPr>
                <w:rFonts w:hint="eastAsia" w:ascii="宋体" w:hAnsi="宋体" w:cs="宋体"/>
                <w:szCs w:val="21"/>
              </w:rPr>
              <w:t>《</w:t>
            </w:r>
            <w:r>
              <w:rPr>
                <w:rFonts w:ascii="宋体" w:hAnsi="宋体" w:cs="宋体"/>
                <w:szCs w:val="21"/>
              </w:rPr>
              <w:t>财政部 国家税务总局关于公共租赁住房税收优惠政策的通知</w:t>
            </w:r>
            <w:r>
              <w:rPr>
                <w:rFonts w:hint="eastAsia" w:ascii="宋体" w:hAnsi="宋体" w:cs="宋体"/>
                <w:szCs w:val="21"/>
              </w:rPr>
              <w:t>》</w:t>
            </w:r>
          </w:p>
          <w:p>
            <w:pPr>
              <w:adjustRightInd w:val="0"/>
              <w:spacing w:line="440" w:lineRule="exact"/>
              <w:textAlignment w:val="center"/>
              <w:rPr>
                <w:rFonts w:hint="eastAsia" w:ascii="宋体" w:hAnsi="宋体" w:cs="宋体"/>
                <w:szCs w:val="21"/>
              </w:rPr>
            </w:pPr>
            <w:r>
              <w:rPr>
                <w:rFonts w:hint="eastAsia" w:ascii="宋体" w:hAnsi="宋体" w:cs="宋体"/>
                <w:szCs w:val="21"/>
              </w:rPr>
              <w:t>（</w:t>
            </w:r>
            <w:r>
              <w:rPr>
                <w:rFonts w:ascii="宋体" w:hAnsi="宋体" w:cs="宋体"/>
                <w:szCs w:val="21"/>
              </w:rPr>
              <w:t>财税〔2015〕139号</w:t>
            </w:r>
            <w:r>
              <w:rPr>
                <w:rFonts w:hint="eastAsia" w:ascii="宋体" w:hAnsi="宋体" w:cs="宋体"/>
                <w:szCs w:val="21"/>
              </w:rPr>
              <w:t>）</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住房保障管理部门</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21.2 纳税人办理免征公共租赁住房经营管理单位建设、管理、在其他住房项目中配套建设公共租赁住房涉及的印花税，以及购买住房作为公共租赁住房涉及的契税、印花税备案时，需提供公共租赁住房相关材料。</w:t>
            </w:r>
          </w:p>
        </w:tc>
        <w:tc>
          <w:tcPr>
            <w:tcW w:w="3285" w:type="dxa"/>
            <w:vMerge w:val="restart"/>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不再提交。根据《财政部 税务总局关于公共租赁住房税收优惠政策的公告》（财政部 税务总局公告2019年第61号），自2019年1月1日起，纳税人享受该项税收优惠方式由备案改为直接申报享受。纳税人根据政策规定自行判断是否符合优惠条件，符合条件的，申报时无需向税务机关提供有关资料，可直接享受税收优惠，并将有关资料自行留存备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vMerge w:val="continue"/>
            <w:noWrap w:val="0"/>
            <w:vAlign w:val="center"/>
          </w:tcPr>
          <w:p>
            <w:pPr>
              <w:adjustRightInd w:val="0"/>
              <w:spacing w:line="440" w:lineRule="exact"/>
              <w:jc w:val="center"/>
              <w:textAlignment w:val="center"/>
              <w:rPr>
                <w:rFonts w:hint="eastAsia" w:ascii="宋体" w:hAnsi="宋体" w:cs="宋体"/>
                <w:szCs w:val="21"/>
              </w:rPr>
            </w:pPr>
          </w:p>
        </w:tc>
        <w:tc>
          <w:tcPr>
            <w:tcW w:w="873"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住房保障管理部门</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21.3 企事业单位、社会团体、其他组织转让旧房作为公共租赁住房房源，且增值额未超过扣除项目金额20%的，办理免征土地增值税备案时，需提供公共租赁住房相关材料。</w:t>
            </w:r>
          </w:p>
        </w:tc>
        <w:tc>
          <w:tcPr>
            <w:tcW w:w="3285" w:type="dxa"/>
            <w:vMerge w:val="continue"/>
            <w:tcBorders>
              <w:left w:val="nil"/>
            </w:tcBorders>
            <w:noWrap w:val="0"/>
            <w:vAlign w:val="center"/>
          </w:tcPr>
          <w:p>
            <w:pPr>
              <w:adjustRightInd w:val="0"/>
              <w:spacing w:line="440" w:lineRule="exact"/>
              <w:textAlignment w:val="center"/>
              <w:rPr>
                <w:rFonts w:hint="eastAsia" w:ascii="宋体" w:hAnsi="宋体" w:cs="宋体"/>
                <w:szCs w:val="21"/>
              </w:rPr>
            </w:pP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43</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已缴纳印花税凭证</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纳税人办理已缴纳印花税的凭证的副本或者抄本免征印花税备案时，需提供已缴纳印花税的凭证。</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根据《国家税务总局关于城镇土地使用税等“六税一费”优惠事项资料留存备查的公告》（国家税务总局公告2019年第21号），自2019年5月28日起，纳税人享受该项税收优惠方式由备案改为直接申报享受。纳税人根据政策规定自行判断是否符合优惠条件，符合条件的，申报时无需向税务机关提供有关资料，可直接享受税收优惠，并将有关资料自行留存备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44</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撤销金融机构证明</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中国人民银行</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纳税人办理被撤销金融机构接收债权、清偿债务过程中签订的产权转移书据免征印花税备案时，需提供中国人民银行撤销该金融机构及分设于各地分支机构的证明材料。</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根据《国家税务总局关于城镇土地使用税等“六税一费”优惠事项资料留存备查的公告》（国家税务总局公告2019年第21号），自2019年5月28日起，纳税人享受该项税收优惠方式由备案改为直接申报享受。纳税人根据政策规定自行判断是否符合优惠条件，符合条件的，申报时无需向税务机关提供有关资料，可直接享受税收优惠，并将有关资料自行留存备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45</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改制证明</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县级以上人民政府及企业主管部门</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纳税人办理企业改制过程中按规定不再贴花的资金账簿、合同，以及因改制签订的产权转移书据免征印花税备案时，需提供企业改制的有关批准文件。</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根据《国家税务总局关于城镇土地使用税等“六税一费”优惠事项资料留存备查的公告》（国家税务总局公告2019年第21号），自2019年5月28日起，纳税人享受该项税收优惠方式由备案改为直接申报享受。纳税人根据政策规定自行判断是否符合优惠条件，符合条件的，申报时无需向税务机关提供有关资料，可直接享受税收优惠，并将有关资料自行留存备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5" w:type="dxa"/>
            <w:noWrap w:val="0"/>
            <w:vAlign w:val="center"/>
          </w:tcPr>
          <w:p>
            <w:pPr>
              <w:adjustRightInd w:val="0"/>
              <w:spacing w:line="44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46</w:t>
            </w:r>
          </w:p>
        </w:tc>
        <w:tc>
          <w:tcPr>
            <w:tcW w:w="873"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重大水利工程建设证明</w:t>
            </w:r>
          </w:p>
        </w:tc>
        <w:tc>
          <w:tcPr>
            <w:tcW w:w="16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《纳税服务规范》</w:t>
            </w:r>
          </w:p>
        </w:tc>
        <w:tc>
          <w:tcPr>
            <w:tcW w:w="102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税务局</w:t>
            </w:r>
          </w:p>
        </w:tc>
        <w:tc>
          <w:tcPr>
            <w:tcW w:w="100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水利</w:t>
            </w:r>
          </w:p>
          <w:p>
            <w:pPr>
              <w:adjustRightInd w:val="0"/>
              <w:spacing w:line="440" w:lineRule="exact"/>
              <w:textAlignment w:val="center"/>
              <w:rPr>
                <w:rFonts w:hint="eastAsia" w:ascii="宋体" w:hAnsi="宋体" w:cs="宋体"/>
                <w:szCs w:val="21"/>
              </w:rPr>
            </w:pPr>
            <w:r>
              <w:rPr>
                <w:rFonts w:hint="eastAsia" w:ascii="宋体" w:hAnsi="宋体" w:cs="宋体"/>
                <w:szCs w:val="21"/>
              </w:rPr>
              <w:t>部门</w:t>
            </w:r>
          </w:p>
        </w:tc>
        <w:tc>
          <w:tcPr>
            <w:tcW w:w="3000"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纳税人办理国家重大水利工程建设基金免征城市维护建设税和教育费附加备案时，需提供国家重大水利工程建设相关证明材料。</w:t>
            </w:r>
          </w:p>
        </w:tc>
        <w:tc>
          <w:tcPr>
            <w:tcW w:w="3285" w:type="dxa"/>
            <w:tcBorders>
              <w:left w:val="nil"/>
            </w:tcBorders>
            <w:noWrap w:val="0"/>
            <w:vAlign w:val="center"/>
          </w:tcPr>
          <w:p>
            <w:pPr>
              <w:adjustRightInd w:val="0"/>
              <w:spacing w:line="440" w:lineRule="exact"/>
              <w:textAlignment w:val="center"/>
              <w:rPr>
                <w:rFonts w:hint="eastAsia" w:ascii="宋体" w:hAnsi="宋体" w:cs="宋体"/>
                <w:szCs w:val="21"/>
              </w:rPr>
            </w:pPr>
            <w:r>
              <w:rPr>
                <w:rFonts w:hint="eastAsia" w:ascii="宋体" w:hAnsi="宋体" w:cs="宋体"/>
                <w:szCs w:val="21"/>
              </w:rPr>
              <w:t>不再提交。根据《国家税务总局关于城镇土地使用税等“六税一费”优惠事项资料留存备查的公告》（国家税务总局公告2019年第21号），自2019年5月28日起，纳税人享受该项税收优惠方式由备案改为直接申报享受。纳税人根据政策规定自行判断是否符合优惠条件，符合条件的，申报时无需向税务机关提供有关资料，可直接享受税收优惠，并将有关资料自行留存备查。</w:t>
            </w:r>
          </w:p>
        </w:tc>
        <w:tc>
          <w:tcPr>
            <w:tcW w:w="1215" w:type="dxa"/>
            <w:tcBorders>
              <w:left w:val="nil"/>
            </w:tcBorders>
            <w:noWrap w:val="0"/>
            <w:vAlign w:val="center"/>
          </w:tcPr>
          <w:p>
            <w:pPr>
              <w:adjustRightInd w:val="0"/>
              <w:spacing w:line="440" w:lineRule="exact"/>
              <w:jc w:val="center"/>
              <w:textAlignment w:val="center"/>
              <w:rPr>
                <w:rFonts w:hint="eastAsia" w:ascii="宋体" w:hAnsi="宋体" w:cs="宋体"/>
                <w:szCs w:val="21"/>
              </w:rPr>
            </w:pPr>
            <w:r>
              <w:rPr>
                <w:rFonts w:hint="eastAsia" w:ascii="宋体" w:hAnsi="宋体" w:cs="宋体"/>
                <w:szCs w:val="21"/>
              </w:rPr>
              <w:t>2019年7月24日</w:t>
            </w:r>
          </w:p>
        </w:tc>
        <w:tc>
          <w:tcPr>
            <w:tcW w:w="402" w:type="dxa"/>
            <w:tcBorders>
              <w:left w:val="nil"/>
            </w:tcBorders>
            <w:noWrap w:val="0"/>
            <w:vAlign w:val="center"/>
          </w:tcPr>
          <w:p>
            <w:pPr>
              <w:adjustRightInd w:val="0"/>
              <w:spacing w:line="440" w:lineRule="exact"/>
              <w:jc w:val="center"/>
              <w:textAlignment w:val="center"/>
              <w:rPr>
                <w:rFonts w:hint="eastAsia" w:ascii="宋体" w:hAnsi="宋体" w:cs="宋体"/>
                <w:szCs w:val="21"/>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kern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076FE"/>
    <w:rsid w:val="11116EA6"/>
    <w:rsid w:val="114C4B43"/>
    <w:rsid w:val="16BA6A8F"/>
    <w:rsid w:val="24C63D8E"/>
    <w:rsid w:val="271C588B"/>
    <w:rsid w:val="27365D9C"/>
    <w:rsid w:val="478A7C71"/>
    <w:rsid w:val="4D202ECB"/>
    <w:rsid w:val="6D923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普通(网站)1"/>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2020-08-03T09:01:47Z</cp:lastPrinted>
  <dcterms:modified xsi:type="dcterms:W3CDTF">2020-08-03T09:19:37Z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