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ACEB1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2023年度汶上县残疾儿童康复项目</w:t>
      </w:r>
    </w:p>
    <w:p w14:paraId="194D0277"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绩效评价报告</w:t>
      </w:r>
    </w:p>
    <w:p w14:paraId="380B0433">
      <w:pPr>
        <w:spacing w:line="600" w:lineRule="exact"/>
        <w:rPr>
          <w:rFonts w:ascii="Times New Roman" w:hAnsi="Times New Roman" w:eastAsia="楷体_GB2312" w:cs="楷体_GB2312"/>
          <w:sz w:val="32"/>
          <w:szCs w:val="40"/>
        </w:rPr>
      </w:pPr>
    </w:p>
    <w:p w14:paraId="78420FB2">
      <w:pPr>
        <w:spacing w:line="600" w:lineRule="exact"/>
        <w:ind w:firstLine="640" w:firstLineChars="200"/>
        <w:outlineLvl w:val="0"/>
        <w:rPr>
          <w:rFonts w:ascii="Times New Roman" w:hAnsi="Times New Roman" w:eastAsia="黑体" w:cs="黑体"/>
          <w:sz w:val="32"/>
          <w:szCs w:val="40"/>
        </w:rPr>
      </w:pPr>
      <w:bookmarkStart w:id="0" w:name="_Toc997"/>
      <w:bookmarkStart w:id="1" w:name="_Toc15957"/>
      <w:bookmarkStart w:id="2" w:name="_Toc15539"/>
      <w:bookmarkStart w:id="3" w:name="_Toc16102"/>
      <w:bookmarkStart w:id="4" w:name="_Toc10511"/>
      <w:bookmarkStart w:id="5" w:name="_Toc24988"/>
      <w:r>
        <w:rPr>
          <w:rFonts w:hint="eastAsia" w:ascii="Times New Roman" w:hAnsi="Times New Roman" w:eastAsia="黑体" w:cs="黑体"/>
          <w:sz w:val="32"/>
          <w:szCs w:val="40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 w14:paraId="5D604A04">
      <w:pPr>
        <w:spacing w:line="600" w:lineRule="exact"/>
        <w:ind w:firstLine="640" w:firstLineChars="200"/>
        <w:outlineLvl w:val="1"/>
        <w:rPr>
          <w:rFonts w:ascii="Times New Roman" w:hAnsi="Times New Roman" w:eastAsia="楷体_GB2312" w:cs="楷体_GB2312"/>
          <w:sz w:val="32"/>
          <w:szCs w:val="40"/>
        </w:rPr>
      </w:pPr>
      <w:bookmarkStart w:id="6" w:name="_Toc24331"/>
      <w:bookmarkStart w:id="7" w:name="_Toc17137"/>
      <w:bookmarkStart w:id="8" w:name="_Toc13773"/>
      <w:bookmarkStart w:id="9" w:name="_Toc12517"/>
      <w:bookmarkStart w:id="10" w:name="_Toc22041"/>
      <w:bookmarkStart w:id="11" w:name="_Toc27075"/>
      <w:bookmarkStart w:id="12" w:name="_Toc16197"/>
      <w:bookmarkStart w:id="13" w:name="_Toc13187"/>
      <w:r>
        <w:rPr>
          <w:rFonts w:hint="eastAsia" w:ascii="Times New Roman" w:hAnsi="Times New Roman" w:eastAsia="楷体_GB2312" w:cs="楷体_GB2312"/>
          <w:sz w:val="32"/>
          <w:szCs w:val="40"/>
        </w:rPr>
        <w:t>（一）项目概况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0ABA49D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汶上县残疾人联合会（以下简称“县残联”）根据济宁市人民政府《印发关于建立残疾儿童康复补助制度的实施意见的通知》（济政发〔2018〕22号）要求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，开展残疾儿童康复项目（以下简称“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康复项目</w:t>
      </w:r>
      <w:r>
        <w:rPr>
          <w:rFonts w:hint="eastAsia" w:ascii="Times New Roman" w:hAnsi="Times New Roman" w:eastAsia="仿宋_GB2312" w:cs="仿宋_GB2312"/>
          <w:sz w:val="32"/>
          <w:szCs w:val="40"/>
        </w:rPr>
        <w:t>”），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采用机构内集中康复救助服务、“机构+社区+家庭”康复救助服务2种模式，开展0-17岁残疾儿童基本康复救助服务工作，达到保障残疾儿童基本权益，促进社会和谐公平，提高受助残疾儿童生活自理和社会参与能力的效果。</w:t>
      </w:r>
    </w:p>
    <w:p w14:paraId="2C7DA251">
      <w:pPr>
        <w:spacing w:line="600" w:lineRule="exact"/>
        <w:ind w:firstLine="640" w:firstLineChars="200"/>
        <w:outlineLvl w:val="1"/>
        <w:rPr>
          <w:rFonts w:hint="eastAsia" w:ascii="Times New Roman" w:hAnsi="Times New Roman" w:eastAsia="楷体_GB2312" w:cs="楷体_GB2312"/>
          <w:sz w:val="32"/>
          <w:szCs w:val="40"/>
        </w:rPr>
      </w:pPr>
      <w:r>
        <w:rPr>
          <w:rFonts w:hint="eastAsia" w:ascii="Times New Roman" w:hAnsi="Times New Roman" w:eastAsia="楷体_GB2312" w:cs="楷体_GB2312"/>
          <w:sz w:val="32"/>
          <w:szCs w:val="40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  <w:szCs w:val="40"/>
          <w:lang w:eastAsia="zh-CN"/>
        </w:rPr>
        <w:t>）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项目预算安排和支出情况</w:t>
      </w:r>
    </w:p>
    <w:p w14:paraId="1FB7DE2D"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2023年康复项目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全年预算数为664.63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全年执行数664.63万元，项目资金</w:t>
      </w:r>
      <w:r>
        <w:rPr>
          <w:rFonts w:hint="eastAsia" w:ascii="Times New Roman" w:hAnsi="Times New Roman" w:eastAsia="仿宋_GB2312" w:cs="仿宋_GB2312"/>
          <w:sz w:val="32"/>
          <w:szCs w:val="40"/>
        </w:rPr>
        <w:t>均来源于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一般公共预算。康复项目2023年支出430.75万元，剩余233.88万元2024年支出，资金均用于残疾儿童基本康复救助补助工作。</w:t>
      </w:r>
    </w:p>
    <w:p w14:paraId="6D32D517">
      <w:pPr>
        <w:spacing w:line="600" w:lineRule="exact"/>
        <w:ind w:firstLine="640" w:firstLineChars="200"/>
        <w:outlineLvl w:val="1"/>
        <w:rPr>
          <w:rFonts w:hint="eastAsia" w:ascii="Times New Roman" w:hAnsi="Times New Roman" w:eastAsia="楷体_GB2312" w:cs="楷体_GB2312"/>
          <w:sz w:val="32"/>
          <w:szCs w:val="40"/>
          <w:lang w:eastAsia="zh-CN"/>
        </w:rPr>
      </w:pPr>
      <w:bookmarkStart w:id="14" w:name="_Toc23999"/>
      <w:bookmarkStart w:id="15" w:name="_Toc75"/>
      <w:bookmarkStart w:id="16" w:name="_Toc5068"/>
      <w:bookmarkStart w:id="17" w:name="_Toc14446"/>
      <w:bookmarkStart w:id="18" w:name="_Toc25286"/>
      <w:bookmarkStart w:id="19" w:name="_Toc24924"/>
      <w:bookmarkStart w:id="20" w:name="_Toc8293"/>
      <w:bookmarkStart w:id="21" w:name="_Toc20157"/>
      <w:r>
        <w:rPr>
          <w:rFonts w:hint="eastAsia" w:ascii="Times New Roman" w:hAnsi="Times New Roman" w:eastAsia="楷体_GB2312" w:cs="楷体_GB2312"/>
          <w:sz w:val="32"/>
          <w:szCs w:val="40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sz w:val="32"/>
          <w:szCs w:val="40"/>
          <w:lang w:eastAsia="zh-CN"/>
        </w:rPr>
        <w:t>）项目绩效目标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5B5F752">
      <w:pPr>
        <w:keepNext/>
        <w:spacing w:line="600" w:lineRule="exact"/>
        <w:ind w:firstLine="640" w:firstLineChars="200"/>
        <w:outlineLvl w:val="2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1.总体目标</w:t>
      </w:r>
    </w:p>
    <w:p w14:paraId="61C633A0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县残联积极</w:t>
      </w:r>
      <w:r>
        <w:rPr>
          <w:rFonts w:hint="eastAsia" w:ascii="Times New Roman" w:hAnsi="Times New Roman" w:eastAsia="仿宋_GB2312" w:cs="仿宋_GB2312"/>
          <w:sz w:val="32"/>
          <w:szCs w:val="40"/>
        </w:rPr>
        <w:t>构建与全面建成小康社会相适应的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残疾儿童</w:t>
      </w:r>
      <w:r>
        <w:rPr>
          <w:rFonts w:hint="eastAsia" w:ascii="Times New Roman" w:hAnsi="Times New Roman" w:eastAsia="仿宋_GB2312" w:cs="仿宋_GB2312"/>
          <w:sz w:val="32"/>
          <w:szCs w:val="40"/>
        </w:rPr>
        <w:t>康复救助制度体系，确保残疾儿童康复服务全面覆盖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发现一例，申请一例，救助一例，进一步</w:t>
      </w:r>
      <w:r>
        <w:rPr>
          <w:rFonts w:hint="eastAsia" w:ascii="Times New Roman" w:hAnsi="Times New Roman" w:eastAsia="仿宋_GB2312" w:cs="仿宋_GB2312"/>
          <w:sz w:val="32"/>
          <w:szCs w:val="40"/>
        </w:rPr>
        <w:t>提高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残疾儿童</w:t>
      </w:r>
      <w:r>
        <w:rPr>
          <w:rFonts w:hint="eastAsia" w:ascii="Times New Roman" w:hAnsi="Times New Roman" w:eastAsia="仿宋_GB2312" w:cs="仿宋_GB2312"/>
          <w:sz w:val="32"/>
          <w:szCs w:val="40"/>
        </w:rPr>
        <w:t>生活自理能力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生活质量和</w:t>
      </w:r>
      <w:r>
        <w:rPr>
          <w:rFonts w:hint="eastAsia" w:ascii="Times New Roman" w:hAnsi="Times New Roman" w:eastAsia="仿宋_GB2312" w:cs="仿宋_GB2312"/>
          <w:sz w:val="32"/>
          <w:szCs w:val="40"/>
        </w:rPr>
        <w:t>社会参与能力。</w:t>
      </w:r>
    </w:p>
    <w:p w14:paraId="1CD3C9C9">
      <w:pPr>
        <w:keepNext/>
        <w:spacing w:line="600" w:lineRule="exact"/>
        <w:ind w:firstLine="640" w:firstLineChars="200"/>
        <w:outlineLvl w:val="2"/>
        <w:rPr>
          <w:rFonts w:hint="default" w:ascii="Times New Roman" w:hAnsi="Times New Roman" w:eastAsia="仿宋_GB2312" w:cs="仿宋_GB2312"/>
          <w:sz w:val="32"/>
          <w:szCs w:val="40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2.年度目标</w:t>
      </w:r>
    </w:p>
    <w:p w14:paraId="4F346189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2023年县残联投入预算资金664.63万元，预计机构内集中康复救助残疾儿童380人以上，机构+社区+家庭康复救助残疾儿童150人以上，达到保障残疾儿童基本权益，促进社会和谐公平，提高受助残疾儿童生活自理和社会参与能力的效果。</w:t>
      </w:r>
    </w:p>
    <w:p w14:paraId="3CF7700F">
      <w:pPr>
        <w:spacing w:before="120" w:beforeLines="50" w:line="600" w:lineRule="exact"/>
        <w:ind w:firstLine="640" w:firstLineChars="200"/>
        <w:outlineLvl w:val="0"/>
        <w:rPr>
          <w:rFonts w:ascii="Times New Roman" w:hAnsi="Times New Roman" w:eastAsia="黑体" w:cs="黑体"/>
          <w:sz w:val="32"/>
          <w:szCs w:val="40"/>
        </w:rPr>
      </w:pPr>
      <w:bookmarkStart w:id="22" w:name="_Toc30544"/>
      <w:bookmarkStart w:id="23" w:name="_Toc26928"/>
      <w:bookmarkStart w:id="24" w:name="_Toc28568"/>
      <w:bookmarkStart w:id="25" w:name="_Toc13370"/>
      <w:bookmarkStart w:id="26" w:name="_Toc8842"/>
      <w:bookmarkStart w:id="27" w:name="_Toc3070"/>
      <w:r>
        <w:rPr>
          <w:rFonts w:hint="eastAsia" w:ascii="Times New Roman" w:hAnsi="Times New Roman" w:eastAsia="黑体" w:cs="黑体"/>
          <w:sz w:val="32"/>
          <w:szCs w:val="40"/>
        </w:rPr>
        <w:t>二、绩效评价工作开展情况</w:t>
      </w:r>
      <w:bookmarkEnd w:id="22"/>
      <w:bookmarkEnd w:id="23"/>
      <w:bookmarkEnd w:id="24"/>
      <w:bookmarkEnd w:id="25"/>
      <w:bookmarkEnd w:id="26"/>
      <w:bookmarkEnd w:id="27"/>
    </w:p>
    <w:p w14:paraId="12A87721">
      <w:pPr>
        <w:keepNext/>
        <w:spacing w:line="600" w:lineRule="exact"/>
        <w:ind w:firstLine="640" w:firstLineChars="200"/>
        <w:outlineLvl w:val="1"/>
        <w:rPr>
          <w:rFonts w:ascii="Times New Roman" w:hAnsi="Times New Roman" w:eastAsia="楷体_GB2312" w:cs="楷体_GB2312"/>
          <w:sz w:val="32"/>
          <w:szCs w:val="40"/>
        </w:rPr>
      </w:pPr>
      <w:bookmarkStart w:id="28" w:name="_Toc15773"/>
      <w:bookmarkStart w:id="29" w:name="_Toc31111"/>
      <w:bookmarkStart w:id="30" w:name="_Toc28701"/>
      <w:bookmarkStart w:id="31" w:name="_Toc24500"/>
      <w:bookmarkStart w:id="32" w:name="_Toc14979"/>
      <w:bookmarkStart w:id="33" w:name="_Toc30156"/>
      <w:bookmarkStart w:id="34" w:name="_Toc31057"/>
      <w:bookmarkStart w:id="35" w:name="_Toc1082"/>
      <w:r>
        <w:rPr>
          <w:rFonts w:hint="eastAsia" w:ascii="Times New Roman" w:hAnsi="Times New Roman" w:eastAsia="楷体_GB2312" w:cs="楷体_GB2312"/>
          <w:sz w:val="32"/>
          <w:szCs w:val="40"/>
        </w:rPr>
        <w:t>（一）评价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的范围和目的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56DDA149">
      <w:pPr>
        <w:spacing w:line="600" w:lineRule="exact"/>
        <w:ind w:firstLine="640" w:firstLineChars="200"/>
        <w:outlineLvl w:val="2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本次评价对象为2023年康复项目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预算</w:t>
      </w:r>
      <w:r>
        <w:rPr>
          <w:rFonts w:hint="eastAsia" w:ascii="Times New Roman" w:hAnsi="Times New Roman" w:eastAsia="仿宋_GB2312" w:cs="仿宋_GB2312"/>
          <w:sz w:val="32"/>
          <w:szCs w:val="40"/>
        </w:rPr>
        <w:t>资金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664.63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万元；覆盖项目立项、采购、执行、维护等实施全过程，评价基准日为202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40"/>
        </w:rPr>
        <w:t>年12月31日。</w:t>
      </w:r>
    </w:p>
    <w:p w14:paraId="1FD3ABB2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通过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开展绩效评价，摸清项目实施的规范程度和绩效目标的实现情况，分析项目实施过程中存在的问题与风险并提出合理建议，提高康复服务水平，实现康复机构高质量发展。</w:t>
      </w:r>
    </w:p>
    <w:p w14:paraId="6A356403">
      <w:pPr>
        <w:keepNext/>
        <w:spacing w:line="600" w:lineRule="exact"/>
        <w:ind w:firstLine="640" w:firstLineChars="200"/>
        <w:outlineLvl w:val="1"/>
        <w:rPr>
          <w:rFonts w:hint="eastAsia" w:ascii="Times New Roman" w:hAnsi="Times New Roman" w:eastAsia="楷体_GB2312" w:cs="楷体_GB2312"/>
          <w:sz w:val="32"/>
          <w:szCs w:val="40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40"/>
        </w:rPr>
        <w:t>（二）评价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依据</w:t>
      </w:r>
    </w:p>
    <w:p w14:paraId="32FAEB3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1.绩效管理文件</w:t>
      </w:r>
    </w:p>
    <w:p w14:paraId="097C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（1）中共汶上县委、汶上县人民政府《关于全面落实预算绩效管理的实施意见》（汶发〔2019〕15号）；</w:t>
      </w:r>
    </w:p>
    <w:p w14:paraId="3227E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（2）汶上县财政局《关于印发〈规范第三方机构参与预算绩效管理工作办法〉的通知》（汶财绩〔2019〕3号）；</w:t>
      </w:r>
    </w:p>
    <w:p w14:paraId="15DB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（3）汶上县财政局《关于印发&lt;汶上县县级项目支出绩效财政评价和部门评价工作规程&gt;的通知》（汶财绩〔2023〕20号）；</w:t>
      </w:r>
    </w:p>
    <w:p w14:paraId="6CE23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（4）汶上县财政局《关于开展县级2023年度财政重点绩效评价的通知》（汶财绩〔2024〕6号）。</w:t>
      </w:r>
    </w:p>
    <w:p w14:paraId="5DD97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2.业务管理文件</w:t>
      </w:r>
    </w:p>
    <w:p w14:paraId="3A88F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（1）山东省残疾人联合会等9部门《关于印发&lt;山东省残疾儿童康复救助实施办法&gt;的通知》（鲁残联发〔2020〕28号）；</w:t>
      </w:r>
    </w:p>
    <w:p w14:paraId="6FE06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（2）山东省残疾人联合会等5部门《关于印发&lt;全省残疾儿童定点康复机构规范化提升建设实施方案&gt;的通知》（鲁残联函〔2022〕20号）；</w:t>
      </w:r>
    </w:p>
    <w:p w14:paraId="4F4BF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（3）济宁市残疾人联合会等6部门《关于贯彻实施&lt;全省残疾儿童定点康复机构规范化提升建设实施方案&gt;的通知》（济残联字〔2022〕36号）；</w:t>
      </w:r>
    </w:p>
    <w:p w14:paraId="0DDCD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（4）济宁市残疾人联合会等5部门《关于做好2023年济宁市政府“重点民生实事”残疾儿童康复救助工作的实施方案》（济残联字〔2023〕4号）；</w:t>
      </w:r>
    </w:p>
    <w:p w14:paraId="4BB16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（5）汶上县残疾人联合会等9部门《关于印发&lt;汶上县残疾儿童康复救助实施细则&gt;的通知》（汶残联字〔2021〕5号）；</w:t>
      </w:r>
    </w:p>
    <w:p w14:paraId="0C65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（6）汶上县残疾人联合会《残疾人事业发展专项资金管理办法》（汶残联字〔2018〕7号）；</w:t>
      </w:r>
    </w:p>
    <w:p w14:paraId="74E5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（7）汶上县残疾人联合会《关于印发&lt;汶上县残疾儿童定点康复机构规范提升实施方案&gt;的通知》（汶残联字〔2023〕12号）。</w:t>
      </w:r>
    </w:p>
    <w:p w14:paraId="194D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3.佐证资料</w:t>
      </w:r>
    </w:p>
    <w:p w14:paraId="4B53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（1）评价项目管理的佐证材料，包括项目支出绩效目标表、项目管理台账等反映项目管理方面资料；</w:t>
      </w:r>
    </w:p>
    <w:p w14:paraId="28536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（2）评价项目财务的佐证材料，包括记账凭证及支付凭证等资料；</w:t>
      </w:r>
    </w:p>
    <w:p w14:paraId="2511D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（3）评价工作组通过公开渠道查询等获取的相关资料。</w:t>
      </w:r>
    </w:p>
    <w:p w14:paraId="49094D61">
      <w:pPr>
        <w:keepNext/>
        <w:spacing w:line="600" w:lineRule="exact"/>
        <w:ind w:firstLine="640" w:firstLineChars="200"/>
        <w:outlineLvl w:val="1"/>
        <w:rPr>
          <w:rFonts w:hint="default" w:ascii="Times New Roman" w:hAnsi="Times New Roman" w:eastAsia="楷体_GB2312" w:cs="楷体_GB2312"/>
          <w:sz w:val="32"/>
          <w:szCs w:val="40"/>
          <w:lang w:val="en-US" w:eastAsia="zh-CN"/>
        </w:rPr>
      </w:pPr>
      <w:bookmarkStart w:id="36" w:name="_Toc22061"/>
      <w:bookmarkStart w:id="37" w:name="_Toc30142"/>
      <w:bookmarkStart w:id="38" w:name="_Toc10185"/>
      <w:bookmarkStart w:id="39" w:name="_Toc28300"/>
      <w:bookmarkStart w:id="40" w:name="_Toc27148"/>
      <w:bookmarkStart w:id="41" w:name="_Toc325"/>
      <w:bookmarkStart w:id="42" w:name="_Toc12258"/>
      <w:bookmarkStart w:id="43" w:name="_Toc24673"/>
      <w:r>
        <w:rPr>
          <w:rFonts w:hint="eastAsia" w:ascii="Times New Roman" w:hAnsi="Times New Roman" w:eastAsia="楷体_GB2312" w:cs="楷体_GB2312"/>
          <w:sz w:val="32"/>
          <w:szCs w:val="40"/>
        </w:rPr>
        <w:t>（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sz w:val="32"/>
          <w:szCs w:val="40"/>
        </w:rPr>
        <w:t>）评价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指标体系</w:t>
      </w:r>
    </w:p>
    <w:p w14:paraId="33FF5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指标体系由4项一级指标、12项二级指标、20项三级指标构成。指标体系建立过程中以绩效评价目标为导向，综合考虑项目各阶段工作要点及其对项目整体绩效目标的影响程度。</w:t>
      </w:r>
    </w:p>
    <w:p w14:paraId="2074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绩效评价具体评定标准以预先制定的绩效目标、具体工作情况、历史情况等数据为依据，按照评价要点对项目实际执行情况进行评分。</w:t>
      </w:r>
    </w:p>
    <w:p w14:paraId="1B9B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项目评定结果总分设置为100分，等级划分为四档：90（含）－100分为优、80（含）-90分为良、60（含）-80分为中、60分以下为差。</w:t>
      </w:r>
    </w:p>
    <w:p w14:paraId="37799D88">
      <w:pPr>
        <w:keepNext/>
        <w:spacing w:line="600" w:lineRule="exact"/>
        <w:ind w:firstLine="640" w:firstLineChars="200"/>
        <w:outlineLvl w:val="1"/>
        <w:rPr>
          <w:rFonts w:hint="default" w:ascii="Times New Roman" w:hAnsi="Times New Roman" w:eastAsia="楷体_GB2312" w:cs="楷体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40"/>
        </w:rPr>
        <w:t>（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四</w:t>
      </w:r>
      <w:r>
        <w:rPr>
          <w:rFonts w:hint="eastAsia" w:ascii="Times New Roman" w:hAnsi="Times New Roman" w:eastAsia="楷体_GB2312" w:cs="楷体_GB2312"/>
          <w:sz w:val="32"/>
          <w:szCs w:val="40"/>
        </w:rPr>
        <w:t>）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评价方法</w:t>
      </w:r>
    </w:p>
    <w:p w14:paraId="632D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评价工作主要采用比较法、因素分析法、专家评议法。调查方式主要包括两种，一是与县残联进行访谈，二是通过县残联提供资料开展调研，对汶上县残疾儿童康复救助申请、审核材料，康复救助内容等情况进行复核。</w:t>
      </w:r>
    </w:p>
    <w:p w14:paraId="4D26263E">
      <w:pPr>
        <w:spacing w:line="600" w:lineRule="exact"/>
        <w:ind w:firstLine="640" w:firstLineChars="200"/>
        <w:outlineLvl w:val="0"/>
        <w:rPr>
          <w:rFonts w:ascii="Times New Roman" w:hAnsi="Times New Roman" w:eastAsia="黑体" w:cs="黑体"/>
          <w:sz w:val="32"/>
          <w:szCs w:val="40"/>
        </w:rPr>
      </w:pPr>
      <w:bookmarkStart w:id="44" w:name="_Toc23990"/>
      <w:bookmarkStart w:id="45" w:name="_Toc25913"/>
      <w:bookmarkStart w:id="46" w:name="_Toc9193"/>
      <w:bookmarkStart w:id="47" w:name="_Toc15997"/>
      <w:bookmarkStart w:id="48" w:name="_Toc4205"/>
      <w:bookmarkStart w:id="49" w:name="_Toc23766"/>
      <w:r>
        <w:rPr>
          <w:rFonts w:hint="eastAsia" w:ascii="Times New Roman" w:hAnsi="Times New Roman" w:eastAsia="黑体" w:cs="黑体"/>
          <w:sz w:val="32"/>
          <w:szCs w:val="40"/>
        </w:rPr>
        <w:t>三、评价结论</w:t>
      </w:r>
      <w:bookmarkEnd w:id="44"/>
      <w:bookmarkEnd w:id="45"/>
      <w:bookmarkEnd w:id="46"/>
      <w:bookmarkEnd w:id="47"/>
      <w:bookmarkEnd w:id="48"/>
      <w:bookmarkEnd w:id="49"/>
    </w:p>
    <w:p w14:paraId="50F11EA4">
      <w:pPr>
        <w:keepNext/>
        <w:spacing w:line="600" w:lineRule="exact"/>
        <w:ind w:firstLine="640" w:firstLineChars="200"/>
        <w:outlineLvl w:val="1"/>
        <w:rPr>
          <w:rFonts w:ascii="Times New Roman" w:hAnsi="Times New Roman" w:eastAsia="楷体_GB2312" w:cs="楷体_GB2312"/>
          <w:sz w:val="32"/>
          <w:szCs w:val="40"/>
        </w:rPr>
      </w:pPr>
      <w:bookmarkStart w:id="50" w:name="_Toc26064"/>
      <w:bookmarkStart w:id="51" w:name="_Toc10960"/>
      <w:bookmarkStart w:id="52" w:name="_Toc3588"/>
      <w:bookmarkStart w:id="53" w:name="_Toc28378"/>
      <w:bookmarkStart w:id="54" w:name="_Toc16304"/>
      <w:bookmarkStart w:id="55" w:name="_Toc28582"/>
      <w:r>
        <w:rPr>
          <w:rFonts w:hint="eastAsia" w:ascii="Times New Roman" w:hAnsi="Times New Roman" w:eastAsia="楷体_GB2312" w:cs="楷体_GB2312"/>
          <w:sz w:val="32"/>
          <w:szCs w:val="40"/>
        </w:rPr>
        <w:t>（一）综合评价结论</w:t>
      </w:r>
      <w:bookmarkEnd w:id="50"/>
      <w:bookmarkEnd w:id="51"/>
      <w:bookmarkEnd w:id="52"/>
      <w:bookmarkEnd w:id="53"/>
      <w:bookmarkEnd w:id="54"/>
      <w:bookmarkEnd w:id="55"/>
    </w:p>
    <w:p w14:paraId="1FF8B8DC">
      <w:pPr>
        <w:keepNext/>
        <w:spacing w:line="600" w:lineRule="exact"/>
        <w:ind w:firstLine="640" w:firstLineChars="200"/>
        <w:outlineLvl w:val="1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该项目立项依据充分，立项程序规范，资金到位及时，资金执行率为100%，残疾儿童康复救助服务内容符合政策文件要求。但项目存在管理制度不够细化，服务协议审核不严格、信息化建设不完善等问题。</w:t>
      </w:r>
      <w:bookmarkStart w:id="56" w:name="_Toc1059"/>
      <w:bookmarkStart w:id="57" w:name="_Toc11275"/>
      <w:bookmarkStart w:id="58" w:name="_Toc15636"/>
      <w:bookmarkStart w:id="59" w:name="_Toc18403"/>
      <w:bookmarkStart w:id="60" w:name="_Toc30894"/>
      <w:bookmarkStart w:id="61" w:name="_Toc20738"/>
    </w:p>
    <w:p w14:paraId="037F50E6">
      <w:pPr>
        <w:keepNext/>
        <w:spacing w:line="600" w:lineRule="exact"/>
        <w:ind w:firstLine="640" w:firstLineChars="200"/>
        <w:outlineLvl w:val="1"/>
        <w:rPr>
          <w:rFonts w:ascii="Times New Roman" w:hAnsi="Times New Roman" w:eastAsia="楷体_GB2312" w:cs="楷体_GB2312"/>
          <w:sz w:val="32"/>
          <w:szCs w:val="40"/>
        </w:rPr>
      </w:pPr>
      <w:r>
        <w:rPr>
          <w:rFonts w:hint="eastAsia" w:ascii="Times New Roman" w:hAnsi="Times New Roman" w:eastAsia="楷体_GB2312" w:cs="楷体_GB2312"/>
          <w:sz w:val="32"/>
          <w:szCs w:val="40"/>
        </w:rPr>
        <w:t>（二）指标分析</w:t>
      </w:r>
      <w:bookmarkEnd w:id="56"/>
      <w:bookmarkEnd w:id="57"/>
      <w:bookmarkEnd w:id="58"/>
      <w:bookmarkEnd w:id="59"/>
      <w:bookmarkEnd w:id="60"/>
      <w:bookmarkEnd w:id="61"/>
    </w:p>
    <w:p w14:paraId="275A7187">
      <w:pPr>
        <w:keepNext/>
        <w:spacing w:line="600" w:lineRule="exact"/>
        <w:ind w:firstLine="640" w:firstLineChars="200"/>
        <w:outlineLvl w:val="2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1.决策指标分析</w:t>
      </w:r>
    </w:p>
    <w:p w14:paraId="48619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决策指标分值12分，得10分，得分率83.33%。项目立项依据充分，符合文件要求，属于公共财政支持范围且部门项目无交叉重叠现象；项目立项程序规范，预算编制科学规范；项目绩效目标与工作内容相符，与预算投资额基本相符。但项目存在部分定点康复机构资金拨付流程不规范，绩效指标不全面的现象。</w:t>
      </w:r>
    </w:p>
    <w:p w14:paraId="5443C6A1">
      <w:pPr>
        <w:keepNext/>
        <w:spacing w:line="600" w:lineRule="exact"/>
        <w:ind w:firstLine="640" w:firstLineChars="200"/>
        <w:outlineLvl w:val="2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2.过程指标分析</w:t>
      </w:r>
    </w:p>
    <w:p w14:paraId="1A90E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过程指标分值28分，得21分，得分率75%。该项目资金到位率为100%，预算执行率为100%；财务管理制度基本健全，业务管理制度较健全。但项目存在实施方案更新不及时、协议管理不规范的现象。</w:t>
      </w:r>
    </w:p>
    <w:p w14:paraId="6E95BC88">
      <w:pPr>
        <w:keepNext/>
        <w:spacing w:line="600" w:lineRule="exact"/>
        <w:ind w:firstLine="640" w:firstLineChars="200"/>
        <w:outlineLvl w:val="2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3.产出指标分析</w:t>
      </w:r>
    </w:p>
    <w:p w14:paraId="333C1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产出指标分值30分，得30分，得分率100%。2023年通过该项目实施为全县符合条件的残疾儿童发放补助；定点康复机构康复训练服务与政策相符、残疾儿童训练效果有效，项目支出不超预算。</w:t>
      </w:r>
    </w:p>
    <w:p w14:paraId="03EFB678">
      <w:pPr>
        <w:keepNext/>
        <w:spacing w:line="600" w:lineRule="exact"/>
        <w:ind w:firstLine="640" w:firstLineChars="200"/>
        <w:outlineLvl w:val="2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4.效益指标分析</w:t>
      </w:r>
    </w:p>
    <w:p w14:paraId="57AEC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效益指标分值30分，得27分，得分率90%。项目实施后，显著降低残疾儿童家庭康复治疗成本，县残联与汶上县第二人民医院成立精准康复筛查组，对汶上县辖区内15个镇街残疾儿童进行康复需求筛查、评估转介工作。但项目存在儿童康复信息化建设不足的情况。</w:t>
      </w:r>
    </w:p>
    <w:p w14:paraId="72A2FE2B">
      <w:pPr>
        <w:keepNext/>
        <w:spacing w:line="600" w:lineRule="exact"/>
        <w:ind w:firstLine="640" w:firstLineChars="200"/>
        <w:outlineLvl w:val="1"/>
        <w:rPr>
          <w:rFonts w:hint="eastAsia" w:ascii="Times New Roman" w:hAnsi="Times New Roman" w:eastAsia="楷体_GB2312" w:cs="楷体_GB2312"/>
          <w:sz w:val="32"/>
          <w:szCs w:val="40"/>
        </w:rPr>
      </w:pPr>
      <w:bookmarkStart w:id="62" w:name="_Toc14437"/>
      <w:bookmarkStart w:id="63" w:name="_Toc32083"/>
      <w:bookmarkStart w:id="64" w:name="_Toc24549"/>
      <w:bookmarkStart w:id="65" w:name="_Toc28926"/>
      <w:bookmarkStart w:id="66" w:name="_Toc26117"/>
      <w:bookmarkStart w:id="67" w:name="_Toc9016"/>
      <w:r>
        <w:rPr>
          <w:rFonts w:hint="eastAsia" w:ascii="Times New Roman" w:hAnsi="Times New Roman" w:eastAsia="楷体_GB2312" w:cs="楷体_GB2312"/>
          <w:sz w:val="32"/>
          <w:szCs w:val="40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sz w:val="32"/>
          <w:szCs w:val="40"/>
          <w:lang w:eastAsia="zh-CN"/>
        </w:rPr>
        <w:t>）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取得</w:t>
      </w:r>
      <w:r>
        <w:rPr>
          <w:rFonts w:hint="eastAsia" w:ascii="Times New Roman" w:hAnsi="Times New Roman" w:eastAsia="楷体_GB2312" w:cs="楷体_GB2312"/>
          <w:sz w:val="32"/>
          <w:szCs w:val="40"/>
        </w:rPr>
        <w:t>成效</w:t>
      </w:r>
      <w:bookmarkEnd w:id="62"/>
      <w:bookmarkEnd w:id="63"/>
      <w:bookmarkEnd w:id="64"/>
      <w:bookmarkEnd w:id="65"/>
      <w:bookmarkEnd w:id="66"/>
      <w:bookmarkEnd w:id="67"/>
    </w:p>
    <w:p w14:paraId="30B09FBF">
      <w:pPr>
        <w:spacing w:line="600" w:lineRule="exact"/>
        <w:ind w:firstLine="640" w:firstLineChars="200"/>
        <w:rPr>
          <w:rFonts w:hint="default" w:ascii="Times New Roman" w:hAnsi="Times New Roman" w:eastAsia="仿宋_GB2312" w:cs="楷体_GB2312"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楷体_GB2312"/>
          <w:bCs/>
          <w:sz w:val="32"/>
          <w:szCs w:val="40"/>
          <w:lang w:val="en-US" w:eastAsia="zh-CN"/>
        </w:rPr>
        <w:t>2023年康复项目对康复救助申请审批通过的残疾儿童进行救助。同时，定点康复机构免费向残疾儿童提供康复训练服务，降低残疾儿童家庭关于残疾儿童康复训练支出。</w:t>
      </w:r>
    </w:p>
    <w:p w14:paraId="58222ADF">
      <w:pPr>
        <w:keepNext/>
        <w:spacing w:line="600" w:lineRule="exact"/>
        <w:ind w:firstLine="640" w:firstLineChars="200"/>
        <w:outlineLvl w:val="0"/>
        <w:rPr>
          <w:rFonts w:ascii="Times New Roman" w:hAnsi="Times New Roman" w:eastAsia="黑体" w:cs="黑体"/>
          <w:sz w:val="32"/>
          <w:szCs w:val="40"/>
        </w:rPr>
      </w:pPr>
      <w:bookmarkStart w:id="68" w:name="_Toc7886"/>
      <w:bookmarkStart w:id="69" w:name="_Toc8484"/>
      <w:bookmarkStart w:id="70" w:name="_Toc28253"/>
      <w:bookmarkStart w:id="71" w:name="_Toc29758"/>
      <w:bookmarkStart w:id="72" w:name="_Toc24126"/>
      <w:bookmarkStart w:id="73" w:name="_Toc18595"/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40"/>
        </w:rPr>
        <w:t>、</w:t>
      </w: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存在</w:t>
      </w:r>
      <w:r>
        <w:rPr>
          <w:rFonts w:hint="eastAsia" w:ascii="Times New Roman" w:hAnsi="Times New Roman" w:eastAsia="黑体" w:cs="黑体"/>
          <w:sz w:val="32"/>
          <w:szCs w:val="40"/>
        </w:rPr>
        <w:t>的问题</w:t>
      </w:r>
      <w:bookmarkEnd w:id="68"/>
      <w:bookmarkEnd w:id="69"/>
      <w:bookmarkEnd w:id="70"/>
      <w:bookmarkEnd w:id="71"/>
      <w:bookmarkEnd w:id="72"/>
      <w:bookmarkEnd w:id="73"/>
    </w:p>
    <w:p w14:paraId="3E098A7E">
      <w:pPr>
        <w:widowControl/>
        <w:spacing w:line="600" w:lineRule="exact"/>
        <w:ind w:firstLine="640" w:firstLineChars="200"/>
        <w:outlineLvl w:val="1"/>
        <w:rPr>
          <w:rFonts w:hint="eastAsia" w:ascii="Times New Roman" w:hAnsi="Times New Roman" w:eastAsia="楷体_GB2312" w:cs="楷体_GB2312"/>
          <w:sz w:val="32"/>
          <w:szCs w:val="40"/>
          <w:highlight w:val="none"/>
          <w:lang w:val="en-US" w:eastAsia="zh-CN"/>
        </w:rPr>
      </w:pPr>
      <w:bookmarkStart w:id="74" w:name="_Toc31207"/>
      <w:bookmarkStart w:id="75" w:name="_Toc4842"/>
      <w:bookmarkStart w:id="76" w:name="_Toc13507"/>
      <w:bookmarkStart w:id="77" w:name="_Toc29718"/>
      <w:bookmarkStart w:id="78" w:name="_Toc22854"/>
      <w:bookmarkStart w:id="79" w:name="_Toc22598"/>
      <w:bookmarkStart w:id="80" w:name="_Toc30169"/>
      <w:bookmarkStart w:id="81" w:name="_Toc12023"/>
      <w:bookmarkStart w:id="82" w:name="_Toc7706"/>
      <w:r>
        <w:rPr>
          <w:rFonts w:hint="eastAsia" w:ascii="Times New Roman" w:hAnsi="Times New Roman" w:eastAsia="楷体_GB2312" w:cs="楷体_GB2312"/>
          <w:sz w:val="32"/>
          <w:szCs w:val="40"/>
          <w:highlight w:val="none"/>
        </w:rPr>
        <w:t>（一）</w:t>
      </w:r>
      <w:bookmarkEnd w:id="74"/>
      <w:bookmarkEnd w:id="75"/>
      <w:bookmarkEnd w:id="76"/>
      <w:bookmarkEnd w:id="77"/>
      <w:r>
        <w:rPr>
          <w:rFonts w:hint="eastAsia" w:ascii="Times New Roman" w:hAnsi="Times New Roman" w:eastAsia="楷体_GB2312" w:cs="楷体_GB2312"/>
          <w:sz w:val="32"/>
          <w:szCs w:val="40"/>
          <w:highlight w:val="none"/>
          <w:lang w:val="en-US" w:eastAsia="zh-CN"/>
        </w:rPr>
        <w:t>项目实施方案更新延迟，部分工作标准有待完善</w:t>
      </w:r>
      <w:bookmarkEnd w:id="78"/>
      <w:bookmarkEnd w:id="79"/>
    </w:p>
    <w:p w14:paraId="125EE7EC">
      <w:pPr>
        <w:spacing w:line="600" w:lineRule="exact"/>
        <w:ind w:firstLine="640" w:firstLineChars="200"/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县残联根据2021年文件开展残疾儿童康复救助服务，部分内容未及时更新。</w:t>
      </w:r>
    </w:p>
    <w:p w14:paraId="1B28D3C3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楷体_GB2312"/>
          <w:sz w:val="32"/>
          <w:szCs w:val="40"/>
          <w:highlight w:val="none"/>
          <w:lang w:val="en-US" w:eastAsia="zh-CN"/>
        </w:rPr>
      </w:pPr>
      <w:bookmarkStart w:id="83" w:name="_Toc28258"/>
      <w:bookmarkStart w:id="84" w:name="_Toc4032"/>
      <w:r>
        <w:rPr>
          <w:rFonts w:hint="eastAsia" w:ascii="Times New Roman" w:hAnsi="Times New Roman" w:eastAsia="楷体_GB2312" w:cs="楷体_GB2312"/>
          <w:sz w:val="32"/>
          <w:szCs w:val="40"/>
          <w:highlight w:val="none"/>
        </w:rPr>
        <w:t>（</w:t>
      </w:r>
      <w:r>
        <w:rPr>
          <w:rFonts w:hint="eastAsia" w:ascii="Times New Roman" w:hAnsi="Times New Roman" w:eastAsia="楷体_GB2312" w:cs="楷体_GB2312"/>
          <w:sz w:val="32"/>
          <w:szCs w:val="40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  <w:szCs w:val="40"/>
          <w:highlight w:val="none"/>
        </w:rPr>
        <w:t>）</w:t>
      </w:r>
      <w:r>
        <w:rPr>
          <w:rFonts w:hint="eastAsia" w:ascii="Times New Roman" w:hAnsi="Times New Roman" w:eastAsia="楷体_GB2312" w:cs="楷体_GB2312"/>
          <w:sz w:val="32"/>
          <w:szCs w:val="40"/>
          <w:highlight w:val="none"/>
          <w:lang w:val="en-US" w:eastAsia="zh-CN"/>
        </w:rPr>
        <w:t>委托协议审核不够严谨，资金申请审核</w:t>
      </w:r>
      <w:bookmarkEnd w:id="83"/>
      <w:r>
        <w:rPr>
          <w:rFonts w:hint="eastAsia" w:ascii="Times New Roman" w:hAnsi="Times New Roman" w:eastAsia="楷体_GB2312" w:cs="楷体_GB2312"/>
          <w:sz w:val="32"/>
          <w:szCs w:val="40"/>
          <w:highlight w:val="none"/>
          <w:lang w:val="en-US" w:eastAsia="zh-CN"/>
        </w:rPr>
        <w:t>不够细致</w:t>
      </w:r>
      <w:bookmarkEnd w:id="84"/>
    </w:p>
    <w:p w14:paraId="3F2F2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一是存在个别协议关键内容空白、签订日期晚于协议有效期的起始日期、填报内容不统一的情况。</w:t>
      </w:r>
    </w:p>
    <w:p w14:paraId="7D923D2B">
      <w:pPr>
        <w:spacing w:line="600" w:lineRule="exact"/>
        <w:ind w:firstLine="640" w:firstLineChars="200"/>
        <w:rPr>
          <w:rFonts w:hint="default" w:ascii="Times New Roman" w:hAnsi="Times New Roman" w:eastAsia="仿宋_GB2312" w:cs="楷体_GB2312"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二是</w:t>
      </w:r>
      <w:r>
        <w:rPr>
          <w:rFonts w:hint="eastAsia" w:ascii="Times New Roman" w:hAnsi="Times New Roman" w:eastAsia="仿宋_GB2312" w:cs="楷体_GB2312"/>
          <w:bCs/>
          <w:sz w:val="32"/>
          <w:szCs w:val="40"/>
          <w:lang w:val="en-US" w:eastAsia="zh-CN"/>
        </w:rPr>
        <w:t>济宁市恒康医院有限责任公司《2023年汶上县残疾儿童康复救助集中康复训练汇总表》《济宁任城恒康医院2023年残疾儿童康复救助项目资金申请报告》救助人数不一致，原因为资金申请报告书写错误</w:t>
      </w:r>
      <w:bookmarkStart w:id="85" w:name="_Toc3000"/>
      <w:r>
        <w:rPr>
          <w:rFonts w:hint="eastAsia" w:ascii="Times New Roman" w:hAnsi="Times New Roman" w:eastAsia="仿宋_GB2312" w:cs="楷体_GB2312"/>
          <w:bCs/>
          <w:sz w:val="32"/>
          <w:szCs w:val="40"/>
          <w:lang w:val="en-US" w:eastAsia="zh-CN"/>
        </w:rPr>
        <w:t>。</w:t>
      </w:r>
    </w:p>
    <w:p w14:paraId="6262D386">
      <w:pPr>
        <w:widowControl/>
        <w:spacing w:line="600" w:lineRule="exact"/>
        <w:ind w:firstLine="640" w:firstLineChars="200"/>
        <w:outlineLvl w:val="1"/>
        <w:rPr>
          <w:rFonts w:hint="default" w:ascii="Times New Roman" w:hAnsi="Times New Roman" w:eastAsia="楷体_GB2312" w:cs="楷体_GB2312"/>
          <w:sz w:val="32"/>
          <w:szCs w:val="40"/>
          <w:highlight w:val="none"/>
          <w:lang w:val="en-US" w:eastAsia="zh-CN"/>
        </w:rPr>
      </w:pPr>
      <w:bookmarkStart w:id="86" w:name="_Toc15759"/>
      <w:bookmarkStart w:id="87" w:name="_Toc31507"/>
      <w:bookmarkStart w:id="88" w:name="_Toc7829"/>
      <w:r>
        <w:rPr>
          <w:rFonts w:hint="eastAsia" w:ascii="Times New Roman" w:hAnsi="Times New Roman" w:eastAsia="楷体_GB2312" w:cs="楷体_GB2312"/>
          <w:sz w:val="32"/>
          <w:szCs w:val="40"/>
          <w:highlight w:val="none"/>
        </w:rPr>
        <w:t>（</w:t>
      </w:r>
      <w:r>
        <w:rPr>
          <w:rFonts w:hint="eastAsia" w:ascii="Times New Roman" w:hAnsi="Times New Roman" w:eastAsia="楷体_GB2312" w:cs="楷体_GB2312"/>
          <w:sz w:val="32"/>
          <w:szCs w:val="40"/>
          <w:highlight w:val="none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sz w:val="32"/>
          <w:szCs w:val="40"/>
          <w:highlight w:val="none"/>
        </w:rPr>
        <w:t>）</w:t>
      </w:r>
      <w:r>
        <w:rPr>
          <w:rFonts w:hint="eastAsia" w:ascii="Times New Roman" w:hAnsi="Times New Roman" w:eastAsia="楷体_GB2312" w:cs="楷体_GB2312"/>
          <w:sz w:val="32"/>
          <w:szCs w:val="40"/>
          <w:highlight w:val="none"/>
          <w:lang w:val="en-US" w:eastAsia="zh-CN"/>
        </w:rPr>
        <w:t>年度未开展信息化建设</w:t>
      </w:r>
      <w:bookmarkEnd w:id="85"/>
      <w:bookmarkEnd w:id="86"/>
      <w:bookmarkEnd w:id="87"/>
      <w:bookmarkEnd w:id="88"/>
    </w:p>
    <w:p w14:paraId="16ACBCB5">
      <w:pPr>
        <w:spacing w:line="600" w:lineRule="exact"/>
        <w:ind w:firstLine="640" w:firstLineChars="200"/>
        <w:rPr>
          <w:rFonts w:hint="eastAsia" w:ascii="Times New Roman" w:hAnsi="Times New Roman" w:eastAsia="仿宋_GB2312" w:cs="楷体_GB2312"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线上康复训练档案建设不规范。2023年县残联、定点康复</w:t>
      </w:r>
      <w:bookmarkStart w:id="116" w:name="_GoBack"/>
      <w:bookmarkEnd w:id="116"/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机构未建立网上康复训练档案，</w:t>
      </w:r>
      <w:r>
        <w:rPr>
          <w:rFonts w:hint="eastAsia" w:ascii="Times New Roman" w:hAnsi="Times New Roman" w:eastAsia="仿宋_GB2312" w:cs="楷体_GB2312"/>
          <w:bCs/>
          <w:sz w:val="32"/>
          <w:szCs w:val="40"/>
          <w:lang w:val="en-US" w:eastAsia="zh-CN"/>
        </w:rPr>
        <w:t>残疾儿童申请、审批、课程表、签到等佐证资料为纸质档案。</w:t>
      </w:r>
    </w:p>
    <w:p w14:paraId="5B0D54E0">
      <w:pPr>
        <w:widowControl/>
        <w:spacing w:line="600" w:lineRule="exact"/>
        <w:ind w:firstLine="640" w:firstLineChars="200"/>
        <w:outlineLvl w:val="1"/>
        <w:rPr>
          <w:rFonts w:hint="default" w:ascii="Times New Roman" w:hAnsi="Times New Roman" w:eastAsia="楷体_GB2312" w:cs="楷体_GB2312"/>
          <w:sz w:val="32"/>
          <w:szCs w:val="40"/>
          <w:highlight w:val="none"/>
          <w:lang w:val="en-US" w:eastAsia="zh-CN"/>
        </w:rPr>
      </w:pPr>
      <w:bookmarkStart w:id="89" w:name="_Toc8028"/>
      <w:bookmarkStart w:id="90" w:name="_Toc10396"/>
      <w:r>
        <w:rPr>
          <w:rFonts w:hint="eastAsia" w:ascii="Times New Roman" w:hAnsi="Times New Roman" w:eastAsia="楷体_GB2312" w:cs="楷体_GB2312"/>
          <w:sz w:val="32"/>
          <w:szCs w:val="40"/>
          <w:highlight w:val="none"/>
        </w:rPr>
        <w:t>（</w:t>
      </w:r>
      <w:r>
        <w:rPr>
          <w:rFonts w:hint="eastAsia" w:ascii="Times New Roman" w:hAnsi="Times New Roman" w:eastAsia="楷体_GB2312" w:cs="楷体_GB2312"/>
          <w:sz w:val="32"/>
          <w:szCs w:val="40"/>
          <w:highlight w:val="none"/>
          <w:lang w:val="en-US" w:eastAsia="zh-CN"/>
        </w:rPr>
        <w:t>四</w:t>
      </w:r>
      <w:r>
        <w:rPr>
          <w:rFonts w:hint="eastAsia" w:ascii="Times New Roman" w:hAnsi="Times New Roman" w:eastAsia="楷体_GB2312" w:cs="楷体_GB2312"/>
          <w:sz w:val="32"/>
          <w:szCs w:val="40"/>
          <w:highlight w:val="none"/>
        </w:rPr>
        <w:t>）</w:t>
      </w:r>
      <w:r>
        <w:rPr>
          <w:rFonts w:hint="eastAsia" w:ascii="Times New Roman" w:hAnsi="Times New Roman" w:eastAsia="楷体_GB2312" w:cs="楷体_GB2312"/>
          <w:sz w:val="32"/>
          <w:szCs w:val="40"/>
          <w:highlight w:val="none"/>
          <w:lang w:val="en-US" w:eastAsia="zh-CN"/>
        </w:rPr>
        <w:t>绩效指标设置不够全面，个别指标值缺少限定符号</w:t>
      </w:r>
      <w:bookmarkEnd w:id="89"/>
      <w:bookmarkEnd w:id="90"/>
    </w:p>
    <w:p w14:paraId="5E255605">
      <w:pPr>
        <w:pStyle w:val="2"/>
        <w:rPr>
          <w:rFonts w:hint="default" w:cs="楷体_GB2312"/>
          <w:bCs/>
          <w:sz w:val="32"/>
          <w:szCs w:val="40"/>
          <w:lang w:val="en-US" w:eastAsia="zh-CN"/>
        </w:rPr>
      </w:pP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一是指标尚未全面覆盖工作内容。</w:t>
      </w:r>
      <w:r>
        <w:rPr>
          <w:rFonts w:hint="eastAsia" w:cs="楷体_GB2312"/>
          <w:bCs/>
          <w:sz w:val="32"/>
          <w:szCs w:val="40"/>
          <w:lang w:val="en-US" w:eastAsia="zh-CN"/>
        </w:rPr>
        <w:t>项目绩效目标表中残疾儿童康复救助申请审核的时效性、残疾儿童康复救助内容及课程时长等工作未设置绩效指标。</w:t>
      </w: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二是个别指标值缺少限定符号。</w:t>
      </w:r>
      <w:r>
        <w:rPr>
          <w:rFonts w:hint="eastAsia" w:cs="楷体_GB2312"/>
          <w:bCs/>
          <w:sz w:val="32"/>
          <w:szCs w:val="40"/>
          <w:lang w:val="en-US" w:eastAsia="zh-CN"/>
        </w:rPr>
        <w:t>例如数量指标的指标值为“380人、150人”，无“＞、＜、≥、≤”等限定符号。</w:t>
      </w:r>
    </w:p>
    <w:p w14:paraId="2D6D9B11">
      <w:pPr>
        <w:keepNext/>
        <w:spacing w:line="600" w:lineRule="exact"/>
        <w:ind w:firstLine="640" w:firstLineChars="200"/>
        <w:outlineLvl w:val="0"/>
        <w:rPr>
          <w:rFonts w:ascii="Times New Roman" w:hAnsi="Times New Roman" w:eastAsia="黑体" w:cs="黑体"/>
          <w:sz w:val="32"/>
          <w:szCs w:val="40"/>
        </w:rPr>
      </w:pPr>
      <w:bookmarkStart w:id="91" w:name="_Toc3374"/>
      <w:bookmarkStart w:id="92" w:name="_Toc1315"/>
      <w:bookmarkStart w:id="93" w:name="_Toc4467"/>
      <w:bookmarkStart w:id="94" w:name="_Toc27973"/>
      <w:bookmarkStart w:id="95" w:name="_Toc15074"/>
      <w:r>
        <w:rPr>
          <w:rFonts w:hint="eastAsia" w:ascii="Times New Roman" w:hAnsi="Times New Roman" w:eastAsia="黑体" w:cs="黑体"/>
          <w:sz w:val="32"/>
          <w:szCs w:val="40"/>
        </w:rPr>
        <w:t>六、相关建议</w:t>
      </w:r>
      <w:bookmarkEnd w:id="91"/>
      <w:bookmarkEnd w:id="92"/>
      <w:bookmarkEnd w:id="93"/>
      <w:bookmarkEnd w:id="94"/>
      <w:bookmarkEnd w:id="95"/>
    </w:p>
    <w:p w14:paraId="2BD32116">
      <w:pPr>
        <w:spacing w:line="600" w:lineRule="exact"/>
        <w:ind w:firstLine="640" w:firstLineChars="200"/>
        <w:outlineLvl w:val="1"/>
        <w:rPr>
          <w:rFonts w:hint="default" w:ascii="Times New Roman" w:hAnsi="Times New Roman" w:eastAsia="楷体_GB2312" w:cs="楷体_GB2312"/>
          <w:sz w:val="32"/>
          <w:szCs w:val="40"/>
          <w:lang w:val="en-US" w:eastAsia="zh-CN"/>
        </w:rPr>
      </w:pPr>
      <w:bookmarkStart w:id="96" w:name="_Toc17946"/>
      <w:bookmarkStart w:id="97" w:name="_Toc16159"/>
      <w:bookmarkStart w:id="98" w:name="_Toc674"/>
      <w:bookmarkStart w:id="99" w:name="_Toc2421"/>
      <w:bookmarkStart w:id="100" w:name="_Toc19033"/>
      <w:bookmarkStart w:id="101" w:name="_Toc29282"/>
      <w:r>
        <w:rPr>
          <w:rFonts w:hint="eastAsia" w:ascii="Times New Roman" w:hAnsi="Times New Roman" w:eastAsia="楷体_GB2312" w:cs="楷体_GB2312"/>
          <w:sz w:val="32"/>
          <w:szCs w:val="40"/>
        </w:rPr>
        <w:t>（一）</w:t>
      </w:r>
      <w:bookmarkEnd w:id="96"/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及时更新项目实施方案，切实提高项目运行效率</w:t>
      </w:r>
      <w:bookmarkEnd w:id="97"/>
      <w:bookmarkEnd w:id="98"/>
    </w:p>
    <w:p w14:paraId="05C7ACDF">
      <w:pPr>
        <w:spacing w:line="600" w:lineRule="exact"/>
        <w:ind w:firstLine="640" w:firstLineChars="200"/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一是及时更新项目实施方案。建议县残联梳理山东省、济宁市2021年至今关于残疾儿童康复救助的政策制度文件，结合汶上县康复项目实际执行情况，及时更新项目实施方案。</w:t>
      </w:r>
    </w:p>
    <w:p w14:paraId="6E850886">
      <w:pPr>
        <w:pStyle w:val="2"/>
        <w:rPr>
          <w:rFonts w:hint="default"/>
          <w:lang w:val="en-US" w:eastAsia="zh-CN"/>
        </w:rPr>
      </w:pP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二是实施方案应合理细化。建议</w:t>
      </w:r>
      <w:r>
        <w:rPr>
          <w:rFonts w:hint="eastAsia" w:cs="楷体_GB2312"/>
          <w:bCs/>
          <w:sz w:val="32"/>
          <w:szCs w:val="40"/>
          <w:lang w:val="en-US" w:eastAsia="zh-CN"/>
        </w:rPr>
        <w:t>县残联进一步细化日常监督检查标准并严格执行；建议县残联切实发挥“牵头”和“统筹”的作用，制定协调机制，责任到岗，任务到人；建议县残联进一步细化绩效评价机制，实施全过程绩效管理，强化绩效结果应用，提高项目运行效率。</w:t>
      </w:r>
    </w:p>
    <w:p w14:paraId="32BC9545">
      <w:pPr>
        <w:keepNext/>
        <w:spacing w:line="600" w:lineRule="exact"/>
        <w:ind w:firstLine="640" w:firstLineChars="200"/>
        <w:outlineLvl w:val="1"/>
        <w:rPr>
          <w:rFonts w:hint="default" w:ascii="Times New Roman" w:hAnsi="Times New Roman" w:eastAsia="楷体_GB2312" w:cs="楷体_GB2312"/>
          <w:sz w:val="32"/>
          <w:szCs w:val="40"/>
          <w:highlight w:val="none"/>
          <w:lang w:val="en-US" w:eastAsia="zh-CN"/>
        </w:rPr>
      </w:pPr>
      <w:bookmarkStart w:id="102" w:name="_Toc2642"/>
      <w:bookmarkStart w:id="103" w:name="_Toc11692"/>
      <w:bookmarkStart w:id="104" w:name="_Toc28394"/>
      <w:bookmarkStart w:id="105" w:name="_Toc17159"/>
      <w:bookmarkStart w:id="106" w:name="_Toc21566"/>
      <w:bookmarkStart w:id="107" w:name="_Toc2048"/>
      <w:bookmarkStart w:id="108" w:name="_Toc27959"/>
      <w:r>
        <w:rPr>
          <w:rFonts w:hint="eastAsia" w:ascii="Times New Roman" w:hAnsi="Times New Roman" w:eastAsia="楷体_GB2312" w:cs="楷体_GB2312"/>
          <w:sz w:val="32"/>
          <w:szCs w:val="40"/>
          <w:highlight w:val="none"/>
        </w:rPr>
        <w:t>（二）</w:t>
      </w:r>
      <w:bookmarkEnd w:id="102"/>
      <w:bookmarkEnd w:id="103"/>
      <w:r>
        <w:rPr>
          <w:rFonts w:hint="eastAsia" w:ascii="Times New Roman" w:hAnsi="Times New Roman" w:eastAsia="楷体_GB2312" w:cs="楷体_GB2312"/>
          <w:sz w:val="32"/>
          <w:szCs w:val="40"/>
          <w:highlight w:val="none"/>
          <w:lang w:val="en-US" w:eastAsia="zh-CN"/>
        </w:rPr>
        <w:t>细化委托协议审核标准，强化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资金申请严谨程度</w:t>
      </w:r>
      <w:bookmarkEnd w:id="104"/>
      <w:bookmarkEnd w:id="105"/>
    </w:p>
    <w:p w14:paraId="75816116">
      <w:pPr>
        <w:pStyle w:val="2"/>
        <w:rPr>
          <w:rFonts w:hint="default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一是细化委托协议审核标准。建议县残联</w:t>
      </w: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在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统一协议填报标准</w:t>
      </w: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、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明确委托协议填报内容、填报方式</w:t>
      </w: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的前提下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，</w:t>
      </w: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及时与定点康复机构签订委托服务协议，同时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安排业务科室工作人员对定点康复机构委托服务协议统一进行审核，确保委托协议内容填报</w:t>
      </w: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完整、规范。</w:t>
      </w:r>
    </w:p>
    <w:p w14:paraId="6B6FCFD6">
      <w:pPr>
        <w:pStyle w:val="2"/>
        <w:rPr>
          <w:rFonts w:hint="default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二是</w:t>
      </w:r>
      <w:r>
        <w:rPr>
          <w:rFonts w:hint="default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加强资金申请严谨程度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。建议县残联把好审核第一关，确保申请资金与事实相符；</w:t>
      </w: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建议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县残联严格审核资金申报材料复核工作，</w:t>
      </w: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确保原始资料合理、规范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。</w:t>
      </w:r>
    </w:p>
    <w:bookmarkEnd w:id="80"/>
    <w:bookmarkEnd w:id="81"/>
    <w:bookmarkEnd w:id="82"/>
    <w:bookmarkEnd w:id="99"/>
    <w:bookmarkEnd w:id="100"/>
    <w:bookmarkEnd w:id="101"/>
    <w:bookmarkEnd w:id="106"/>
    <w:bookmarkEnd w:id="107"/>
    <w:bookmarkEnd w:id="108"/>
    <w:p w14:paraId="51B56CB7">
      <w:pPr>
        <w:spacing w:line="600" w:lineRule="exact"/>
        <w:ind w:firstLine="640" w:firstLineChars="200"/>
        <w:outlineLvl w:val="1"/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</w:pPr>
      <w:bookmarkStart w:id="109" w:name="_Toc25032"/>
      <w:bookmarkStart w:id="110" w:name="_Toc1610"/>
      <w:bookmarkStart w:id="111" w:name="_Toc21441"/>
      <w:bookmarkStart w:id="112" w:name="_Toc27796"/>
      <w:bookmarkStart w:id="113" w:name="_Toc9346"/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（三）规范项目档案归档管理</w:t>
      </w:r>
      <w:bookmarkEnd w:id="109"/>
      <w:bookmarkEnd w:id="110"/>
    </w:p>
    <w:p w14:paraId="685FC295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推进儿童康复信息化建设。建议县残联、定点康复机构充分运用</w:t>
      </w: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信息化系统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开展线上申请、审批、签到打卡等工作，提高工作效率</w:t>
      </w: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，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促进项目可持续发展。</w:t>
      </w:r>
    </w:p>
    <w:p w14:paraId="753790E5">
      <w:pPr>
        <w:spacing w:line="600" w:lineRule="exact"/>
        <w:ind w:firstLine="640" w:firstLineChars="200"/>
        <w:outlineLvl w:val="1"/>
        <w:rPr>
          <w:rFonts w:hint="default" w:ascii="Times New Roman" w:hAnsi="Times New Roman" w:eastAsia="楷体_GB2312" w:cs="楷体_GB2312"/>
          <w:sz w:val="32"/>
          <w:szCs w:val="40"/>
          <w:lang w:val="en-US" w:bidi="ar"/>
        </w:rPr>
      </w:pPr>
      <w:bookmarkStart w:id="114" w:name="_Toc29631"/>
      <w:bookmarkStart w:id="115" w:name="_Toc15490"/>
      <w:r>
        <w:rPr>
          <w:rFonts w:hint="eastAsia" w:ascii="Times New Roman" w:hAnsi="Times New Roman" w:eastAsia="楷体_GB2312" w:cs="楷体_GB2312"/>
          <w:sz w:val="32"/>
          <w:szCs w:val="40"/>
          <w:lang w:bidi="ar"/>
        </w:rPr>
        <w:t>（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 w:bidi="ar"/>
        </w:rPr>
        <w:t>四</w:t>
      </w:r>
      <w:r>
        <w:rPr>
          <w:rFonts w:hint="eastAsia" w:ascii="Times New Roman" w:hAnsi="Times New Roman" w:eastAsia="楷体_GB2312" w:cs="楷体_GB2312"/>
          <w:sz w:val="32"/>
          <w:szCs w:val="40"/>
          <w:lang w:bidi="ar"/>
        </w:rPr>
        <w:t>）</w:t>
      </w:r>
      <w:bookmarkEnd w:id="111"/>
      <w:bookmarkEnd w:id="112"/>
      <w:bookmarkEnd w:id="113"/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 w:bidi="ar"/>
        </w:rPr>
        <w:t>合理制定项目绩效指标，夯实绩效管理工作基础</w:t>
      </w:r>
      <w:bookmarkEnd w:id="114"/>
      <w:bookmarkEnd w:id="115"/>
    </w:p>
    <w:p w14:paraId="43403CA4">
      <w:pPr>
        <w:spacing w:line="600" w:lineRule="exact"/>
        <w:ind w:firstLine="640" w:firstLineChars="200"/>
        <w:rPr>
          <w:rFonts w:hint="eastAsia" w:ascii="Times New Roman" w:hAnsi="Times New Roman" w:eastAsia="仿宋_GB2312" w:cs="楷体_GB2312"/>
          <w:b w:val="0"/>
          <w:bCs/>
          <w:sz w:val="32"/>
          <w:szCs w:val="40"/>
        </w:rPr>
      </w:pP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一是规范设置项目绩效目标。建议县残联全面梳理康复项目工作流程，提炼项目核心指标，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</w:rPr>
        <w:t>例如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  <w:lang w:val="en-US" w:eastAsia="zh-CN"/>
        </w:rPr>
        <w:t>残疾儿童康复项目质量指标应添加“基本康复服务内容政策相符性”“相符”；时效指标应包含“残疾儿童康复救助申请审核时限”“≤5个工作日”等</w:t>
      </w:r>
      <w:r>
        <w:rPr>
          <w:rFonts w:hint="eastAsia" w:ascii="Times New Roman" w:hAnsi="Times New Roman" w:eastAsia="仿宋_GB2312" w:cs="楷体_GB2312"/>
          <w:b w:val="0"/>
          <w:bCs/>
          <w:sz w:val="32"/>
          <w:szCs w:val="40"/>
        </w:rPr>
        <w:t>。</w:t>
      </w:r>
    </w:p>
    <w:p w14:paraId="557DC4C1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cs="楷体_GB2312"/>
          <w:b w:val="0"/>
          <w:bCs/>
          <w:sz w:val="32"/>
          <w:szCs w:val="40"/>
          <w:lang w:val="en-US" w:eastAsia="zh-CN"/>
        </w:rPr>
        <w:t>二是规范设置项目指标值。建</w:t>
      </w:r>
      <w:r>
        <w:rPr>
          <w:rFonts w:hint="eastAsia" w:cs="楷体_GB2312"/>
          <w:bCs/>
          <w:sz w:val="32"/>
          <w:szCs w:val="40"/>
          <w:lang w:val="en-US" w:eastAsia="zh-CN"/>
        </w:rPr>
        <w:t>议县残联在设置年度指标值时，充分考虑残疾儿童历史数据变化规律，规范使用“＞、＜、≥、≤”等限定符号，合理设置年度指标值，为绩效监控、自评工作打下坚实基础。</w:t>
      </w:r>
    </w:p>
    <w:p w14:paraId="198D2F11">
      <w:pPr>
        <w:spacing w:line="600" w:lineRule="exact"/>
        <w:ind w:left="1710" w:leftChars="700" w:hanging="240" w:hangingChars="75"/>
        <w:rPr>
          <w:rFonts w:hint="eastAsia" w:ascii="Times New Roman" w:hAnsi="Times New Roman" w:eastAsia="仿宋_GB2312" w:cs="仿宋_GB2312"/>
          <w:sz w:val="32"/>
          <w:szCs w:val="40"/>
        </w:rPr>
      </w:pPr>
    </w:p>
    <w:sectPr>
      <w:footerReference r:id="rId3" w:type="default"/>
      <w:pgSz w:w="11906" w:h="16838"/>
      <w:pgMar w:top="2041" w:right="1701" w:bottom="2041" w:left="1701" w:header="851" w:footer="1361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CEC36A-8FCE-4D1E-B627-38712A8777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85DCB1-881E-457F-BEA8-FF3E53D2195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33BE6C-6026-4BF0-8A98-7C4A067A96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3C82DB3-9EE3-4753-A7C8-2631A32D8B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9721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0CB94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90CB94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NWVjZTNhNGJjMDM3MzE3YzFiZjkxYzcyYjg3ZDgifQ=="/>
  </w:docVars>
  <w:rsids>
    <w:rsidRoot w:val="00475B9E"/>
    <w:rsid w:val="00182A1C"/>
    <w:rsid w:val="00447B86"/>
    <w:rsid w:val="00475B9E"/>
    <w:rsid w:val="006153B0"/>
    <w:rsid w:val="00746DF4"/>
    <w:rsid w:val="00A44817"/>
    <w:rsid w:val="00B72580"/>
    <w:rsid w:val="00B802D4"/>
    <w:rsid w:val="00EB7E60"/>
    <w:rsid w:val="00FC66F5"/>
    <w:rsid w:val="026E6622"/>
    <w:rsid w:val="03033235"/>
    <w:rsid w:val="04C25B96"/>
    <w:rsid w:val="0649590D"/>
    <w:rsid w:val="070E3EA1"/>
    <w:rsid w:val="084558A8"/>
    <w:rsid w:val="0A122DAF"/>
    <w:rsid w:val="0ABD6CFD"/>
    <w:rsid w:val="0AFA0802"/>
    <w:rsid w:val="0D872DF6"/>
    <w:rsid w:val="0E4106A6"/>
    <w:rsid w:val="0EFC29C2"/>
    <w:rsid w:val="103735BC"/>
    <w:rsid w:val="104B5710"/>
    <w:rsid w:val="106A3C74"/>
    <w:rsid w:val="10D51896"/>
    <w:rsid w:val="11682776"/>
    <w:rsid w:val="120B6FE3"/>
    <w:rsid w:val="12CE6C0D"/>
    <w:rsid w:val="14172FEE"/>
    <w:rsid w:val="15267261"/>
    <w:rsid w:val="155623F6"/>
    <w:rsid w:val="15EE5771"/>
    <w:rsid w:val="16C04E0D"/>
    <w:rsid w:val="181F7418"/>
    <w:rsid w:val="18426415"/>
    <w:rsid w:val="18EF453A"/>
    <w:rsid w:val="19D67A66"/>
    <w:rsid w:val="1AB652B7"/>
    <w:rsid w:val="1D22332C"/>
    <w:rsid w:val="1D324664"/>
    <w:rsid w:val="1E0B1F32"/>
    <w:rsid w:val="1FB565C1"/>
    <w:rsid w:val="21E022F7"/>
    <w:rsid w:val="226D4721"/>
    <w:rsid w:val="238916A4"/>
    <w:rsid w:val="248150F0"/>
    <w:rsid w:val="25A72BBE"/>
    <w:rsid w:val="27C37482"/>
    <w:rsid w:val="286B210C"/>
    <w:rsid w:val="29273F65"/>
    <w:rsid w:val="2943336A"/>
    <w:rsid w:val="29EB7D6F"/>
    <w:rsid w:val="2ACD0453"/>
    <w:rsid w:val="2BBA09D7"/>
    <w:rsid w:val="2BE12049"/>
    <w:rsid w:val="2C492AF9"/>
    <w:rsid w:val="2C8B4122"/>
    <w:rsid w:val="2DC8748F"/>
    <w:rsid w:val="2FBA1A43"/>
    <w:rsid w:val="301B756B"/>
    <w:rsid w:val="3041265D"/>
    <w:rsid w:val="310962B6"/>
    <w:rsid w:val="31A67C78"/>
    <w:rsid w:val="34442E5B"/>
    <w:rsid w:val="346220E5"/>
    <w:rsid w:val="34FE3CD8"/>
    <w:rsid w:val="35E94AF3"/>
    <w:rsid w:val="378F2AD4"/>
    <w:rsid w:val="37B119AA"/>
    <w:rsid w:val="37FB761B"/>
    <w:rsid w:val="38123A6F"/>
    <w:rsid w:val="38207628"/>
    <w:rsid w:val="397F4909"/>
    <w:rsid w:val="39910F9D"/>
    <w:rsid w:val="3A8C3621"/>
    <w:rsid w:val="3BAC7AF6"/>
    <w:rsid w:val="3C776471"/>
    <w:rsid w:val="3D0C4E0B"/>
    <w:rsid w:val="3D180889"/>
    <w:rsid w:val="3D3E5984"/>
    <w:rsid w:val="3E193EEF"/>
    <w:rsid w:val="3E2B0405"/>
    <w:rsid w:val="3E2E2DF2"/>
    <w:rsid w:val="3FA026AC"/>
    <w:rsid w:val="40527E57"/>
    <w:rsid w:val="40A43345"/>
    <w:rsid w:val="40F67CA4"/>
    <w:rsid w:val="41287BB3"/>
    <w:rsid w:val="415E2FE4"/>
    <w:rsid w:val="42143C78"/>
    <w:rsid w:val="42515BB5"/>
    <w:rsid w:val="42B51E10"/>
    <w:rsid w:val="45800144"/>
    <w:rsid w:val="4612161E"/>
    <w:rsid w:val="46FB1BB3"/>
    <w:rsid w:val="473236C0"/>
    <w:rsid w:val="47705629"/>
    <w:rsid w:val="47C507AA"/>
    <w:rsid w:val="485A3247"/>
    <w:rsid w:val="488336CF"/>
    <w:rsid w:val="48F925F3"/>
    <w:rsid w:val="4ABE680B"/>
    <w:rsid w:val="4ADD6CC9"/>
    <w:rsid w:val="4B5005B9"/>
    <w:rsid w:val="4C5A0934"/>
    <w:rsid w:val="4C5F47A9"/>
    <w:rsid w:val="4D272068"/>
    <w:rsid w:val="4D2D1E89"/>
    <w:rsid w:val="4DAB6DBC"/>
    <w:rsid w:val="4F225953"/>
    <w:rsid w:val="4F2B5A4E"/>
    <w:rsid w:val="4F4F5829"/>
    <w:rsid w:val="4F8615BC"/>
    <w:rsid w:val="52026B96"/>
    <w:rsid w:val="52075F36"/>
    <w:rsid w:val="530000C8"/>
    <w:rsid w:val="540966EA"/>
    <w:rsid w:val="5504275F"/>
    <w:rsid w:val="556B68E0"/>
    <w:rsid w:val="55C82F9A"/>
    <w:rsid w:val="56236D75"/>
    <w:rsid w:val="565B7B51"/>
    <w:rsid w:val="565E56BA"/>
    <w:rsid w:val="571E759E"/>
    <w:rsid w:val="57C93BCD"/>
    <w:rsid w:val="58825B29"/>
    <w:rsid w:val="59AF3634"/>
    <w:rsid w:val="59B61EBB"/>
    <w:rsid w:val="59D80870"/>
    <w:rsid w:val="5A5D46D7"/>
    <w:rsid w:val="5A740B26"/>
    <w:rsid w:val="5AC461A2"/>
    <w:rsid w:val="5B1F58B2"/>
    <w:rsid w:val="5B6F7339"/>
    <w:rsid w:val="5BAF0B05"/>
    <w:rsid w:val="5BF36208"/>
    <w:rsid w:val="5C3A0405"/>
    <w:rsid w:val="5D897AAB"/>
    <w:rsid w:val="5E5D0BCB"/>
    <w:rsid w:val="5E8F1AEB"/>
    <w:rsid w:val="607A69A2"/>
    <w:rsid w:val="615564D1"/>
    <w:rsid w:val="61597912"/>
    <w:rsid w:val="61610FEB"/>
    <w:rsid w:val="62384EDA"/>
    <w:rsid w:val="625B3057"/>
    <w:rsid w:val="62EA5FF4"/>
    <w:rsid w:val="63B94265"/>
    <w:rsid w:val="63FA3F26"/>
    <w:rsid w:val="64B83B16"/>
    <w:rsid w:val="65CC0860"/>
    <w:rsid w:val="66674DF2"/>
    <w:rsid w:val="6960759B"/>
    <w:rsid w:val="69894C5B"/>
    <w:rsid w:val="6B303356"/>
    <w:rsid w:val="6B543970"/>
    <w:rsid w:val="6C692C46"/>
    <w:rsid w:val="6D7F5CF9"/>
    <w:rsid w:val="6D980A83"/>
    <w:rsid w:val="6DB84528"/>
    <w:rsid w:val="70FA1040"/>
    <w:rsid w:val="71D751E2"/>
    <w:rsid w:val="720D42A8"/>
    <w:rsid w:val="725E658E"/>
    <w:rsid w:val="72D75EB3"/>
    <w:rsid w:val="73587321"/>
    <w:rsid w:val="76411BCE"/>
    <w:rsid w:val="76966F18"/>
    <w:rsid w:val="77AA64E8"/>
    <w:rsid w:val="7A34310C"/>
    <w:rsid w:val="7B7171CD"/>
    <w:rsid w:val="7D60536F"/>
    <w:rsid w:val="7E851B91"/>
    <w:rsid w:val="7FC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360" w:lineRule="auto"/>
      <w:outlineLvl w:val="1"/>
    </w:pPr>
    <w:rPr>
      <w:b/>
      <w:sz w:val="30"/>
      <w:szCs w:val="3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  <w:ind w:firstLine="1040" w:firstLineChars="200"/>
      <w:textAlignment w:val="center"/>
    </w:pPr>
    <w:rPr>
      <w:rFonts w:ascii="Times New Roman" w:hAnsi="Times New Roman" w:eastAsia="仿宋_GB2312" w:cs="Times New Roman"/>
      <w:kern w:val="0"/>
      <w:sz w:val="32"/>
      <w:szCs w:val="32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annotation text"/>
    <w:basedOn w:val="1"/>
    <w:next w:val="1"/>
    <w:link w:val="30"/>
    <w:qFormat/>
    <w:uiPriority w:val="0"/>
    <w:pPr>
      <w:jc w:val="left"/>
    </w:pPr>
  </w:style>
  <w:style w:type="paragraph" w:styleId="6">
    <w:name w:val="Body Text Indent"/>
    <w:basedOn w:val="1"/>
    <w:next w:val="4"/>
    <w:qFormat/>
    <w:uiPriority w:val="0"/>
    <w:pPr>
      <w:spacing w:line="500" w:lineRule="exact"/>
      <w:ind w:firstLine="560"/>
    </w:pPr>
    <w:rPr>
      <w:rFonts w:ascii="仿宋_GB2312" w:eastAsia="仿宋_GB2312"/>
      <w:szCs w:val="28"/>
    </w:rPr>
  </w:style>
  <w:style w:type="paragraph" w:styleId="7">
    <w:name w:val="Body Text Indent 2"/>
    <w:basedOn w:val="1"/>
    <w:next w:val="1"/>
    <w:qFormat/>
    <w:uiPriority w:val="0"/>
    <w:pPr>
      <w:spacing w:line="360" w:lineRule="auto"/>
      <w:ind w:firstLine="480" w:firstLineChars="200"/>
      <w:jc w:val="left"/>
    </w:pPr>
    <w:rPr>
      <w:rFonts w:ascii="楷体_GB2312" w:eastAsia="楷体_GB2312"/>
      <w:sz w:val="24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basedOn w:val="1"/>
    <w:next w:val="1"/>
    <w:qFormat/>
    <w:uiPriority w:val="0"/>
    <w:pPr>
      <w:adjustRightInd w:val="0"/>
      <w:snapToGrid w:val="0"/>
      <w:spacing w:line="360" w:lineRule="auto"/>
      <w:ind w:firstLine="800" w:firstLineChars="200"/>
      <w:jc w:val="left"/>
      <w:outlineLvl w:val="0"/>
    </w:pPr>
    <w:rPr>
      <w:rFonts w:ascii="Arial" w:hAnsi="Arial" w:eastAsia="仿宋"/>
      <w:sz w:val="32"/>
      <w:szCs w:val="32"/>
    </w:rPr>
  </w:style>
  <w:style w:type="paragraph" w:styleId="15">
    <w:name w:val="annotation subject"/>
    <w:basedOn w:val="5"/>
    <w:next w:val="5"/>
    <w:link w:val="31"/>
    <w:qFormat/>
    <w:uiPriority w:val="0"/>
    <w:rPr>
      <w:b/>
      <w:bCs/>
    </w:rPr>
  </w:style>
  <w:style w:type="paragraph" w:styleId="16">
    <w:name w:val="Body Text First Indent 2"/>
    <w:basedOn w:val="6"/>
    <w:next w:val="1"/>
    <w:qFormat/>
    <w:uiPriority w:val="0"/>
    <w:pPr>
      <w:spacing w:after="120" w:line="276" w:lineRule="auto"/>
      <w:ind w:left="420" w:leftChars="200" w:firstLine="420" w:firstLineChars="200"/>
      <w:jc w:val="left"/>
    </w:pPr>
    <w:rPr>
      <w:rFonts w:ascii="Calibri" w:hAnsi="Calibri"/>
      <w:kern w:val="0"/>
      <w:sz w:val="22"/>
      <w:szCs w:val="22"/>
      <w:lang w:eastAsia="en-US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qFormat/>
    <w:uiPriority w:val="0"/>
    <w:rPr>
      <w:color w:val="0000FF"/>
      <w:u w:val="single"/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character" w:styleId="22">
    <w:name w:val="footnote reference"/>
    <w:basedOn w:val="19"/>
    <w:qFormat/>
    <w:uiPriority w:val="0"/>
    <w:rPr>
      <w:vertAlign w:val="superscript"/>
    </w:rPr>
  </w:style>
  <w:style w:type="paragraph" w:customStyle="1" w:styleId="23">
    <w:name w:val="_Style 3"/>
    <w:basedOn w:val="1"/>
    <w:next w:val="24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/>
      <w:sz w:val="32"/>
      <w:lang w:eastAsia="zh-TW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6">
    <w:name w:val="首行缩进"/>
    <w:basedOn w:val="1"/>
    <w:next w:val="1"/>
    <w:qFormat/>
    <w:uiPriority w:val="0"/>
    <w:pPr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2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8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9">
    <w:name w:val="批注框文本 Char"/>
    <w:basedOn w:val="19"/>
    <w:link w:val="8"/>
    <w:qFormat/>
    <w:uiPriority w:val="0"/>
    <w:rPr>
      <w:kern w:val="2"/>
      <w:sz w:val="18"/>
      <w:szCs w:val="18"/>
    </w:rPr>
  </w:style>
  <w:style w:type="character" w:customStyle="1" w:styleId="30">
    <w:name w:val="批注文字 Char"/>
    <w:basedOn w:val="19"/>
    <w:link w:val="5"/>
    <w:qFormat/>
    <w:uiPriority w:val="0"/>
    <w:rPr>
      <w:kern w:val="2"/>
      <w:sz w:val="21"/>
      <w:szCs w:val="24"/>
    </w:rPr>
  </w:style>
  <w:style w:type="character" w:customStyle="1" w:styleId="31">
    <w:name w:val="批注主题 Char"/>
    <w:basedOn w:val="30"/>
    <w:link w:val="15"/>
    <w:qFormat/>
    <w:uiPriority w:val="0"/>
    <w:rPr>
      <w:b/>
      <w:bCs/>
      <w:kern w:val="2"/>
      <w:sz w:val="21"/>
      <w:szCs w:val="24"/>
    </w:rPr>
  </w:style>
  <w:style w:type="character" w:customStyle="1" w:styleId="32">
    <w:name w:val="font51"/>
    <w:basedOn w:val="19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3">
    <w:name w:val="font61"/>
    <w:basedOn w:val="1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4">
    <w:name w:val="font71"/>
    <w:basedOn w:val="19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35">
    <w:name w:val="font81"/>
    <w:basedOn w:val="1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91"/>
    <w:basedOn w:val="19"/>
    <w:qFormat/>
    <w:uiPriority w:val="0"/>
    <w:rPr>
      <w:rFonts w:ascii="Arial" w:hAnsi="Arial" w:cs="Arial"/>
      <w:color w:val="000000"/>
      <w:sz w:val="6"/>
      <w:szCs w:val="6"/>
      <w:u w:val="none"/>
    </w:rPr>
  </w:style>
  <w:style w:type="character" w:customStyle="1" w:styleId="37">
    <w:name w:val="font101"/>
    <w:basedOn w:val="19"/>
    <w:qFormat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38">
    <w:name w:val="font111"/>
    <w:basedOn w:val="19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39">
    <w:name w:val="font3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2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1">
    <w:name w:val="font4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2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9547</Words>
  <Characters>10245</Characters>
  <Lines>86</Lines>
  <Paragraphs>24</Paragraphs>
  <TotalTime>42</TotalTime>
  <ScaleCrop>false</ScaleCrop>
  <LinksUpToDate>false</LinksUpToDate>
  <CharactersWithSpaces>10281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2023-09-14T09:07:00Z</dcterms:created>
  <dc:creator>lenovo</dc:creator>
  <cp:lastModifiedBy>未央</cp:lastModifiedBy>
  <cp:lastPrinted>2024-06-12T00:51:00Z</cp:lastPrinted>
  <dcterms:modified xsi:type="dcterms:W3CDTF">2024-12-01T15:18:29Z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7A379E02E6664BF0BE222FA72DAA3DB4_13</vt:lpwstr>
  </property>
</Properties>
</file>