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000000" w:themeColor="text1"/>
          <w:spacing w:val="0"/>
          <w:sz w:val="33"/>
          <w:szCs w:val="33"/>
          <w:shd w:val="clear" w:fill="FFFFFF"/>
          <w14:textFill>
            <w14:solidFill>
              <w14:schemeClr w14:val="tx1"/>
            </w14:solidFill>
          </w14:textFill>
        </w:rPr>
      </w:pPr>
      <w:bookmarkStart w:id="0" w:name="_GoBack"/>
      <w:r>
        <w:rPr>
          <w:rFonts w:hint="eastAsia" w:ascii="微软雅黑" w:hAnsi="微软雅黑" w:eastAsia="微软雅黑" w:cs="微软雅黑"/>
          <w:b/>
          <w:i w:val="0"/>
          <w:caps w:val="0"/>
          <w:color w:val="000000" w:themeColor="text1"/>
          <w:spacing w:val="0"/>
          <w:sz w:val="33"/>
          <w:szCs w:val="33"/>
          <w:shd w:val="clear" w:fill="FFFFFF"/>
          <w:lang w:val="en-US" w:eastAsia="zh-CN"/>
          <w14:textFill>
            <w14:solidFill>
              <w14:schemeClr w14:val="tx1"/>
            </w14:solidFill>
          </w14:textFill>
        </w:rPr>
        <w:t>县统计局单位</w:t>
      </w:r>
      <w:r>
        <w:rPr>
          <w:rFonts w:ascii="微软雅黑" w:hAnsi="微软雅黑" w:eastAsia="微软雅黑" w:cs="微软雅黑"/>
          <w:b/>
          <w:i w:val="0"/>
          <w:caps w:val="0"/>
          <w:color w:val="000000" w:themeColor="text1"/>
          <w:spacing w:val="0"/>
          <w:sz w:val="33"/>
          <w:szCs w:val="33"/>
          <w:shd w:val="clear" w:fill="FFFFFF"/>
          <w14:textFill>
            <w14:solidFill>
              <w14:schemeClr w14:val="tx1"/>
            </w14:solidFill>
          </w14:textFill>
        </w:rPr>
        <w:t>落实202</w:t>
      </w:r>
      <w:r>
        <w:rPr>
          <w:rFonts w:hint="eastAsia" w:ascii="微软雅黑" w:hAnsi="微软雅黑" w:eastAsia="微软雅黑" w:cs="微软雅黑"/>
          <w:b/>
          <w:i w:val="0"/>
          <w:caps w:val="0"/>
          <w:color w:val="000000" w:themeColor="text1"/>
          <w:spacing w:val="0"/>
          <w:sz w:val="33"/>
          <w:szCs w:val="33"/>
          <w:shd w:val="clear" w:fill="FFFFFF"/>
          <w:lang w:val="en-US" w:eastAsia="zh-CN"/>
          <w14:textFill>
            <w14:solidFill>
              <w14:schemeClr w14:val="tx1"/>
            </w14:solidFill>
          </w14:textFill>
        </w:rPr>
        <w:t>3</w:t>
      </w:r>
      <w:r>
        <w:rPr>
          <w:rFonts w:ascii="微软雅黑" w:hAnsi="微软雅黑" w:eastAsia="微软雅黑" w:cs="微软雅黑"/>
          <w:b/>
          <w:i w:val="0"/>
          <w:caps w:val="0"/>
          <w:color w:val="000000" w:themeColor="text1"/>
          <w:spacing w:val="0"/>
          <w:sz w:val="33"/>
          <w:szCs w:val="33"/>
          <w:shd w:val="clear" w:fill="FFFFFF"/>
          <w14:textFill>
            <w14:solidFill>
              <w14:schemeClr w14:val="tx1"/>
            </w14:solidFill>
          </w14:textFill>
        </w:rPr>
        <w:t>年政府工作报告第</w:t>
      </w:r>
      <w:r>
        <w:rPr>
          <w:rFonts w:hint="eastAsia" w:ascii="微软雅黑" w:hAnsi="微软雅黑" w:eastAsia="微软雅黑" w:cs="微软雅黑"/>
          <w:b/>
          <w:i w:val="0"/>
          <w:caps w:val="0"/>
          <w:color w:val="000000" w:themeColor="text1"/>
          <w:spacing w:val="0"/>
          <w:sz w:val="33"/>
          <w:szCs w:val="33"/>
          <w:shd w:val="clear" w:fill="FFFFFF"/>
          <w:lang w:val="en-US" w:eastAsia="zh-CN"/>
          <w14:textFill>
            <w14:solidFill>
              <w14:schemeClr w14:val="tx1"/>
            </w14:solidFill>
          </w14:textFill>
        </w:rPr>
        <w:t>四</w:t>
      </w:r>
      <w:r>
        <w:rPr>
          <w:rFonts w:ascii="微软雅黑" w:hAnsi="微软雅黑" w:eastAsia="微软雅黑" w:cs="微软雅黑"/>
          <w:b/>
          <w:i w:val="0"/>
          <w:caps w:val="0"/>
          <w:color w:val="000000" w:themeColor="text1"/>
          <w:spacing w:val="0"/>
          <w:sz w:val="33"/>
          <w:szCs w:val="33"/>
          <w:shd w:val="clear" w:fill="FFFFFF"/>
          <w14:textFill>
            <w14:solidFill>
              <w14:schemeClr w14:val="tx1"/>
            </w14:solidFill>
          </w14:textFill>
        </w:rPr>
        <w:t>季度工作进展、取得成效、后续措施</w:t>
      </w:r>
    </w:p>
    <w:bookmarkEnd w:id="0"/>
    <w:tbl>
      <w:tblPr>
        <w:tblStyle w:val="9"/>
        <w:tblW w:w="495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063"/>
        <w:gridCol w:w="3187"/>
        <w:gridCol w:w="4838"/>
        <w:gridCol w:w="3486"/>
        <w:gridCol w:w="12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60" w:hRule="atLeast"/>
        </w:trPr>
        <w:tc>
          <w:tcPr>
            <w:tcW w:w="383" w:type="pct"/>
            <w:tcBorders>
              <w:top w:val="single" w:color="auto" w:sz="12" w:space="0"/>
              <w:left w:val="single" w:color="auto" w:sz="12" w:space="0"/>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b/>
                <w:bCs w:val="0"/>
                <w:color w:val="000000" w:themeColor="text1"/>
                <w:sz w:val="21"/>
                <w:szCs w:val="21"/>
                <w:highlight w:val="none"/>
                <w14:textFill>
                  <w14:solidFill>
                    <w14:schemeClr w14:val="tx1"/>
                  </w14:solidFill>
                </w14:textFill>
              </w:rPr>
            </w:pPr>
            <w:r>
              <w:rPr>
                <w:rStyle w:val="11"/>
                <w:rFonts w:hint="eastAsia" w:ascii="微软雅黑" w:hAnsi="微软雅黑" w:eastAsia="微软雅黑" w:cs="微软雅黑"/>
                <w:b/>
                <w:bCs w:val="0"/>
                <w:i w:val="0"/>
                <w:caps w:val="0"/>
                <w:color w:val="000000" w:themeColor="text1"/>
                <w:spacing w:val="0"/>
                <w:sz w:val="24"/>
                <w:szCs w:val="24"/>
                <w:highlight w:val="none"/>
                <w14:textFill>
                  <w14:solidFill>
                    <w14:schemeClr w14:val="tx1"/>
                  </w14:solidFill>
                </w14:textFill>
              </w:rPr>
              <w:t>序号</w:t>
            </w:r>
          </w:p>
        </w:tc>
        <w:tc>
          <w:tcPr>
            <w:tcW w:w="1148" w:type="pct"/>
            <w:tcBorders>
              <w:top w:val="single" w:color="auto" w:sz="12"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b/>
                <w:bCs w:val="0"/>
                <w:color w:val="000000" w:themeColor="text1"/>
                <w:sz w:val="21"/>
                <w:szCs w:val="21"/>
                <w:highlight w:val="none"/>
                <w14:textFill>
                  <w14:solidFill>
                    <w14:schemeClr w14:val="tx1"/>
                  </w14:solidFill>
                </w14:textFill>
              </w:rPr>
            </w:pPr>
            <w:r>
              <w:rPr>
                <w:rStyle w:val="11"/>
                <w:rFonts w:hint="eastAsia" w:ascii="微软雅黑" w:hAnsi="微软雅黑" w:eastAsia="微软雅黑" w:cs="微软雅黑"/>
                <w:b/>
                <w:bCs w:val="0"/>
                <w:i w:val="0"/>
                <w:caps w:val="0"/>
                <w:color w:val="000000" w:themeColor="text1"/>
                <w:spacing w:val="0"/>
                <w:sz w:val="24"/>
                <w:szCs w:val="24"/>
                <w:highlight w:val="none"/>
                <w:lang w:val="en-US" w:eastAsia="zh-CN"/>
                <w14:textFill>
                  <w14:solidFill>
                    <w14:schemeClr w14:val="tx1"/>
                  </w14:solidFill>
                </w14:textFill>
              </w:rPr>
              <w:t>任务目标</w:t>
            </w:r>
          </w:p>
        </w:tc>
        <w:tc>
          <w:tcPr>
            <w:tcW w:w="1743" w:type="pct"/>
            <w:tcBorders>
              <w:top w:val="single" w:color="auto" w:sz="12"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bCs w:val="0"/>
                <w:color w:val="000000" w:themeColor="text1"/>
                <w:sz w:val="21"/>
                <w:szCs w:val="21"/>
                <w:highlight w:val="none"/>
                <w14:textFill>
                  <w14:solidFill>
                    <w14:schemeClr w14:val="tx1"/>
                  </w14:solidFill>
                </w14:textFill>
              </w:rPr>
            </w:pPr>
            <w:r>
              <w:rPr>
                <w:rStyle w:val="11"/>
                <w:rFonts w:hint="eastAsia" w:ascii="微软雅黑" w:hAnsi="微软雅黑" w:eastAsia="微软雅黑" w:cs="微软雅黑"/>
                <w:b/>
                <w:bCs w:val="0"/>
                <w:i w:val="0"/>
                <w:caps w:val="0"/>
                <w:color w:val="000000" w:themeColor="text1"/>
                <w:spacing w:val="0"/>
                <w:sz w:val="24"/>
                <w:szCs w:val="24"/>
                <w:highlight w:val="none"/>
                <w14:textFill>
                  <w14:solidFill>
                    <w14:schemeClr w14:val="tx1"/>
                  </w14:solidFill>
                </w14:textFill>
              </w:rPr>
              <w:t>工作进展及取得成效</w:t>
            </w:r>
          </w:p>
        </w:tc>
        <w:tc>
          <w:tcPr>
            <w:tcW w:w="1256" w:type="pct"/>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微软雅黑" w:hAnsi="微软雅黑" w:eastAsia="微软雅黑" w:cs="微软雅黑"/>
                <w:b/>
                <w:bCs w:val="0"/>
                <w:color w:val="000000" w:themeColor="text1"/>
                <w:sz w:val="21"/>
                <w:szCs w:val="21"/>
                <w:highlight w:val="none"/>
                <w14:textFill>
                  <w14:solidFill>
                    <w14:schemeClr w14:val="tx1"/>
                  </w14:solidFill>
                </w14:textFill>
              </w:rPr>
            </w:pPr>
            <w:r>
              <w:rPr>
                <w:rStyle w:val="11"/>
                <w:rFonts w:hint="eastAsia" w:ascii="微软雅黑" w:hAnsi="微软雅黑" w:eastAsia="微软雅黑" w:cs="微软雅黑"/>
                <w:b/>
                <w:bCs w:val="0"/>
                <w:i w:val="0"/>
                <w:caps w:val="0"/>
                <w:color w:val="000000" w:themeColor="text1"/>
                <w:spacing w:val="0"/>
                <w:sz w:val="24"/>
                <w:szCs w:val="24"/>
                <w:highlight w:val="none"/>
                <w14:textFill>
                  <w14:solidFill>
                    <w14:schemeClr w14:val="tx1"/>
                  </w14:solidFill>
                </w14:textFill>
              </w:rPr>
              <w:t>后续措施</w:t>
            </w:r>
          </w:p>
        </w:tc>
        <w:tc>
          <w:tcPr>
            <w:tcW w:w="467" w:type="pct"/>
            <w:tcBorders>
              <w:top w:val="single" w:color="auto" w:sz="12" w:space="0"/>
              <w:left w:val="nil"/>
              <w:bottom w:val="single" w:color="auto" w:sz="6" w:space="0"/>
              <w:right w:val="single" w:color="auto" w:sz="12"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b/>
                <w:bCs w:val="0"/>
                <w:color w:val="000000" w:themeColor="text1"/>
                <w:sz w:val="21"/>
                <w:szCs w:val="21"/>
                <w:highlight w:val="none"/>
                <w14:textFill>
                  <w14:solidFill>
                    <w14:schemeClr w14:val="tx1"/>
                  </w14:solidFill>
                </w14:textFill>
              </w:rPr>
            </w:pPr>
            <w:r>
              <w:rPr>
                <w:rStyle w:val="11"/>
                <w:rFonts w:hint="eastAsia" w:ascii="微软雅黑" w:hAnsi="微软雅黑" w:eastAsia="微软雅黑" w:cs="微软雅黑"/>
                <w:b/>
                <w:bCs w:val="0"/>
                <w:i w:val="0"/>
                <w:caps w:val="0"/>
                <w:color w:val="000000" w:themeColor="text1"/>
                <w:spacing w:val="0"/>
                <w:sz w:val="24"/>
                <w:szCs w:val="24"/>
                <w:highlight w:val="none"/>
                <w14:textFill>
                  <w14:solidFill>
                    <w14:schemeClr w14:val="tx1"/>
                  </w14:solidFill>
                </w14:textFill>
              </w:rPr>
              <w:t>主办单位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60" w:hRule="atLeast"/>
        </w:trPr>
        <w:tc>
          <w:tcPr>
            <w:tcW w:w="383" w:type="pct"/>
            <w:tcBorders>
              <w:top w:val="single" w:color="auto" w:sz="6" w:space="0"/>
              <w:left w:val="single" w:color="auto" w:sz="12" w:space="0"/>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default" w:ascii="微软雅黑" w:hAnsi="微软雅黑" w:eastAsia="微软雅黑" w:cs="微软雅黑"/>
                <w:b w:val="0"/>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4"/>
                <w:szCs w:val="24"/>
                <w:highlight w:val="none"/>
                <w:lang w:val="en-US" w:eastAsia="zh-CN"/>
                <w14:textFill>
                  <w14:solidFill>
                    <w14:schemeClr w14:val="tx1"/>
                  </w14:solidFill>
                </w14:textFill>
              </w:rPr>
              <w:t>28</w:t>
            </w:r>
          </w:p>
        </w:tc>
        <w:tc>
          <w:tcPr>
            <w:tcW w:w="1148"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default" w:ascii="微软雅黑" w:hAnsi="微软雅黑" w:eastAsia="微软雅黑" w:cs="微软雅黑"/>
                <w:b w:val="0"/>
                <w:bCs/>
                <w:color w:val="000000" w:themeColor="text1"/>
                <w:sz w:val="18"/>
                <w:szCs w:val="18"/>
                <w:highlight w:val="none"/>
                <w:lang w:val="en-US" w:eastAsia="zh-CN"/>
                <w14:textFill>
                  <w14:solidFill>
                    <w14:schemeClr w14:val="tx1"/>
                  </w14:solidFill>
                </w14:textFill>
              </w:rPr>
            </w:pPr>
            <w:r>
              <w:rPr>
                <w:rFonts w:hint="default" w:ascii="微软雅黑" w:hAnsi="微软雅黑" w:eastAsia="微软雅黑" w:cs="微软雅黑"/>
                <w:b w:val="0"/>
                <w:bCs/>
                <w:color w:val="000000" w:themeColor="text1"/>
                <w:sz w:val="18"/>
                <w:szCs w:val="18"/>
                <w:highlight w:val="none"/>
                <w:lang w:val="en-US" w:eastAsia="zh-CN"/>
                <w14:textFill>
                  <w14:solidFill>
                    <w14:schemeClr w14:val="tx1"/>
                  </w14:solidFill>
                </w14:textFill>
              </w:rPr>
              <w:t>新增“四上”企业150家。</w:t>
            </w:r>
          </w:p>
        </w:tc>
        <w:tc>
          <w:tcPr>
            <w:tcW w:w="1743"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firstLine="360" w:firstLineChars="200"/>
              <w:jc w:val="both"/>
              <w:rPr>
                <w:rFonts w:hint="default" w:ascii="微软雅黑" w:hAnsi="微软雅黑" w:eastAsia="微软雅黑" w:cs="微软雅黑"/>
                <w:b w:val="0"/>
                <w:bCs/>
                <w:color w:val="000000" w:themeColor="text1"/>
                <w:sz w:val="18"/>
                <w:szCs w:val="18"/>
                <w:highlight w:val="none"/>
                <w:lang w:val="en-US"/>
                <w14:textFill>
                  <w14:solidFill>
                    <w14:schemeClr w14:val="tx1"/>
                  </w14:solidFill>
                </w14:textFill>
              </w:rPr>
            </w:pP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1-12月份</w:t>
            </w:r>
            <w:r>
              <w:rPr>
                <w:rFonts w:hint="eastAsia" w:ascii="微软雅黑" w:hAnsi="微软雅黑" w:eastAsia="微软雅黑" w:cs="微软雅黑"/>
                <w:b w:val="0"/>
                <w:bCs/>
                <w:color w:val="000000" w:themeColor="text1"/>
                <w:sz w:val="18"/>
                <w:szCs w:val="18"/>
                <w:highlight w:val="none"/>
                <w14:textFill>
                  <w14:solidFill>
                    <w14:schemeClr w14:val="tx1"/>
                  </w14:solidFill>
                </w14:textFill>
              </w:rPr>
              <w:t xml:space="preserve">，全县新增“四上”企业 </w:t>
            </w: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150</w:t>
            </w:r>
            <w:r>
              <w:rPr>
                <w:rFonts w:hint="eastAsia" w:ascii="微软雅黑" w:hAnsi="微软雅黑" w:eastAsia="微软雅黑" w:cs="微软雅黑"/>
                <w:b w:val="0"/>
                <w:bCs/>
                <w:color w:val="000000" w:themeColor="text1"/>
                <w:sz w:val="18"/>
                <w:szCs w:val="18"/>
                <w:highlight w:val="none"/>
                <w14:textFill>
                  <w14:solidFill>
                    <w14:schemeClr w14:val="tx1"/>
                  </w14:solidFill>
                </w14:textFill>
              </w:rPr>
              <w:t xml:space="preserve"> 家，其中，规模以上工业</w:t>
            </w: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31</w:t>
            </w:r>
            <w:r>
              <w:rPr>
                <w:rFonts w:hint="eastAsia" w:ascii="微软雅黑" w:hAnsi="微软雅黑" w:eastAsia="微软雅黑" w:cs="微软雅黑"/>
                <w:b w:val="0"/>
                <w:bCs/>
                <w:color w:val="000000" w:themeColor="text1"/>
                <w:sz w:val="18"/>
                <w:szCs w:val="18"/>
                <w:highlight w:val="none"/>
                <w14:textFill>
                  <w14:solidFill>
                    <w14:schemeClr w14:val="tx1"/>
                  </w14:solidFill>
                </w14:textFill>
              </w:rPr>
              <w:t>家、规模以上服务业</w:t>
            </w: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19</w:t>
            </w:r>
            <w:r>
              <w:rPr>
                <w:rFonts w:hint="eastAsia" w:ascii="微软雅黑" w:hAnsi="微软雅黑" w:eastAsia="微软雅黑" w:cs="微软雅黑"/>
                <w:b w:val="0"/>
                <w:bCs/>
                <w:color w:val="000000" w:themeColor="text1"/>
                <w:sz w:val="18"/>
                <w:szCs w:val="18"/>
                <w:highlight w:val="none"/>
                <w14:textFill>
                  <w14:solidFill>
                    <w14:schemeClr w14:val="tx1"/>
                  </w14:solidFill>
                </w14:textFill>
              </w:rPr>
              <w:t>家、限额以上批零住餐业</w:t>
            </w: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83</w:t>
            </w:r>
            <w:r>
              <w:rPr>
                <w:rFonts w:hint="eastAsia" w:ascii="微软雅黑" w:hAnsi="微软雅黑" w:eastAsia="微软雅黑" w:cs="微软雅黑"/>
                <w:b w:val="0"/>
                <w:bCs/>
                <w:color w:val="000000" w:themeColor="text1"/>
                <w:sz w:val="18"/>
                <w:szCs w:val="18"/>
                <w:highlight w:val="none"/>
                <w14:textFill>
                  <w14:solidFill>
                    <w14:schemeClr w14:val="tx1"/>
                  </w14:solidFill>
                </w14:textFill>
              </w:rPr>
              <w:t>家</w:t>
            </w:r>
            <w:r>
              <w:rPr>
                <w:rFonts w:hint="eastAsia" w:ascii="微软雅黑" w:hAnsi="微软雅黑" w:eastAsia="微软雅黑" w:cs="微软雅黑"/>
                <w:b w:val="0"/>
                <w:bCs/>
                <w:color w:val="000000" w:themeColor="text1"/>
                <w:sz w:val="18"/>
                <w:szCs w:val="18"/>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建筑房地产业17家。</w:t>
            </w:r>
          </w:p>
        </w:tc>
        <w:tc>
          <w:tcPr>
            <w:tcW w:w="1256" w:type="pct"/>
            <w:tcBorders>
              <w:top w:val="single" w:color="auto" w:sz="6" w:space="0"/>
              <w:left w:val="nil"/>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firstLine="360" w:firstLineChars="200"/>
              <w:rPr>
                <w:rFonts w:hint="eastAsia" w:ascii="微软雅黑" w:hAnsi="微软雅黑" w:eastAsia="微软雅黑" w:cs="微软雅黑"/>
                <w:b w:val="0"/>
                <w:bCs/>
                <w:color w:val="000000" w:themeColor="text1"/>
                <w:sz w:val="18"/>
                <w:szCs w:val="18"/>
                <w:highlight w:val="none"/>
                <w14:textFill>
                  <w14:solidFill>
                    <w14:schemeClr w14:val="tx1"/>
                  </w14:solidFill>
                </w14:textFill>
              </w:rPr>
            </w:pPr>
            <w:r>
              <w:rPr>
                <w:rFonts w:hint="default" w:ascii="微软雅黑" w:hAnsi="微软雅黑" w:eastAsia="微软雅黑" w:cs="微软雅黑"/>
                <w:b w:val="0"/>
                <w:bCs/>
                <w:color w:val="000000" w:themeColor="text1"/>
                <w:sz w:val="18"/>
                <w:szCs w:val="18"/>
                <w:highlight w:val="none"/>
                <w:lang w:val="en-US" w:eastAsia="zh-CN"/>
                <w14:textFill>
                  <w14:solidFill>
                    <w14:schemeClr w14:val="tx1"/>
                  </w14:solidFill>
                </w14:textFill>
              </w:rPr>
              <w:t>立足我县市场主体现状，深度挖掘相关行业纳统潜力，多渠道、多层次拓展收集重点行业拟纳统企业，进一步完善、充实拟纳统企业名录，深入一线走访，持续做好月度纳统工作指导培训，指导完善纳统手续，提高通过率，确保高质量完成纳统工作。</w:t>
            </w:r>
          </w:p>
        </w:tc>
        <w:tc>
          <w:tcPr>
            <w:tcW w:w="467" w:type="pct"/>
            <w:tcBorders>
              <w:top w:val="single" w:color="auto" w:sz="6" w:space="0"/>
              <w:left w:val="nil"/>
              <w:bottom w:val="single" w:color="auto" w:sz="6" w:space="0"/>
              <w:right w:val="single" w:color="auto" w:sz="12"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汶上县统计局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48" w:hRule="atLeast"/>
        </w:trPr>
        <w:tc>
          <w:tcPr>
            <w:tcW w:w="383" w:type="pct"/>
            <w:tcBorders>
              <w:top w:val="single" w:color="auto" w:sz="6" w:space="0"/>
              <w:left w:val="single" w:color="auto" w:sz="12" w:space="0"/>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Style w:val="11"/>
                <w:rFonts w:hint="default" w:ascii="微软雅黑" w:hAnsi="微软雅黑" w:eastAsia="微软雅黑" w:cs="微软雅黑"/>
                <w:b w:val="0"/>
                <w:bCs/>
                <w:i w:val="0"/>
                <w:caps w:val="0"/>
                <w:color w:val="000000" w:themeColor="text1"/>
                <w:spacing w:val="0"/>
                <w:sz w:val="24"/>
                <w:szCs w:val="24"/>
                <w:highlight w:val="none"/>
                <w:lang w:val="en-US" w:eastAsia="zh-CN"/>
                <w14:textFill>
                  <w14:solidFill>
                    <w14:schemeClr w14:val="tx1"/>
                  </w14:solidFill>
                </w14:textFill>
              </w:rPr>
            </w:pPr>
            <w:r>
              <w:rPr>
                <w:rStyle w:val="11"/>
                <w:rFonts w:hint="eastAsia" w:ascii="微软雅黑" w:hAnsi="微软雅黑" w:eastAsia="微软雅黑" w:cs="微软雅黑"/>
                <w:b w:val="0"/>
                <w:bCs/>
                <w:i w:val="0"/>
                <w:caps w:val="0"/>
                <w:color w:val="000000" w:themeColor="text1"/>
                <w:spacing w:val="0"/>
                <w:sz w:val="24"/>
                <w:szCs w:val="24"/>
                <w:highlight w:val="none"/>
                <w:lang w:val="en-US" w:eastAsia="zh-CN"/>
                <w14:textFill>
                  <w14:solidFill>
                    <w14:schemeClr w14:val="tx1"/>
                  </w14:solidFill>
                </w14:textFill>
              </w:rPr>
              <w:t>89</w:t>
            </w:r>
          </w:p>
        </w:tc>
        <w:tc>
          <w:tcPr>
            <w:tcW w:w="1148"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default" w:ascii="微软雅黑" w:hAnsi="微软雅黑" w:eastAsia="微软雅黑" w:cs="微软雅黑"/>
                <w:b w:val="0"/>
                <w:bCs/>
                <w:color w:val="000000" w:themeColor="text1"/>
                <w:sz w:val="18"/>
                <w:szCs w:val="18"/>
                <w:highlight w:val="none"/>
                <w:lang w:val="en-US" w:eastAsia="zh-CN"/>
                <w14:textFill>
                  <w14:solidFill>
                    <w14:schemeClr w14:val="tx1"/>
                  </w14:solidFill>
                </w14:textFill>
              </w:rPr>
            </w:pPr>
            <w:r>
              <w:rPr>
                <w:rFonts w:hint="default" w:ascii="微软雅黑" w:hAnsi="微软雅黑" w:eastAsia="微软雅黑" w:cs="微软雅黑"/>
                <w:b w:val="0"/>
                <w:bCs/>
                <w:color w:val="000000" w:themeColor="text1"/>
                <w:sz w:val="18"/>
                <w:szCs w:val="18"/>
                <w:highlight w:val="none"/>
                <w:lang w:val="en-US" w:eastAsia="zh-CN"/>
                <w14:textFill>
                  <w14:solidFill>
                    <w14:schemeClr w14:val="tx1"/>
                  </w14:solidFill>
                </w14:textFill>
              </w:rPr>
              <w:t>全力做好“五经普”工作</w:t>
            </w:r>
          </w:p>
        </w:tc>
        <w:tc>
          <w:tcPr>
            <w:tcW w:w="1743"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7"/>
              <w:numPr>
                <w:ilvl w:val="0"/>
                <w:numId w:val="0"/>
              </w:numPr>
              <w:ind w:firstLine="360" w:firstLineChars="200"/>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1.县经普办分批次培训镇街业务骨干、村级和社区两员1500余人次；培训部门普查员200余人次。经过培训普查两员均通过考试，并完成普查员制证工作。</w:t>
            </w:r>
          </w:p>
          <w:p>
            <w:pPr>
              <w:pStyle w:val="7"/>
              <w:numPr>
                <w:ilvl w:val="0"/>
                <w:numId w:val="0"/>
              </w:numPr>
              <w:ind w:firstLine="360" w:firstLineChars="200"/>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2.组织收听收看全市五经普正式登记工作动员会议，会后接续召开全县五经普正式登记工作动员会议，县委副书记、县长李强安排部署登记阶段有关工作。</w:t>
            </w:r>
          </w:p>
          <w:p>
            <w:pPr>
              <w:pStyle w:val="7"/>
              <w:numPr>
                <w:ilvl w:val="0"/>
                <w:numId w:val="0"/>
              </w:numPr>
              <w:ind w:firstLine="360" w:firstLineChars="200"/>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3.县领导深入中都街道、寅寺镇、化工园区部分个体户和企业，调研经济普查登记工作，看望慰问一线普查员。县经普办开展正式登记宣传活动，现场发放宣传挂历、一封信、告知书等资料600余份。</w:t>
            </w:r>
          </w:p>
          <w:p>
            <w:pPr>
              <w:pStyle w:val="7"/>
              <w:numPr>
                <w:ilvl w:val="0"/>
                <w:numId w:val="0"/>
              </w:numPr>
              <w:ind w:firstLine="360" w:firstLineChars="200"/>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4.目前已安排对全县抽样调查的1984户个体户开展登记前的摸排，下发了个体户入户调查参考意见，安排镇街指导个体户建立统计台账，依据台账填报草表，审核无误后在个体户实际经营地采集数据上报平台。</w:t>
            </w:r>
          </w:p>
          <w:p>
            <w:pPr>
              <w:pStyle w:val="7"/>
              <w:numPr>
                <w:ilvl w:val="0"/>
                <w:numId w:val="0"/>
              </w:numPr>
              <w:ind w:firstLine="360" w:firstLineChars="200"/>
              <w:rPr>
                <w:rFonts w:hint="default" w:ascii="微软雅黑" w:hAnsi="微软雅黑" w:eastAsia="微软雅黑" w:cs="微软雅黑"/>
                <w:b w:val="0"/>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5.目前已完成各专业对一套表单位的五经普年报培训。下步将安排对非一套表企业的主要指标的摸排安排镇街指导企业建立统计台账，依据台账填报草表。</w:t>
            </w:r>
          </w:p>
        </w:tc>
        <w:tc>
          <w:tcPr>
            <w:tcW w:w="1256" w:type="pct"/>
            <w:tcBorders>
              <w:top w:val="single" w:color="auto" w:sz="6" w:space="0"/>
              <w:left w:val="nil"/>
              <w:bottom w:val="single" w:color="auto" w:sz="6" w:space="0"/>
              <w:right w:val="single" w:color="auto" w:sz="6" w:space="0"/>
            </w:tcBorders>
            <w:shd w:val="clear" w:color="auto" w:fill="FFFFFF"/>
            <w:tcMar>
              <w:top w:w="0" w:type="dxa"/>
              <w:bottom w:w="0" w:type="dxa"/>
            </w:tcMar>
            <w:vAlign w:val="center"/>
          </w:tcPr>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rPr>
                <w:rFonts w:hint="eastAsia"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t>明确时间节点确保登记工作有序推进。按照普查方案，1月30日，完成个体户普查登记工作。2月2日，完成行政事业单位相关数据纸质表上报工作，2月中下旬完成行政事业单位普查登记。2月中旬前，完成非一套表企业主要指标摸排。1月中下旬-2月底，完成一套表企业普查登记工作（企业联网直报）。1月下旬-3月底，完成非一套表单位数据采集。3月份完成普查底册补充单位数据采集。查疑补漏工作贯穿普查登记全过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rPr>
                <w:rFonts w:hint="default"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pPr>
            <w:r>
              <w:rPr>
                <w:rFonts w:hint="default"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t>加强对个体户普查数据的审核力度。由县经普办各专业组牵头，利用五经普数据处理平台查询分析、快速汇总等功能开展对数据的分析审核，确保普查程序符合方案要求，数据质量真实可靠。</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rPr>
                <w:rFonts w:hint="default"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pPr>
            <w:r>
              <w:rPr>
                <w:rFonts w:hint="default"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t>把握重点确保真实准确反映发展实际。深挖企业效益指标，加强“四项构成”分析研判，深入企业解剖分解，盯住数字经济等重点领域，精准反映、提升质效。进一步加强数字经济数据挖掘培训指导，准确把握指标内涵，提升数字经济甄别能力。</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rPr>
                <w:rFonts w:hint="default"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t>继续</w:t>
            </w:r>
            <w:r>
              <w:rPr>
                <w:rFonts w:hint="default"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t>坚持把保证数据质量作为普查工作的根本要求，严格执行普查方案，规范普查工作流程。对普查数据即报即审、即错即改，通过审核评估、关联分析、底册比对等方式，实时会商、质量监测、预警推动，每周开展数据研判分析，确保每个数据真实准确。加强统筹指导，用好“212”工作机制，定期开展督导检查</w:t>
            </w:r>
            <w:r>
              <w:rPr>
                <w:rFonts w:hint="eastAsia"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t>，</w:t>
            </w:r>
            <w:r>
              <w:rPr>
                <w:rFonts w:hint="default" w:ascii="微软雅黑" w:hAnsi="微软雅黑" w:eastAsia="微软雅黑" w:cs="微软雅黑"/>
                <w:b w:val="0"/>
                <w:bCs/>
                <w:color w:val="000000" w:themeColor="text1"/>
                <w:kern w:val="2"/>
                <w:sz w:val="18"/>
                <w:szCs w:val="18"/>
                <w:highlight w:val="none"/>
                <w:lang w:val="en-US" w:eastAsia="zh-CN" w:bidi="ar-SA"/>
                <w14:textFill>
                  <w14:solidFill>
                    <w14:schemeClr w14:val="tx1"/>
                  </w14:solidFill>
                </w14:textFill>
              </w:rPr>
              <w:t>确保普查质量经得起检验。</w:t>
            </w:r>
          </w:p>
        </w:tc>
        <w:tc>
          <w:tcPr>
            <w:tcW w:w="467" w:type="pct"/>
            <w:tcBorders>
              <w:top w:val="single" w:color="auto" w:sz="6" w:space="0"/>
              <w:left w:val="nil"/>
              <w:bottom w:val="single" w:color="auto" w:sz="6" w:space="0"/>
              <w:right w:val="single" w:color="auto" w:sz="12" w:space="0"/>
            </w:tcBorders>
            <w:shd w:val="clear" w:color="auto" w:fill="FFFFFF"/>
            <w:tcMar>
              <w:top w:w="0" w:type="dxa"/>
              <w:bottom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default" w:ascii="微软雅黑" w:hAnsi="微软雅黑" w:eastAsia="微软雅黑" w:cs="微软雅黑"/>
                <w:b w:val="0"/>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18"/>
                <w:szCs w:val="18"/>
                <w:highlight w:val="none"/>
                <w:lang w:val="en-US" w:eastAsia="zh-CN"/>
                <w14:textFill>
                  <w14:solidFill>
                    <w14:schemeClr w14:val="tx1"/>
                  </w14:solidFill>
                </w14:textFill>
              </w:rPr>
              <w:t>汶上县统计局</w:t>
            </w:r>
          </w:p>
        </w:tc>
      </w:tr>
    </w:tbl>
    <w:p>
      <w:pPr>
        <w:keepNext w:val="0"/>
        <w:keepLines w:val="0"/>
        <w:widowControl/>
        <w:suppressLineNumbers w:val="0"/>
        <w:spacing w:line="330" w:lineRule="atLeast"/>
        <w:ind w:left="0" w:firstLine="0"/>
        <w:jc w:val="both"/>
        <w:rPr>
          <w:rFonts w:hint="default" w:ascii="微软雅黑" w:hAnsi="微软雅黑" w:eastAsia="微软雅黑" w:cs="微软雅黑"/>
          <w:b w:val="0"/>
          <w:bCs w:val="0"/>
          <w:i w:val="0"/>
          <w:caps w:val="0"/>
          <w:color w:val="000000" w:themeColor="text1"/>
          <w:spacing w:val="0"/>
          <w:kern w:val="0"/>
          <w:sz w:val="21"/>
          <w:szCs w:val="21"/>
          <w:lang w:val="en-US" w:eastAsia="zh-CN" w:bidi="ar"/>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B4206"/>
    <w:multiLevelType w:val="singleLevel"/>
    <w:tmpl w:val="8ACB420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jc4OGM5NTUyNmZiMmQzZTU3NDgxMGNmMmVmZTMifQ=="/>
  </w:docVars>
  <w:rsids>
    <w:rsidRoot w:val="00000000"/>
    <w:rsid w:val="00AF1D38"/>
    <w:rsid w:val="00F46117"/>
    <w:rsid w:val="01967019"/>
    <w:rsid w:val="106F34CF"/>
    <w:rsid w:val="11454871"/>
    <w:rsid w:val="15C959DA"/>
    <w:rsid w:val="1DA53A2D"/>
    <w:rsid w:val="224E2FDB"/>
    <w:rsid w:val="23E12612"/>
    <w:rsid w:val="2AD46B31"/>
    <w:rsid w:val="2C350303"/>
    <w:rsid w:val="2E83277B"/>
    <w:rsid w:val="2FFD7669"/>
    <w:rsid w:val="33FB733F"/>
    <w:rsid w:val="3EEA21AE"/>
    <w:rsid w:val="5CC01F88"/>
    <w:rsid w:val="61AD2ECF"/>
    <w:rsid w:val="777C11C9"/>
    <w:rsid w:val="783B171B"/>
    <w:rsid w:val="78C351EF"/>
    <w:rsid w:val="7D7C3B6C"/>
    <w:rsid w:val="7DE3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文件格式"/>
    <w:basedOn w:val="1"/>
    <w:autoRedefine/>
    <w:qFormat/>
    <w:uiPriority w:val="0"/>
    <w:pPr>
      <w:widowControl/>
      <w:spacing w:line="460" w:lineRule="atLeast"/>
      <w:ind w:left="1" w:firstLine="419"/>
      <w:jc w:val="both"/>
      <w:textAlignment w:val="bottom"/>
    </w:pPr>
    <w:rPr>
      <w:kern w:val="0"/>
      <w:szCs w:val="32"/>
    </w:rPr>
  </w:style>
  <w:style w:type="paragraph" w:styleId="3">
    <w:name w:val="Body Text"/>
    <w:basedOn w:val="1"/>
    <w:autoRedefine/>
    <w:qFormat/>
    <w:uiPriority w:val="99"/>
    <w:pPr>
      <w:spacing w:after="120"/>
    </w:pPr>
  </w:style>
  <w:style w:type="paragraph" w:styleId="4">
    <w:name w:val="Body Text Indent"/>
    <w:basedOn w:val="1"/>
    <w:next w:val="5"/>
    <w:autoRedefine/>
    <w:qFormat/>
    <w:uiPriority w:val="0"/>
    <w:pPr>
      <w:spacing w:after="120"/>
      <w:ind w:left="200" w:leftChars="200"/>
    </w:pPr>
    <w:rPr>
      <w:rFonts w:ascii="Calibri" w:hAnsi="Calibri" w:eastAsia="宋体" w:cs="Times New Roman"/>
      <w:lang w:bidi="ar-SA"/>
    </w:rPr>
  </w:style>
  <w:style w:type="paragraph" w:customStyle="1" w:styleId="5">
    <w:name w:val="样式 正文文本缩进 + 行距: 1.5 倍行距"/>
    <w:basedOn w:val="4"/>
    <w:autoRedefine/>
    <w:qFormat/>
    <w:uiPriority w:val="0"/>
    <w:pPr>
      <w:ind w:left="32" w:leftChars="32" w:firstLine="200" w:firstLineChars="200"/>
    </w:pPr>
    <w:rPr>
      <w:rFonts w:ascii="Calibri" w:hAnsi="Calibri" w:eastAsia="宋体" w:cs="宋体"/>
      <w:lang w:bidi="ar-SA"/>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autoRedefine/>
    <w:qFormat/>
    <w:uiPriority w:val="99"/>
    <w:pPr>
      <w:ind w:firstLine="420" w:firstLineChars="100"/>
    </w:pPr>
  </w:style>
  <w:style w:type="paragraph" w:styleId="8">
    <w:name w:val="Body Text First Indent 2"/>
    <w:basedOn w:val="4"/>
    <w:next w:val="7"/>
    <w:autoRedefine/>
    <w:qFormat/>
    <w:uiPriority w:val="0"/>
    <w:pPr>
      <w:ind w:firstLine="200" w:firstLineChars="200"/>
    </w:pPr>
    <w:rPr>
      <w:rFonts w:ascii="Calibri" w:hAnsi="Calibri" w:eastAsia="宋体" w:cs="Times New Roman"/>
      <w:lang w:bidi="ar-SA"/>
    </w:rPr>
  </w:style>
  <w:style w:type="character" w:styleId="11">
    <w:name w:val="Strong"/>
    <w:basedOn w:val="10"/>
    <w:autoRedefine/>
    <w:qFormat/>
    <w:uiPriority w:val="0"/>
    <w:rPr>
      <w:b/>
    </w:rPr>
  </w:style>
  <w:style w:type="character" w:styleId="12">
    <w:name w:val="FollowedHyperlink"/>
    <w:basedOn w:val="10"/>
    <w:qFormat/>
    <w:uiPriority w:val="0"/>
    <w:rPr>
      <w:color w:val="800080"/>
      <w:u w:val="single"/>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756</Words>
  <Characters>786</Characters>
  <Lines>0</Lines>
  <Paragraphs>0</Paragraphs>
  <TotalTime>22</TotalTime>
  <ScaleCrop>false</ScaleCrop>
  <LinksUpToDate>false</LinksUpToDate>
  <CharactersWithSpaces>788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2021-01-05T11:19:00Z</dcterms:created>
  <dc:creator>Administrator</dc:creator>
  <cp:lastModifiedBy>阿巧</cp:lastModifiedBy>
  <cp:lastPrinted>2024-02-19T07:09:00Z</cp:lastPrinted>
  <dcterms:modified xsi:type="dcterms:W3CDTF">2024-02-19T07:23:53Z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E2DC9B15B5F24F15A37538599AD158C4_13</vt:lpwstr>
  </property>
</Properties>
</file>