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0F27">
      <w:pPr>
        <w:numPr>
          <w:ilvl w:val="0"/>
          <w:numId w:val="0"/>
        </w:numPr>
        <w:spacing w:line="400" w:lineRule="exact"/>
        <w:ind w:firstLine="0" w:firstLineChars="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6</w:t>
      </w:r>
    </w:p>
    <w:p w14:paraId="00DBA14C">
      <w:pPr>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当事人送达地址确认书</w:t>
      </w:r>
    </w:p>
    <w:tbl>
      <w:tblPr>
        <w:tblStyle w:val="6"/>
        <w:tblpPr w:leftFromText="180" w:rightFromText="180" w:vertAnchor="page" w:horzAnchor="margin" w:tblpY="2539"/>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72"/>
        <w:gridCol w:w="1016"/>
        <w:gridCol w:w="3075"/>
      </w:tblGrid>
      <w:tr w14:paraId="62DC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28" w:type="dxa"/>
            <w:vAlign w:val="center"/>
          </w:tcPr>
          <w:p w14:paraId="66193CAE">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案由</w:t>
            </w:r>
          </w:p>
        </w:tc>
        <w:tc>
          <w:tcPr>
            <w:tcW w:w="3472" w:type="dxa"/>
            <w:vAlign w:val="center"/>
          </w:tcPr>
          <w:p w14:paraId="52A11740">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 xml:space="preserve">                              </w:t>
            </w:r>
          </w:p>
          <w:p w14:paraId="36752807">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 xml:space="preserve"> </w:t>
            </w:r>
            <w:r>
              <w:rPr>
                <w:rFonts w:hint="eastAsia" w:ascii="方正仿宋_GBK" w:hAnsi="方正仿宋_GBK" w:eastAsia="方正仿宋_GBK" w:cs="方正仿宋_GBK"/>
                <w:color w:val="auto"/>
                <w:szCs w:val="21"/>
                <w:lang w:val="en-US" w:eastAsia="zh-CN"/>
              </w:rPr>
              <w:t xml:space="preserve">       </w:t>
            </w:r>
          </w:p>
        </w:tc>
        <w:tc>
          <w:tcPr>
            <w:tcW w:w="1016" w:type="dxa"/>
            <w:vAlign w:val="center"/>
          </w:tcPr>
          <w:p w14:paraId="33933C90">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案号</w:t>
            </w:r>
          </w:p>
        </w:tc>
        <w:tc>
          <w:tcPr>
            <w:tcW w:w="3075" w:type="dxa"/>
            <w:vAlign w:val="center"/>
          </w:tcPr>
          <w:p w14:paraId="17728CF7">
            <w:pPr>
              <w:spacing w:line="320" w:lineRule="exact"/>
              <w:ind w:firstLine="0" w:firstLineChars="0"/>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lang w:eastAsia="zh-CN"/>
              </w:rPr>
              <w:t>鲁济宁</w:t>
            </w:r>
            <w:r>
              <w:rPr>
                <w:rFonts w:hint="eastAsia" w:ascii="方正仿宋_GBK" w:hAnsi="方正仿宋_GBK" w:eastAsia="方正仿宋_GBK" w:cs="方正仿宋_GBK"/>
                <w:color w:val="auto"/>
                <w:szCs w:val="21"/>
                <w:lang w:val="en-US" w:eastAsia="zh-CN"/>
              </w:rPr>
              <w:t>汶上</w:t>
            </w:r>
            <w:r>
              <w:rPr>
                <w:rFonts w:hint="eastAsia" w:ascii="方正仿宋_GBK" w:hAnsi="方正仿宋_GBK" w:eastAsia="方正仿宋_GBK" w:cs="方正仿宋_GBK"/>
                <w:color w:val="auto"/>
                <w:szCs w:val="21"/>
                <w:lang w:eastAsia="zh-CN"/>
              </w:rPr>
              <w:t>知法裁字（）</w:t>
            </w:r>
            <w:r>
              <w:rPr>
                <w:rFonts w:hint="eastAsia" w:ascii="方正仿宋_GBK" w:hAnsi="方正仿宋_GBK" w:eastAsia="方正仿宋_GBK" w:cs="方正仿宋_GBK"/>
                <w:color w:val="auto"/>
                <w:szCs w:val="21"/>
              </w:rPr>
              <w:t xml:space="preserve">  </w:t>
            </w:r>
            <w:r>
              <w:rPr>
                <w:rFonts w:hint="eastAsia" w:ascii="方正仿宋_GBK" w:hAnsi="方正仿宋_GBK" w:eastAsia="方正仿宋_GBK" w:cs="方正仿宋_GBK"/>
                <w:color w:val="auto"/>
                <w:szCs w:val="21"/>
                <w:lang w:val="en-US" w:eastAsia="zh-CN"/>
              </w:rPr>
              <w:t xml:space="preserve"> </w:t>
            </w:r>
            <w:r>
              <w:rPr>
                <w:rFonts w:hint="eastAsia" w:ascii="方正仿宋_GBK" w:hAnsi="方正仿宋_GBK" w:eastAsia="方正仿宋_GBK" w:cs="方正仿宋_GBK"/>
                <w:color w:val="auto"/>
                <w:szCs w:val="21"/>
              </w:rPr>
              <w:t xml:space="preserve">  </w:t>
            </w:r>
            <w:r>
              <w:rPr>
                <w:rFonts w:hint="eastAsia" w:ascii="方正仿宋_GBK" w:hAnsi="方正仿宋_GBK" w:eastAsia="方正仿宋_GBK" w:cs="方正仿宋_GBK"/>
                <w:color w:val="auto"/>
                <w:szCs w:val="21"/>
                <w:lang w:val="en-US" w:eastAsia="zh-CN"/>
              </w:rPr>
              <w:t>000</w:t>
            </w:r>
            <w:r>
              <w:rPr>
                <w:rFonts w:hint="eastAsia" w:ascii="方正仿宋_GBK" w:hAnsi="方正仿宋_GBK" w:eastAsia="方正仿宋_GBK" w:cs="方正仿宋_GBK"/>
                <w:color w:val="auto"/>
                <w:szCs w:val="21"/>
              </w:rPr>
              <w:t>号</w:t>
            </w:r>
          </w:p>
        </w:tc>
      </w:tr>
      <w:tr w14:paraId="019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8" w:hRule="atLeast"/>
        </w:trPr>
        <w:tc>
          <w:tcPr>
            <w:tcW w:w="828" w:type="dxa"/>
            <w:vAlign w:val="center"/>
          </w:tcPr>
          <w:p w14:paraId="3F2FDAF1">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告</w:t>
            </w:r>
          </w:p>
          <w:p w14:paraId="5BD4075F">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知</w:t>
            </w:r>
          </w:p>
          <w:p w14:paraId="060638B9">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事</w:t>
            </w:r>
          </w:p>
          <w:p w14:paraId="7B0969CD">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项</w:t>
            </w:r>
          </w:p>
        </w:tc>
        <w:tc>
          <w:tcPr>
            <w:tcW w:w="7563" w:type="dxa"/>
            <w:gridSpan w:val="3"/>
            <w:vAlign w:val="center"/>
          </w:tcPr>
          <w:p w14:paraId="4EE14F52">
            <w:pPr>
              <w:tabs>
                <w:tab w:val="left" w:pos="1620"/>
              </w:tabs>
              <w:spacing w:line="320" w:lineRule="exact"/>
              <w:ind w:firstLine="420" w:firstLineChars="200"/>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根据</w:t>
            </w:r>
            <w:r>
              <w:rPr>
                <w:rFonts w:hint="eastAsia" w:ascii="方正仿宋_GBK" w:hAnsi="方正仿宋_GBK" w:eastAsia="方正仿宋_GBK" w:cs="方正仿宋_GBK"/>
                <w:color w:val="auto"/>
                <w:szCs w:val="21"/>
                <w:lang w:eastAsia="zh-CN"/>
              </w:rPr>
              <w:t>国家知识产权局《专利侵权纠纷行政裁决办案指南》有关送达</w:t>
            </w:r>
            <w:r>
              <w:rPr>
                <w:rFonts w:hint="eastAsia" w:ascii="方正仿宋_GBK" w:hAnsi="方正仿宋_GBK" w:eastAsia="方正仿宋_GBK" w:cs="方正仿宋_GBK"/>
                <w:color w:val="auto"/>
                <w:szCs w:val="21"/>
              </w:rPr>
              <w:t>的规定，</w:t>
            </w:r>
            <w:r>
              <w:rPr>
                <w:rFonts w:hint="eastAsia" w:ascii="方正仿宋_GBK" w:hAnsi="方正仿宋_GBK" w:eastAsia="方正仿宋_GBK" w:cs="方正仿宋_GBK"/>
                <w:color w:val="auto"/>
                <w:szCs w:val="21"/>
                <w:lang w:eastAsia="zh-CN"/>
              </w:rPr>
              <w:t>有关事项</w:t>
            </w:r>
            <w:r>
              <w:rPr>
                <w:rFonts w:hint="eastAsia" w:ascii="方正仿宋_GBK" w:hAnsi="方正仿宋_GBK" w:eastAsia="方正仿宋_GBK" w:cs="方正仿宋_GBK"/>
                <w:color w:val="auto"/>
                <w:szCs w:val="21"/>
              </w:rPr>
              <w:t>告知如下：</w:t>
            </w:r>
            <w:r>
              <w:rPr>
                <w:rFonts w:hint="eastAsia" w:ascii="方正仿宋_GBK" w:hAnsi="方正仿宋_GBK" w:eastAsia="方正仿宋_GBK" w:cs="方正仿宋_GBK"/>
                <w:color w:val="auto"/>
                <w:szCs w:val="21"/>
              </w:rPr>
              <w:br w:type="textWrapping"/>
            </w:r>
            <w:r>
              <w:rPr>
                <w:rFonts w:hint="eastAsia" w:ascii="方正仿宋_GBK" w:hAnsi="方正仿宋_GBK" w:eastAsia="方正仿宋_GBK" w:cs="方正仿宋_GBK"/>
                <w:color w:val="auto"/>
                <w:szCs w:val="21"/>
              </w:rPr>
              <w:t xml:space="preserve">    一、为便于当事人及时收到</w:t>
            </w:r>
            <w:r>
              <w:rPr>
                <w:rFonts w:hint="eastAsia" w:ascii="方正仿宋_GBK" w:hAnsi="方正仿宋_GBK" w:eastAsia="方正仿宋_GBK" w:cs="方正仿宋_GBK"/>
                <w:color w:val="auto"/>
                <w:szCs w:val="21"/>
                <w:lang w:eastAsia="zh-CN"/>
              </w:rPr>
              <w:t>管理专利工作的部门裁决</w:t>
            </w:r>
            <w:r>
              <w:rPr>
                <w:rFonts w:hint="eastAsia" w:ascii="方正仿宋_GBK" w:hAnsi="方正仿宋_GBK" w:eastAsia="方正仿宋_GBK" w:cs="方正仿宋_GBK"/>
                <w:color w:val="auto"/>
                <w:szCs w:val="21"/>
              </w:rPr>
              <w:t>文书，保证</w:t>
            </w:r>
            <w:r>
              <w:rPr>
                <w:rFonts w:hint="eastAsia" w:ascii="方正仿宋_GBK" w:hAnsi="方正仿宋_GBK" w:eastAsia="方正仿宋_GBK" w:cs="方正仿宋_GBK"/>
                <w:color w:val="auto"/>
                <w:szCs w:val="21"/>
                <w:lang w:eastAsia="zh-CN"/>
              </w:rPr>
              <w:t>裁决</w:t>
            </w:r>
            <w:r>
              <w:rPr>
                <w:rFonts w:hint="eastAsia" w:ascii="方正仿宋_GBK" w:hAnsi="方正仿宋_GBK" w:eastAsia="方正仿宋_GBK" w:cs="方正仿宋_GBK"/>
                <w:color w:val="auto"/>
                <w:szCs w:val="21"/>
              </w:rPr>
              <w:t>程序顺利进行，当事人应当如实提供确切的送达地址；</w:t>
            </w:r>
            <w:r>
              <w:rPr>
                <w:rFonts w:hint="eastAsia" w:ascii="方正仿宋_GBK" w:hAnsi="方正仿宋_GBK" w:eastAsia="方正仿宋_GBK" w:cs="方正仿宋_GBK"/>
                <w:color w:val="auto"/>
                <w:szCs w:val="21"/>
              </w:rPr>
              <w:br w:type="textWrapping"/>
            </w:r>
            <w:r>
              <w:rPr>
                <w:rFonts w:hint="eastAsia" w:ascii="方正仿宋_GBK" w:hAnsi="方正仿宋_GBK" w:eastAsia="方正仿宋_GBK" w:cs="方正仿宋_GBK"/>
                <w:color w:val="auto"/>
                <w:szCs w:val="21"/>
              </w:rPr>
              <w:t xml:space="preserve">    二、当事人拒绝提供自己的送达地址的，自然人依其户籍登记中的住所地或者经常居住地为送达地址；法人或者其他组织以其工商登记或者其他依法登记、备案中的住所地为送达地址。</w:t>
            </w:r>
            <w:r>
              <w:rPr>
                <w:rFonts w:hint="eastAsia" w:ascii="方正仿宋_GBK" w:hAnsi="方正仿宋_GBK" w:eastAsia="方正仿宋_GBK" w:cs="方正仿宋_GBK"/>
                <w:color w:val="auto"/>
                <w:szCs w:val="21"/>
              </w:rPr>
              <w:br w:type="textWrapping"/>
            </w:r>
            <w:r>
              <w:rPr>
                <w:rFonts w:hint="eastAsia" w:ascii="方正仿宋_GBK" w:hAnsi="方正仿宋_GBK" w:eastAsia="方正仿宋_GBK" w:cs="方正仿宋_GBK"/>
                <w:color w:val="auto"/>
                <w:szCs w:val="21"/>
              </w:rPr>
              <w:t xml:space="preserve">    三、因受送达人自己提供或者确认的送达地址不准确、拒不提供送达地址、送达地址变更未及时告知</w:t>
            </w:r>
            <w:r>
              <w:rPr>
                <w:rFonts w:hint="eastAsia" w:ascii="方正仿宋_GBK" w:hAnsi="方正仿宋_GBK" w:eastAsia="方正仿宋_GBK" w:cs="方正仿宋_GBK"/>
                <w:color w:val="auto"/>
                <w:szCs w:val="21"/>
                <w:lang w:eastAsia="zh-CN"/>
              </w:rPr>
              <w:t>管理专利工作的部门</w:t>
            </w:r>
            <w:r>
              <w:rPr>
                <w:rFonts w:hint="eastAsia" w:ascii="方正仿宋_GBK" w:hAnsi="方正仿宋_GBK" w:eastAsia="方正仿宋_GBK" w:cs="方正仿宋_GBK"/>
                <w:color w:val="auto"/>
                <w:szCs w:val="21"/>
              </w:rPr>
              <w:t>、受送达人本人或者受送达人的委托代理人、指定代收人拒绝签收，导致</w:t>
            </w:r>
            <w:r>
              <w:rPr>
                <w:rFonts w:hint="eastAsia" w:ascii="方正仿宋_GBK" w:hAnsi="方正仿宋_GBK" w:eastAsia="方正仿宋_GBK" w:cs="方正仿宋_GBK"/>
                <w:color w:val="auto"/>
                <w:szCs w:val="21"/>
                <w:lang w:eastAsia="zh-CN"/>
              </w:rPr>
              <w:t>裁决</w:t>
            </w:r>
            <w:r>
              <w:rPr>
                <w:rFonts w:hint="eastAsia" w:ascii="方正仿宋_GBK" w:hAnsi="方正仿宋_GBK" w:eastAsia="方正仿宋_GBK" w:cs="方正仿宋_GBK"/>
                <w:color w:val="auto"/>
                <w:szCs w:val="21"/>
              </w:rPr>
              <w:t>文书未能被受送达人实际接收的，邮寄送达的，邮件回执上注明的退回之日视为送达之日，直接送达的，送达人当场在送达回证上记明情况之日视为送达之日。</w:t>
            </w:r>
          </w:p>
        </w:tc>
      </w:tr>
      <w:tr w14:paraId="41EC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9" w:hRule="atLeast"/>
        </w:trPr>
        <w:tc>
          <w:tcPr>
            <w:tcW w:w="828" w:type="dxa"/>
            <w:tcBorders>
              <w:bottom w:val="single" w:color="auto" w:sz="4" w:space="0"/>
            </w:tcBorders>
            <w:vAlign w:val="center"/>
          </w:tcPr>
          <w:p w14:paraId="69A4BF7F">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送</w:t>
            </w:r>
          </w:p>
          <w:p w14:paraId="66E99CC6">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达</w:t>
            </w:r>
          </w:p>
          <w:p w14:paraId="7B6E69FF">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地</w:t>
            </w:r>
          </w:p>
          <w:p w14:paraId="05B9238D">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址</w:t>
            </w:r>
          </w:p>
        </w:tc>
        <w:tc>
          <w:tcPr>
            <w:tcW w:w="7563" w:type="dxa"/>
            <w:gridSpan w:val="3"/>
            <w:tcBorders>
              <w:bottom w:val="single" w:color="auto" w:sz="4" w:space="0"/>
            </w:tcBorders>
            <w:vAlign w:val="center"/>
          </w:tcPr>
          <w:p w14:paraId="52B5AF3D">
            <w:pPr>
              <w:tabs>
                <w:tab w:val="left" w:pos="1620"/>
              </w:tabs>
              <w:spacing w:line="320" w:lineRule="exact"/>
              <w:ind w:firstLine="420" w:firstLineChars="200"/>
              <w:rPr>
                <w:rFonts w:hint="eastAsia" w:ascii="方正仿宋_GBK" w:hAnsi="方正仿宋_GBK" w:eastAsia="方正仿宋_GBK" w:cs="方正仿宋_GBK"/>
                <w:color w:val="auto"/>
                <w:szCs w:val="21"/>
                <w:u w:val="single"/>
                <w:lang w:val="en-US" w:eastAsia="zh-CN"/>
              </w:rPr>
            </w:pPr>
            <w:r>
              <w:rPr>
                <w:rFonts w:hint="eastAsia" w:ascii="方正仿宋_GBK" w:hAnsi="方正仿宋_GBK" w:eastAsia="方正仿宋_GBK" w:cs="方正仿宋_GBK"/>
                <w:color w:val="auto"/>
                <w:szCs w:val="21"/>
              </w:rPr>
              <w:t>当事人（如系他人，请注明与当事人关系）：</w:t>
            </w:r>
            <w:r>
              <w:rPr>
                <w:rFonts w:hint="eastAsia" w:ascii="方正仿宋_GBK" w:hAnsi="方正仿宋_GBK" w:eastAsia="方正仿宋_GBK" w:cs="方正仿宋_GBK"/>
                <w:color w:val="auto"/>
                <w:szCs w:val="21"/>
                <w:u w:val="single"/>
                <w:lang w:val="en-US" w:eastAsia="zh-CN"/>
              </w:rPr>
              <w:t xml:space="preserve">                                     </w:t>
            </w:r>
          </w:p>
          <w:p w14:paraId="3795514B">
            <w:pPr>
              <w:tabs>
                <w:tab w:val="left" w:pos="1620"/>
              </w:tabs>
              <w:spacing w:line="320" w:lineRule="exact"/>
              <w:ind w:firstLine="420" w:firstLineChars="200"/>
              <w:rPr>
                <w:rFonts w:hint="eastAsia" w:ascii="方正仿宋_GBK" w:hAnsi="方正仿宋_GBK" w:eastAsia="方正仿宋_GBK" w:cs="方正仿宋_GBK"/>
                <w:color w:val="auto"/>
                <w:szCs w:val="21"/>
                <w:u w:val="single"/>
                <w:lang w:val="en-US" w:eastAsia="zh-CN"/>
              </w:rPr>
            </w:pPr>
            <w:r>
              <w:rPr>
                <w:rFonts w:hint="eastAsia" w:ascii="方正仿宋_GBK" w:hAnsi="方正仿宋_GBK" w:eastAsia="方正仿宋_GBK" w:cs="方正仿宋_GBK"/>
                <w:color w:val="auto"/>
                <w:szCs w:val="21"/>
              </w:rPr>
              <w:t>文书送达地址及邮政编码：</w:t>
            </w:r>
            <w:r>
              <w:rPr>
                <w:rFonts w:hint="eastAsia" w:ascii="方正仿宋_GBK" w:hAnsi="方正仿宋_GBK" w:eastAsia="方正仿宋_GBK" w:cs="方正仿宋_GBK"/>
                <w:color w:val="auto"/>
                <w:szCs w:val="21"/>
                <w:u w:val="single"/>
                <w:lang w:val="en-US" w:eastAsia="zh-CN"/>
              </w:rPr>
              <w:t xml:space="preserve">                                                    </w:t>
            </w:r>
          </w:p>
          <w:p w14:paraId="239071BE">
            <w:pPr>
              <w:tabs>
                <w:tab w:val="left" w:pos="1620"/>
              </w:tabs>
              <w:spacing w:line="320" w:lineRule="exact"/>
              <w:ind w:firstLine="420" w:firstLineChars="200"/>
              <w:rPr>
                <w:rFonts w:hint="eastAsia" w:ascii="方正仿宋_GBK" w:hAnsi="方正仿宋_GBK" w:eastAsia="方正仿宋_GBK" w:cs="方正仿宋_GBK"/>
                <w:color w:val="auto"/>
                <w:szCs w:val="21"/>
                <w:u w:val="single"/>
                <w:lang w:val="en-US" w:eastAsia="zh-CN"/>
              </w:rPr>
            </w:pPr>
            <w:r>
              <w:rPr>
                <w:rFonts w:hint="eastAsia" w:ascii="方正仿宋_GBK" w:hAnsi="方正仿宋_GBK" w:eastAsia="方正仿宋_GBK" w:cs="方正仿宋_GBK"/>
                <w:color w:val="auto"/>
                <w:szCs w:val="21"/>
              </w:rPr>
              <w:t>联系电话（移动电话）：</w:t>
            </w:r>
            <w:r>
              <w:rPr>
                <w:rFonts w:hint="eastAsia" w:ascii="方正仿宋_GBK" w:hAnsi="方正仿宋_GBK" w:eastAsia="方正仿宋_GBK" w:cs="方正仿宋_GBK"/>
                <w:color w:val="auto"/>
                <w:szCs w:val="21"/>
                <w:u w:val="single"/>
                <w:lang w:val="en-US" w:eastAsia="zh-CN"/>
              </w:rPr>
              <w:t xml:space="preserve">                                                       </w:t>
            </w:r>
          </w:p>
          <w:p w14:paraId="0CA90EF4">
            <w:pPr>
              <w:tabs>
                <w:tab w:val="left" w:pos="1620"/>
              </w:tabs>
              <w:spacing w:line="320" w:lineRule="exact"/>
              <w:ind w:firstLine="420" w:firstLineChars="200"/>
              <w:rPr>
                <w:rFonts w:hint="eastAsia" w:ascii="方正仿宋_GBK" w:hAnsi="方正仿宋_GBK" w:eastAsia="方正仿宋_GBK" w:cs="方正仿宋_GBK"/>
                <w:color w:val="auto"/>
                <w:szCs w:val="21"/>
                <w:u w:val="single"/>
                <w:lang w:val="en-US" w:eastAsia="zh-CN"/>
              </w:rPr>
            </w:pPr>
            <w:r>
              <w:rPr>
                <w:rFonts w:hint="eastAsia" w:ascii="方正仿宋_GBK" w:hAnsi="方正仿宋_GBK" w:eastAsia="方正仿宋_GBK" w:cs="方正仿宋_GBK"/>
                <w:color w:val="auto"/>
                <w:szCs w:val="21"/>
              </w:rPr>
              <w:t>电子送达地址（包括传真、电子邮件等）：</w:t>
            </w:r>
            <w:r>
              <w:rPr>
                <w:rFonts w:hint="eastAsia" w:ascii="方正仿宋_GBK" w:hAnsi="方正仿宋_GBK" w:eastAsia="方正仿宋_GBK" w:cs="方正仿宋_GBK"/>
                <w:color w:val="auto"/>
                <w:szCs w:val="21"/>
                <w:u w:val="single"/>
                <w:lang w:val="en-US" w:eastAsia="zh-CN"/>
              </w:rPr>
              <w:t xml:space="preserve">                                       </w:t>
            </w:r>
          </w:p>
          <w:p w14:paraId="39FD59F8">
            <w:pPr>
              <w:tabs>
                <w:tab w:val="left" w:pos="1620"/>
              </w:tabs>
              <w:spacing w:line="320" w:lineRule="exact"/>
              <w:ind w:firstLine="420" w:firstLineChars="200"/>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□本人同意</w:t>
            </w:r>
            <w:r>
              <w:rPr>
                <w:rFonts w:hint="eastAsia" w:ascii="方正仿宋_GBK" w:hAnsi="方正仿宋_GBK" w:eastAsia="方正仿宋_GBK" w:cs="方正仿宋_GBK"/>
                <w:color w:val="auto"/>
                <w:szCs w:val="21"/>
                <w:lang w:eastAsia="zh-CN"/>
              </w:rPr>
              <w:t>管理专利工作的部门</w:t>
            </w:r>
            <w:r>
              <w:rPr>
                <w:rFonts w:hint="eastAsia" w:ascii="方正仿宋_GBK" w:hAnsi="方正仿宋_GBK" w:eastAsia="方正仿宋_GBK" w:cs="方正仿宋_GBK"/>
                <w:color w:val="auto"/>
                <w:szCs w:val="21"/>
              </w:rPr>
              <w:t>可以采用传真、电子邮件等电子送达方式送达</w:t>
            </w:r>
            <w:r>
              <w:rPr>
                <w:rFonts w:hint="eastAsia" w:ascii="方正仿宋_GBK" w:hAnsi="方正仿宋_GBK" w:eastAsia="方正仿宋_GBK" w:cs="方正仿宋_GBK"/>
                <w:color w:val="auto"/>
                <w:szCs w:val="21"/>
                <w:lang w:eastAsia="zh-CN"/>
              </w:rPr>
              <w:t>行政</w:t>
            </w:r>
            <w:r>
              <w:rPr>
                <w:rFonts w:hint="eastAsia" w:ascii="方正仿宋_GBK" w:hAnsi="方正仿宋_GBK" w:eastAsia="方正仿宋_GBK" w:cs="方正仿宋_GBK"/>
                <w:color w:val="auto"/>
                <w:szCs w:val="21"/>
              </w:rPr>
              <w:t>判决书、调解书以外的</w:t>
            </w:r>
            <w:r>
              <w:rPr>
                <w:rFonts w:hint="eastAsia" w:ascii="方正仿宋_GBK" w:hAnsi="方正仿宋_GBK" w:eastAsia="方正仿宋_GBK" w:cs="方正仿宋_GBK"/>
                <w:color w:val="auto"/>
                <w:szCs w:val="21"/>
                <w:lang w:eastAsia="zh-CN"/>
              </w:rPr>
              <w:t>裁决</w:t>
            </w:r>
            <w:r>
              <w:rPr>
                <w:rFonts w:hint="eastAsia" w:ascii="方正仿宋_GBK" w:hAnsi="方正仿宋_GBK" w:eastAsia="方正仿宋_GBK" w:cs="方正仿宋_GBK"/>
                <w:color w:val="auto"/>
                <w:szCs w:val="21"/>
              </w:rPr>
              <w:t>文书，并以传真、电子邮件等到达本人特定系统的日期为送达日期。</w:t>
            </w:r>
          </w:p>
        </w:tc>
      </w:tr>
      <w:tr w14:paraId="7B72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3" w:hRule="atLeast"/>
        </w:trPr>
        <w:tc>
          <w:tcPr>
            <w:tcW w:w="828" w:type="dxa"/>
            <w:vAlign w:val="center"/>
          </w:tcPr>
          <w:p w14:paraId="0DA17378">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当</w:t>
            </w:r>
          </w:p>
          <w:p w14:paraId="68859579">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事</w:t>
            </w:r>
          </w:p>
          <w:p w14:paraId="54326BD0">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人</w:t>
            </w:r>
          </w:p>
          <w:p w14:paraId="2AE526D1">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确</w:t>
            </w:r>
          </w:p>
          <w:p w14:paraId="6CCE4773">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认</w:t>
            </w:r>
          </w:p>
        </w:tc>
        <w:tc>
          <w:tcPr>
            <w:tcW w:w="7563" w:type="dxa"/>
            <w:gridSpan w:val="3"/>
            <w:vAlign w:val="center"/>
          </w:tcPr>
          <w:p w14:paraId="2D2E8202">
            <w:pPr>
              <w:spacing w:line="320" w:lineRule="exact"/>
              <w:ind w:firstLine="240" w:firstLineChars="100"/>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Cs w:val="21"/>
              </w:rPr>
              <w:t xml:space="preserve"> 一、本人已阅读</w:t>
            </w:r>
            <w:r>
              <w:rPr>
                <w:rFonts w:hint="eastAsia" w:ascii="方正仿宋_GBK" w:hAnsi="方正仿宋_GBK" w:eastAsia="方正仿宋_GBK" w:cs="方正仿宋_GBK"/>
                <w:color w:val="auto"/>
                <w:szCs w:val="21"/>
                <w:lang w:eastAsia="zh-CN"/>
              </w:rPr>
              <w:t>管理专利工作的部门</w:t>
            </w:r>
            <w:r>
              <w:rPr>
                <w:rFonts w:hint="eastAsia" w:ascii="方正仿宋_GBK" w:hAnsi="方正仿宋_GBK" w:eastAsia="方正仿宋_GBK" w:cs="方正仿宋_GBK"/>
                <w:color w:val="auto"/>
                <w:szCs w:val="21"/>
              </w:rPr>
              <w:t>对当事人填写送达地址确认书的告知事项并清楚了解其内容及法律意义；</w:t>
            </w:r>
          </w:p>
          <w:p w14:paraId="444031E5">
            <w:pPr>
              <w:spacing w:line="320" w:lineRule="exact"/>
              <w:ind w:firstLine="420" w:firstLineChars="200"/>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二、本人承诺基于诚信原则进行所有</w:t>
            </w:r>
            <w:r>
              <w:rPr>
                <w:rFonts w:hint="eastAsia" w:ascii="方正仿宋_GBK" w:hAnsi="方正仿宋_GBK" w:eastAsia="方正仿宋_GBK" w:cs="方正仿宋_GBK"/>
                <w:color w:val="auto"/>
                <w:szCs w:val="21"/>
                <w:lang w:eastAsia="zh-CN"/>
              </w:rPr>
              <w:t>裁决</w:t>
            </w:r>
            <w:r>
              <w:rPr>
                <w:rFonts w:hint="eastAsia" w:ascii="方正仿宋_GBK" w:hAnsi="方正仿宋_GBK" w:eastAsia="方正仿宋_GBK" w:cs="方正仿宋_GBK"/>
                <w:color w:val="auto"/>
                <w:szCs w:val="21"/>
              </w:rPr>
              <w:t>活动，保证上述送达地址是准确、有效的，如无法送达，将承担相应法律责任；</w:t>
            </w:r>
          </w:p>
          <w:p w14:paraId="6B6BBF84">
            <w:pPr>
              <w:spacing w:line="320" w:lineRule="exact"/>
              <w:ind w:firstLine="420" w:firstLineChars="200"/>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三、本人承诺，</w:t>
            </w:r>
            <w:r>
              <w:rPr>
                <w:rFonts w:hint="eastAsia" w:ascii="方正仿宋_GBK" w:hAnsi="方正仿宋_GBK" w:eastAsia="方正仿宋_GBK" w:cs="方正仿宋_GBK"/>
                <w:color w:val="auto"/>
                <w:szCs w:val="21"/>
                <w:lang w:eastAsia="zh-CN"/>
              </w:rPr>
              <w:t>裁决</w:t>
            </w:r>
            <w:r>
              <w:rPr>
                <w:rFonts w:hint="eastAsia" w:ascii="方正仿宋_GBK" w:hAnsi="方正仿宋_GBK" w:eastAsia="方正仿宋_GBK" w:cs="方正仿宋_GBK"/>
                <w:color w:val="auto"/>
                <w:szCs w:val="21"/>
              </w:rPr>
              <w:t>过程中，本人送达地址、联系方式（包括手机号码、传真号码、电子邮箱等）若有变更，或者中途撤销委托代理、委托新的代理人，需要变更送达地址的，将以书面形式告知</w:t>
            </w:r>
            <w:r>
              <w:rPr>
                <w:rFonts w:hint="eastAsia" w:ascii="方正仿宋_GBK" w:hAnsi="方正仿宋_GBK" w:eastAsia="方正仿宋_GBK" w:cs="方正仿宋_GBK"/>
                <w:color w:val="auto"/>
                <w:szCs w:val="21"/>
                <w:lang w:eastAsia="zh-CN"/>
              </w:rPr>
              <w:t>管理专利工作的部门</w:t>
            </w:r>
            <w:r>
              <w:rPr>
                <w:rFonts w:hint="eastAsia" w:ascii="方正仿宋_GBK" w:hAnsi="方正仿宋_GBK" w:eastAsia="方正仿宋_GBK" w:cs="方正仿宋_GBK"/>
                <w:color w:val="auto"/>
                <w:szCs w:val="21"/>
              </w:rPr>
              <w:t>，确认新的送达地址，否则，</w:t>
            </w:r>
            <w:r>
              <w:rPr>
                <w:rFonts w:hint="eastAsia" w:ascii="方正仿宋_GBK" w:hAnsi="方正仿宋_GBK" w:eastAsia="方正仿宋_GBK" w:cs="方正仿宋_GBK"/>
                <w:color w:val="auto"/>
                <w:szCs w:val="21"/>
                <w:lang w:eastAsia="zh-CN"/>
              </w:rPr>
              <w:t>管理专利工作的部门</w:t>
            </w:r>
            <w:r>
              <w:rPr>
                <w:rFonts w:hint="eastAsia" w:ascii="方正仿宋_GBK" w:hAnsi="方正仿宋_GBK" w:eastAsia="方正仿宋_GBK" w:cs="方正仿宋_GBK"/>
                <w:color w:val="auto"/>
                <w:szCs w:val="21"/>
              </w:rPr>
              <w:t>可以上述地址为送达地址；</w:t>
            </w:r>
          </w:p>
          <w:p w14:paraId="70F63E3E">
            <w:pPr>
              <w:spacing w:line="320" w:lineRule="exact"/>
              <w:ind w:firstLine="420" w:firstLineChars="200"/>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四、本人确认以上送达地址为本案</w:t>
            </w:r>
            <w:r>
              <w:rPr>
                <w:rFonts w:hint="eastAsia" w:ascii="方正仿宋_GBK" w:hAnsi="方正仿宋_GBK" w:eastAsia="方正仿宋_GBK" w:cs="方正仿宋_GBK"/>
                <w:color w:val="auto"/>
                <w:szCs w:val="21"/>
                <w:lang w:eastAsia="zh-CN"/>
              </w:rPr>
              <w:t>行政裁决</w:t>
            </w:r>
            <w:r>
              <w:rPr>
                <w:rFonts w:hint="eastAsia" w:ascii="方正仿宋_GBK" w:hAnsi="方正仿宋_GBK" w:eastAsia="方正仿宋_GBK" w:cs="方正仿宋_GBK"/>
                <w:color w:val="auto"/>
                <w:szCs w:val="21"/>
              </w:rPr>
              <w:t>程序的送达地址；</w:t>
            </w:r>
          </w:p>
          <w:p w14:paraId="20C53BBC">
            <w:pPr>
              <w:spacing w:line="320" w:lineRule="exact"/>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 xml:space="preserve">   当事人签名、盖章或捺印：</w:t>
            </w:r>
          </w:p>
          <w:p w14:paraId="1AA7103B">
            <w:pPr>
              <w:spacing w:line="32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Cs w:val="21"/>
              </w:rPr>
              <w:t xml:space="preserve">                                 年      月      日</w:t>
            </w:r>
          </w:p>
        </w:tc>
      </w:tr>
      <w:tr w14:paraId="1B47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828" w:type="dxa"/>
            <w:vAlign w:val="center"/>
          </w:tcPr>
          <w:p w14:paraId="06CCA72D">
            <w:pPr>
              <w:spacing w:line="32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备考</w:t>
            </w:r>
          </w:p>
        </w:tc>
        <w:tc>
          <w:tcPr>
            <w:tcW w:w="7563" w:type="dxa"/>
            <w:gridSpan w:val="3"/>
            <w:vAlign w:val="center"/>
          </w:tcPr>
          <w:p w14:paraId="350029B1">
            <w:pPr>
              <w:spacing w:line="320" w:lineRule="exact"/>
              <w:ind w:firstLine="480" w:firstLineChars="200"/>
              <w:rPr>
                <w:rFonts w:hint="eastAsia" w:ascii="方正仿宋_GBK" w:hAnsi="方正仿宋_GBK" w:eastAsia="方正仿宋_GBK" w:cs="方正仿宋_GBK"/>
                <w:color w:val="auto"/>
                <w:sz w:val="24"/>
              </w:rPr>
            </w:pPr>
          </w:p>
        </w:tc>
      </w:tr>
    </w:tbl>
    <w:p w14:paraId="5A44A2B5">
      <w:pPr>
        <w:spacing w:line="320" w:lineRule="exact"/>
        <w:rPr>
          <w:rFonts w:hint="eastAsia" w:ascii="方正仿宋_GBK" w:hAnsi="方正仿宋_GBK" w:eastAsia="方正仿宋_GBK" w:cs="方正仿宋_GBK"/>
          <w:bCs/>
          <w:color w:val="auto"/>
          <w:szCs w:val="21"/>
        </w:rPr>
      </w:pPr>
      <w:r>
        <w:rPr>
          <w:rFonts w:hint="eastAsia" w:ascii="方正仿宋_GBK" w:hAnsi="方正仿宋_GBK" w:eastAsia="方正仿宋_GBK" w:cs="方正仿宋_GBK"/>
          <w:bCs/>
          <w:color w:val="auto"/>
          <w:szCs w:val="21"/>
        </w:rPr>
        <w:t>注：收到后请于三天内填妥并寄回</w:t>
      </w:r>
      <w:r>
        <w:rPr>
          <w:rFonts w:hint="eastAsia" w:ascii="方正仿宋_GBK" w:hAnsi="方正仿宋_GBK" w:eastAsia="方正仿宋_GBK" w:cs="方正仿宋_GBK"/>
          <w:bCs/>
          <w:color w:val="auto"/>
          <w:szCs w:val="21"/>
          <w:lang w:eastAsia="zh-CN"/>
        </w:rPr>
        <w:t>济宁市</w:t>
      </w:r>
      <w:r>
        <w:rPr>
          <w:rFonts w:hint="eastAsia" w:ascii="方正仿宋_GBK" w:hAnsi="方正仿宋_GBK" w:eastAsia="方正仿宋_GBK" w:cs="方正仿宋_GBK"/>
          <w:bCs/>
          <w:color w:val="auto"/>
          <w:szCs w:val="21"/>
          <w:lang w:val="en-US" w:eastAsia="zh-CN"/>
        </w:rPr>
        <w:t>汶上县</w:t>
      </w:r>
      <w:r>
        <w:rPr>
          <w:rFonts w:hint="eastAsia" w:ascii="方正仿宋_GBK" w:hAnsi="方正仿宋_GBK" w:eastAsia="方正仿宋_GBK" w:cs="方正仿宋_GBK"/>
          <w:bCs/>
          <w:color w:val="auto"/>
          <w:szCs w:val="21"/>
          <w:lang w:eastAsia="zh-CN"/>
        </w:rPr>
        <w:t>市场监管局</w:t>
      </w:r>
      <w:r>
        <w:rPr>
          <w:rFonts w:hint="eastAsia" w:ascii="方正仿宋_GBK" w:hAnsi="方正仿宋_GBK" w:eastAsia="方正仿宋_GBK" w:cs="方正仿宋_GBK"/>
          <w:bCs/>
          <w:color w:val="auto"/>
          <w:szCs w:val="21"/>
        </w:rPr>
        <w:t>。</w:t>
      </w:r>
    </w:p>
    <w:p w14:paraId="130A7A2C">
      <w:pPr>
        <w:spacing w:line="320" w:lineRule="exact"/>
        <w:rPr>
          <w:rFonts w:hint="default" w:ascii="方正仿宋_GBK" w:hAnsi="方正仿宋_GBK" w:eastAsia="方正仿宋_GBK" w:cs="方正仿宋_GBK"/>
          <w:bCs/>
          <w:color w:val="auto"/>
          <w:szCs w:val="21"/>
          <w:lang w:val="en-US" w:eastAsia="zh-CN"/>
        </w:rPr>
      </w:pPr>
      <w:r>
        <w:rPr>
          <w:rFonts w:hint="eastAsia" w:ascii="方正仿宋_GBK" w:hAnsi="方正仿宋_GBK" w:eastAsia="方正仿宋_GBK" w:cs="方正仿宋_GBK"/>
          <w:bCs/>
          <w:color w:val="auto"/>
          <w:szCs w:val="21"/>
          <w:lang w:eastAsia="zh-CN"/>
        </w:rPr>
        <w:t>联系地址：山东省济宁市</w:t>
      </w:r>
      <w:r>
        <w:rPr>
          <w:rFonts w:hint="eastAsia" w:ascii="方正仿宋_GBK" w:hAnsi="方正仿宋_GBK" w:eastAsia="方正仿宋_GBK" w:cs="方正仿宋_GBK"/>
          <w:bCs/>
          <w:color w:val="auto"/>
          <w:szCs w:val="21"/>
          <w:lang w:val="en-US" w:eastAsia="zh-CN"/>
        </w:rPr>
        <w:t>汶上县开元大厦3007室</w:t>
      </w:r>
    </w:p>
    <w:p w14:paraId="6B33AC21">
      <w:pPr>
        <w:pStyle w:val="2"/>
        <w:ind w:left="0" w:leftChars="0" w:firstLine="0" w:firstLineChars="0"/>
        <w:rPr>
          <w:rFonts w:hint="default"/>
          <w:lang w:val="en-US"/>
        </w:rPr>
      </w:pPr>
      <w:r>
        <w:rPr>
          <w:rFonts w:hint="eastAsia" w:ascii="方正仿宋_GBK" w:hAnsi="方正仿宋_GBK" w:eastAsia="方正仿宋_GBK" w:cs="方正仿宋_GBK"/>
          <w:bCs w:val="0"/>
          <w:color w:val="auto"/>
          <w:szCs w:val="21"/>
          <w:lang w:val="en-US" w:eastAsia="zh-CN"/>
        </w:rPr>
        <w:t>联系人：知识产权科                      联系电话：</w:t>
      </w:r>
      <w:r>
        <w:rPr>
          <w:rFonts w:hint="eastAsia" w:ascii="方正仿宋_GBK" w:hAnsi="方正仿宋_GBK" w:eastAsia="方正仿宋_GBK" w:cs="方正仿宋_GBK"/>
          <w:i w:val="0"/>
          <w:caps w:val="0"/>
          <w:color w:val="auto"/>
          <w:spacing w:val="0"/>
          <w:sz w:val="21"/>
          <w:szCs w:val="21"/>
          <w:shd w:val="clear" w:color="auto" w:fill="auto"/>
          <w:vertAlign w:val="baseline"/>
          <w:lang w:val="en-US" w:eastAsia="zh-CN"/>
        </w:rPr>
        <w:t>0537-3318212</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EzNGU0OWExMzk5NTBiMjM1MTM3Y2E0YjI4YTUifQ=="/>
  </w:docVars>
  <w:rsids>
    <w:rsidRoot w:val="1BAD4357"/>
    <w:rsid w:val="0A6E1D63"/>
    <w:rsid w:val="0C637DDC"/>
    <w:rsid w:val="0CC4120B"/>
    <w:rsid w:val="142429DB"/>
    <w:rsid w:val="1B340CEC"/>
    <w:rsid w:val="1BAD4357"/>
    <w:rsid w:val="2BB441A6"/>
    <w:rsid w:val="566537F8"/>
    <w:rsid w:val="5AB66F18"/>
    <w:rsid w:val="5EA36474"/>
    <w:rsid w:val="6BE95C26"/>
    <w:rsid w:val="75776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楷体"/>
      <w:b/>
      <w:sz w:val="28"/>
    </w:rPr>
  </w:style>
  <w:style w:type="character" w:default="1" w:styleId="7">
    <w:name w:val="Default Paragraph Font"/>
    <w:semiHidden/>
    <w:qFormat/>
    <w:uiPriority w:val="0"/>
    <w:rPr>
      <w:rFonts w:ascii="Calibri" w:hAnsi="Calibri" w:eastAsia="仿宋" w:cs="仿宋"/>
      <w:sz w:val="32"/>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样式1"/>
    <w:basedOn w:val="1"/>
    <w:qFormat/>
    <w:uiPriority w:val="0"/>
    <w:rPr>
      <w:rFonts w:eastAsia="仿宋" w:asciiTheme="minorAscii" w:hAnsiTheme="minorAscii"/>
      <w:sz w:val="32"/>
    </w:rPr>
  </w:style>
  <w:style w:type="paragraph" w:customStyle="1" w:styleId="9">
    <w:name w:val="样式2"/>
    <w:basedOn w:val="5"/>
    <w:qFormat/>
    <w:uiPriority w:val="0"/>
    <w:rPr>
      <w:rFonts w:asciiTheme="minorAscii" w:hAnsiTheme="minorAscii"/>
      <w:sz w:val="44"/>
    </w:rPr>
  </w:style>
  <w:style w:type="paragraph" w:customStyle="1" w:styleId="10">
    <w:name w:val="样式3"/>
    <w:basedOn w:val="1"/>
    <w:qFormat/>
    <w:uiPriority w:val="0"/>
    <w:rPr>
      <w:rFonts w:ascii="Times New Roman" w:hAnsi="Times New Roman" w:eastAsia="仿宋" w:cs="Times New Roman"/>
      <w:sz w:val="32"/>
    </w:rPr>
  </w:style>
  <w:style w:type="paragraph" w:customStyle="1" w:styleId="11">
    <w:name w:val="MSG_EN_FONT_STYLE_NAME_TEMPLATE_ROLE_NUMBER MSG_EN_FONT_STYLE_NAME_BY_ROLE_TEXT 3"/>
    <w:basedOn w:val="1"/>
    <w:qFormat/>
    <w:uiPriority w:val="0"/>
    <w:pPr>
      <w:widowControl w:val="0"/>
      <w:shd w:val="clear" w:color="auto" w:fill="FFFFFF"/>
      <w:spacing w:before="1860" w:line="170" w:lineRule="exact"/>
      <w:jc w:val="distribute"/>
    </w:pPr>
    <w:rPr>
      <w:rFonts w:ascii="PMingLiU" w:hAnsi="PMingLiU" w:eastAsia="PMingLiU"/>
      <w:sz w:val="17"/>
      <w:szCs w:val="1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858</Words>
  <Characters>873</Characters>
  <Lines>0</Lines>
  <Paragraphs>0</Paragraphs>
  <TotalTime>2</TotalTime>
  <ScaleCrop>false</ScaleCrop>
  <LinksUpToDate>false</LinksUpToDate>
  <CharactersWithSpaces>1183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2021-11-15T03:57:00Z</dcterms:created>
  <dc:creator>唐岩</dc:creator>
  <cp:lastModifiedBy>天其土</cp:lastModifiedBy>
  <dcterms:modified xsi:type="dcterms:W3CDTF">2024-10-30T03:41:30Z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DB2472E03DE44C74BA4C5AF840B0D17F_12</vt:lpwstr>
  </property>
</Properties>
</file>