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6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</w:rPr>
        <w:t>康驿镇人民政府2023年政府信息公开工作年度报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</w:rPr>
        <w:t>告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right="0" w:firstLine="640" w:firstLineChars="20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本报告由康驿镇按照《中华人民共和国政府信息公开条例》（以下简称《条例》）和《中华人民共和国政府信息公开工作年度报告格式》（国办公开办函〔2021〕30号）要求编制。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right="0" w:firstLine="640" w:firstLineChars="20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right="0" w:firstLine="640" w:firstLineChars="20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本报告所列数据的统计期限自2023年1月1日起至2023年12月31日止。本报告电子版可在“中国·汶上”政府门户网站（具体网址）查阅或下载。如对本报告有疑问，请与康驿镇人民政府联系（地址：康驿镇康驿大街1号，联系电话：0537-7134101）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Times New Roman" w:hAnsi="Times New Roman" w:eastAsia="方正黑体简体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i w:val="0"/>
          <w:iCs w:val="0"/>
          <w:caps w:val="0"/>
          <w:color w:val="000000"/>
          <w:spacing w:val="0"/>
          <w:sz w:val="32"/>
          <w:szCs w:val="32"/>
        </w:rPr>
        <w:t>一、总体情况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2023年，我镇深入贯彻上级关于全面推进政务公开工作部署，坚持以人民为中心的发展理念，按照《中华人民共和国政府信息公开条例》，围绕康驿镇中心工作以及公众关心的热点、难点问题，不断规范政府信息公开内容，创新政府信息公开形式，提高政府信息公开水平，更好地服务康驿高质量发展，切实提升人民群众的获得感和满意度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Times New Roman" w:hAnsi="Times New Roman" w:eastAsia="方正楷体简体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i w:val="0"/>
          <w:iCs w:val="0"/>
          <w:caps w:val="0"/>
          <w:color w:val="000000"/>
          <w:spacing w:val="0"/>
          <w:sz w:val="32"/>
          <w:szCs w:val="32"/>
        </w:rPr>
        <w:t>（一）主动公开情况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2023年，康驿镇主动公开信息27条，其中，政策文件4条，公告公示3条、规划计划2条、会议公开1条、行政权力4条、财政预算决算2条、政府集中采购1条、政务公开组织管理4条、政务公开基础建设2条、其他主动公开4条，“康驿便民在线”公众号发布1200条（现已注销）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0"/>
        <w:jc w:val="center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drawing>
          <wp:inline distT="0" distB="0" distL="114300" distR="114300">
            <wp:extent cx="4867275" cy="217170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0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Times New Roman" w:hAnsi="Times New Roman" w:eastAsia="方正楷体简体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i w:val="0"/>
          <w:iCs w:val="0"/>
          <w:caps w:val="0"/>
          <w:color w:val="000000"/>
          <w:spacing w:val="0"/>
          <w:sz w:val="32"/>
          <w:szCs w:val="32"/>
        </w:rPr>
        <w:t>（二）依申请公开情况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2023年，我镇依申请公开政府信息的数量为零。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Times New Roman" w:hAnsi="Times New Roman" w:eastAsia="方正楷体简体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i w:val="0"/>
          <w:iCs w:val="0"/>
          <w:caps w:val="0"/>
          <w:color w:val="000000"/>
          <w:spacing w:val="0"/>
          <w:sz w:val="32"/>
          <w:szCs w:val="32"/>
        </w:rPr>
        <w:t>（三）政府信息管理情况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为更好贯彻落实政务公开工作，我镇成立了政务公开领导小组，组长由郑体虎同志担任，成员由各站所负责人组成。建立健全了《政府信息公开保密审查制度》、《政府信息公开发布审核制度》等相关制度，严格落实“涉密信息不上网，上网信息不涉密”的原则，确保政务公开内容无涉及国家秘密和内部敏感事项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严格组织规范性文件知识培训，不断提升各部门对行政规范性文件的识别能力。按照上级部门要求对行政规范性文件进行动态清理，确保行政规范性文件及时有效，营造良好的法治环境。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Times New Roman" w:hAnsi="Times New Roman" w:eastAsia="方正楷体简体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i w:val="0"/>
          <w:iCs w:val="0"/>
          <w:caps w:val="0"/>
          <w:color w:val="000000"/>
          <w:spacing w:val="0"/>
          <w:sz w:val="32"/>
          <w:szCs w:val="32"/>
        </w:rPr>
        <w:t>（四）政府信息公开平台建设情况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为使政务公开、政府信息公开工作落到实处，镇机关各科室对信息工作按照“公开为原则、不公开为例外”的要求，对信息公开工作作了具体运作办法。一是在充分利用办公楼大厅LED电子屏幕，对近期镇里的重点活动、重要指示，重点工作进度进行及时的公开。二是通过政府门户网站发布信息27条、康驿便民在线微信公众号发布信息1200条，主动公开近期工作进展与管理工作情况等信息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Times New Roman" w:hAnsi="Times New Roman" w:eastAsia="方正楷体简体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i w:val="0"/>
          <w:iCs w:val="0"/>
          <w:caps w:val="0"/>
          <w:color w:val="000000"/>
          <w:spacing w:val="0"/>
          <w:sz w:val="32"/>
          <w:szCs w:val="32"/>
        </w:rPr>
        <w:t>（五）监督保障情况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高度重视政府信息公开工作，将政府信息公开工作纳入单位考核体系。积极参与市、县举办的政府信息公开培训会，将政府信息公开工作、单位门户网站和政务新媒体纳入日常监测监管。设有政务公开领导小组1个，从事政府信息公开工作的专职人员1人，兼职人员2人。全年举办业务培训5次，参加培训人员180人次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Times New Roman" w:hAnsi="Times New Roman" w:eastAsia="方正黑体简体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i w:val="0"/>
          <w:iCs w:val="0"/>
          <w:caps w:val="0"/>
          <w:color w:val="000000"/>
          <w:spacing w:val="0"/>
          <w:sz w:val="32"/>
          <w:szCs w:val="32"/>
        </w:rPr>
        <w:t>二、主动公开政府信息情况</w:t>
      </w:r>
    </w:p>
    <w:tbl>
      <w:tblPr>
        <w:tblW w:w="8775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0"/>
        <w:gridCol w:w="2130"/>
        <w:gridCol w:w="2220"/>
        <w:gridCol w:w="199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7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第二十条第（一）项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信息内容</w:t>
            </w: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本年制发件数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本年废止件数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现行有效件数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规章</w:t>
            </w:r>
          </w:p>
        </w:tc>
        <w:tc>
          <w:tcPr>
            <w:tcW w:w="21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22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19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行政规范性文件</w:t>
            </w:r>
          </w:p>
        </w:tc>
        <w:tc>
          <w:tcPr>
            <w:tcW w:w="21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22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19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77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第二十条第（五）项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信息内容</w:t>
            </w:r>
          </w:p>
        </w:tc>
        <w:tc>
          <w:tcPr>
            <w:tcW w:w="63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本年处理决定数量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行政许可</w:t>
            </w:r>
          </w:p>
        </w:tc>
        <w:tc>
          <w:tcPr>
            <w:tcW w:w="634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401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77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第二十条第（六）项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信息内容</w:t>
            </w:r>
          </w:p>
        </w:tc>
        <w:tc>
          <w:tcPr>
            <w:tcW w:w="63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本年处理决定数量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行政处罚</w:t>
            </w:r>
          </w:p>
        </w:tc>
        <w:tc>
          <w:tcPr>
            <w:tcW w:w="634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行政强制</w:t>
            </w:r>
          </w:p>
        </w:tc>
        <w:tc>
          <w:tcPr>
            <w:tcW w:w="634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77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第二十条第（八）项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信息内容</w:t>
            </w:r>
          </w:p>
        </w:tc>
        <w:tc>
          <w:tcPr>
            <w:tcW w:w="63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本年收费金额（单位：万元）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行政事业性收费</w:t>
            </w:r>
          </w:p>
        </w:tc>
        <w:tc>
          <w:tcPr>
            <w:tcW w:w="634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Times New Roman" w:hAnsi="Times New Roman" w:eastAsia="方正黑体简体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i w:val="0"/>
          <w:iCs w:val="0"/>
          <w:caps w:val="0"/>
          <w:color w:val="000000"/>
          <w:spacing w:val="0"/>
          <w:sz w:val="32"/>
          <w:szCs w:val="32"/>
        </w:rPr>
        <w:t>三、收到和处理政府信息公开申请情况</w:t>
      </w:r>
    </w:p>
    <w:tbl>
      <w:tblPr>
        <w:tblW w:w="882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5"/>
        <w:gridCol w:w="1080"/>
        <w:gridCol w:w="2793"/>
        <w:gridCol w:w="780"/>
        <w:gridCol w:w="593"/>
        <w:gridCol w:w="579"/>
        <w:gridCol w:w="593"/>
        <w:gridCol w:w="565"/>
        <w:gridCol w:w="550"/>
        <w:gridCol w:w="52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90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（本列数据的勾稽关系为：第一项加第二项之和，等于第三项加第四项之和）</w:t>
            </w:r>
          </w:p>
        </w:tc>
        <w:tc>
          <w:tcPr>
            <w:tcW w:w="423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9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9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自然人</w:t>
            </w:r>
          </w:p>
        </w:tc>
        <w:tc>
          <w:tcPr>
            <w:tcW w:w="29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法人或其他组织</w:t>
            </w:r>
          </w:p>
        </w:tc>
        <w:tc>
          <w:tcPr>
            <w:tcW w:w="5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9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商业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企业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科研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机构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社会公益组织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法律服务机构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其他</w:t>
            </w:r>
          </w:p>
        </w:tc>
        <w:tc>
          <w:tcPr>
            <w:tcW w:w="5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59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一、本年新收政府信息公开申请数量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59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二、上年结转政府信息公开申请数量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三、本年度办理结果</w:t>
            </w:r>
          </w:p>
        </w:tc>
        <w:tc>
          <w:tcPr>
            <w:tcW w:w="382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（一）予以公开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82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（二）部分公开（区分处理的，只计这一情形，不计其他情形）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（三）不予公开</w:t>
            </w: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1.属于国家秘密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2.其他法律行政法规禁止公开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3.危及“三安全一稳定”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4.保护第三方合法权益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5.属于三类内部事务信息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6.属于四类过程性信息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7.属于行政执法案卷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8.属于行政查询事项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（四）无法提供</w:t>
            </w: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1.本机关不掌握相关政府信息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2.没有现成信息需要另行制作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3.补正后申请内容仍不明确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（五）不予处理</w:t>
            </w: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1.信访举报投诉类申请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2.重复申请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3.要求提供公开出版物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4.无正当理由大量反复申请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5.要求行政机关确认或重新出具已获取信息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（六）其他处理</w:t>
            </w: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1.申请人无正当理由逾期不补正、行政机关不再处理其政府信息公开申请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2.申请人逾期未按收费通知要求缴纳费用、行政机关不再处理其政府信息公开申请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3.其他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82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（七）总计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9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四、结转下年度继续办理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Times New Roman" w:hAnsi="Times New Roman" w:eastAsia="方正黑体简体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i w:val="0"/>
          <w:iCs w:val="0"/>
          <w:caps w:val="0"/>
          <w:color w:val="000000"/>
          <w:spacing w:val="0"/>
          <w:sz w:val="32"/>
          <w:szCs w:val="32"/>
        </w:rPr>
        <w:t>四、政府信息公开行政复议、行政诉讼情况</w:t>
      </w:r>
    </w:p>
    <w:tbl>
      <w:tblPr>
        <w:tblW w:w="8805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4"/>
        <w:gridCol w:w="595"/>
        <w:gridCol w:w="584"/>
        <w:gridCol w:w="572"/>
        <w:gridCol w:w="530"/>
        <w:gridCol w:w="619"/>
        <w:gridCol w:w="619"/>
        <w:gridCol w:w="619"/>
        <w:gridCol w:w="607"/>
        <w:gridCol w:w="530"/>
        <w:gridCol w:w="619"/>
        <w:gridCol w:w="619"/>
        <w:gridCol w:w="619"/>
        <w:gridCol w:w="549"/>
        <w:gridCol w:w="53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行政复议</w:t>
            </w:r>
          </w:p>
        </w:tc>
        <w:tc>
          <w:tcPr>
            <w:tcW w:w="5925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结果维持</w:t>
            </w:r>
          </w:p>
        </w:tc>
        <w:tc>
          <w:tcPr>
            <w:tcW w:w="61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结果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其他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结果</w:t>
            </w:r>
          </w:p>
        </w:tc>
        <w:tc>
          <w:tcPr>
            <w:tcW w:w="58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尚未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审结</w:t>
            </w:r>
          </w:p>
        </w:tc>
        <w:tc>
          <w:tcPr>
            <w:tcW w:w="46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总计</w:t>
            </w:r>
          </w:p>
        </w:tc>
        <w:tc>
          <w:tcPr>
            <w:tcW w:w="301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未经复议直接起诉</w:t>
            </w:r>
          </w:p>
        </w:tc>
        <w:tc>
          <w:tcPr>
            <w:tcW w:w="291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8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结果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维持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结果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纠正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其他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结果</w:t>
            </w:r>
          </w:p>
        </w:tc>
        <w:tc>
          <w:tcPr>
            <w:tcW w:w="6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尚未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审结</w:t>
            </w:r>
          </w:p>
        </w:tc>
        <w:tc>
          <w:tcPr>
            <w:tcW w:w="4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总计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结果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维持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结果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纠正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其他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结果</w:t>
            </w:r>
          </w:p>
        </w:tc>
        <w:tc>
          <w:tcPr>
            <w:tcW w:w="5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尚未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审结</w:t>
            </w:r>
          </w:p>
        </w:tc>
        <w:tc>
          <w:tcPr>
            <w:tcW w:w="4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Times New Roman" w:hAnsi="Times New Roman" w:eastAsia="方正黑体简体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i w:val="0"/>
          <w:iCs w:val="0"/>
          <w:caps w:val="0"/>
          <w:color w:val="000000"/>
          <w:spacing w:val="0"/>
          <w:sz w:val="32"/>
          <w:szCs w:val="32"/>
        </w:rPr>
        <w:t>五、存在的主要问题及改进情况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Times New Roman" w:hAnsi="Times New Roman" w:eastAsia="方正楷体简体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i w:val="0"/>
          <w:iCs w:val="0"/>
          <w:caps w:val="0"/>
          <w:color w:val="000000"/>
          <w:spacing w:val="0"/>
          <w:sz w:val="32"/>
          <w:szCs w:val="32"/>
        </w:rPr>
        <w:t>（一）2022年度问题整改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right="0" w:firstLine="640" w:firstLineChars="20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2022年政务公开工作存在发布不及时、公开质量不高的情况，另外，政务公开工作在培训质量、培训时长以及创新工作内容方面还存在较大差距，与上级规定要求有些许偏差，工作效率还有待提升。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right="0" w:firstLine="640" w:firstLineChars="20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检视2022年政务公开工作，康驿镇政务公开领导小组立足整改抓问题，针对性的开展提升工作。一是及时更新，提高工作效率。加强政务公开工作人员学习培训，不断提高工作效能，保证栏目内容时效性；同时开展日常网站运维排查，及时更正文字表述错误，确保网站内容的有效性。二是不断完善公开内容。进一步完善网站布局，提升用户体验感，公开内容尽量做到生动形象、科学分类，针对重点领域栏目内容进行细化分类，帮助群众更加全面直观地了解我镇工作重点领域。三是提升公开信息质量。充分利用新形势开展内容解读、重点深入解读重要政策措施，提升重大政策解读质量，促进政务公开更加便民利民，让群众能更更加直白的了解政府公开信息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Times New Roman" w:hAnsi="Times New Roman" w:eastAsia="方正楷体简体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i w:val="0"/>
          <w:iCs w:val="0"/>
          <w:caps w:val="0"/>
          <w:color w:val="000000"/>
          <w:spacing w:val="0"/>
          <w:sz w:val="32"/>
          <w:szCs w:val="32"/>
        </w:rPr>
        <w:t>（二）2023年度存在问题及下步打算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right="0" w:firstLine="640" w:firstLineChars="20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2023年，康驿镇政府信息公开工作在上级主管部门的正确领导下，做了大量工作，但标准还不够高，内容还不够全面，信息更新还需要更加及时；公开形式的便民性在今后的工作中需要进一步提高。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按照《条例》的规定和县政府信息公开工作要求，康驿镇下一阶段将主要做好以下几方面工作：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一是进一步强化组织领导。在思想和制度更加重视政务公开公众，通过山东通建立政务公开信息群，方便分管领导及时掌握公开信息动态以及需要进一步优化内容。针对近期政务信息兼职人员变动情况，及时补充培训，明确职责分工，完善工作机制，不断创新工作方式方法，突出重点，注重实效，加强信息报送工作力度，使信息公开业务更加有序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二是加强保密审查，坚决杜绝信息涉密信息泄露。对照《条例》的具体要求以及上级部门的指导要求，认真清理政府信息公开事项，查漏补缺，修订完善信息公开指南和目录，群众能够充分知晓政务公开信息内容。同时严把质量关、保密审查关，依据有关法律、法规严格审核公开内容，确保政府信息公开不影响国家安全、公共安全、经济安全和社会稳定，真正体现公开、公平、公正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三是加强与业务部门的衔接与沟通，努力将信息收集与公开同步进行，确保信息的及时、准确、全面，更好的服务群众。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Times New Roman" w:hAnsi="Times New Roman" w:eastAsia="方正黑体简体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i w:val="0"/>
          <w:iCs w:val="0"/>
          <w:caps w:val="0"/>
          <w:color w:val="000000"/>
          <w:spacing w:val="0"/>
          <w:sz w:val="32"/>
          <w:szCs w:val="32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（一）康驿镇严格落实上年级度政务公开工作要点，把所有要点细化分类，逐项落实，责任到人。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（二）2023年我镇共承办人大代表建议0件；政协委员提案0件；2022年本单位未承办省级、市级人大代表建议和政协委员提案。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（三）我镇本年度无收取信息处理费情况。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（四）政务公开创新情况：无。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652B13D7-496E-43D7-801C-4D973356C6D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39F31B48-53B9-4A88-B39E-25F457A12734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FA31B13-2DC5-4B1A-8048-03928D382667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F861A0F3-A921-4726-B575-78BD7CE17EF0}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mZjJiYjY2MTc4ODAxMjQ0ODRlODE1MWI0MGUyMGQifQ=="/>
  </w:docVars>
  <w:rsids>
    <w:rsidRoot w:val="1D4051CF"/>
    <w:rsid w:val="1D4051CF"/>
    <w:rsid w:val="37E31CBE"/>
    <w:rsid w:val="65A6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3126</Words>
  <Characters>3215</Characters>
  <Lines>0</Lines>
  <Paragraphs>0</Paragraphs>
  <TotalTime>10</TotalTime>
  <ScaleCrop>false</ScaleCrop>
  <LinksUpToDate>false</LinksUpToDate>
  <CharactersWithSpaces>3217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2024-01-31T08:48:00Z</dcterms:created>
  <dc:creator>23度</dc:creator>
  <cp:lastModifiedBy>23度</cp:lastModifiedBy>
  <dcterms:modified xsi:type="dcterms:W3CDTF">2024-01-31T09:00:41Z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6A2E4025CD4540B888CD85CD0007E536_11</vt:lpwstr>
  </property>
</Properties>
</file>