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spacing w:before="100" w:beforeAutospacing="1" w:line="605" w:lineRule="atLeast"/>
        <w:ind w:firstLine="720"/>
        <w:jc w:val="center"/>
        <w:rPr>
          <w:rFonts w:ascii="微软雅黑" w:hAnsi="微软雅黑" w:eastAsia="微软雅黑" w:cs="宋体"/>
          <w:color w:val="424242"/>
          <w:kern w:val="0"/>
          <w:sz w:val="24"/>
          <w:szCs w:val="24"/>
        </w:rPr>
      </w:pPr>
      <w:r>
        <w:rPr>
          <w:rFonts w:hint="eastAsia"/>
          <w:color w:val="424242"/>
          <w:sz w:val="28"/>
          <w:szCs w:val="28"/>
        </w:rPr>
        <w:t> </w:t>
      </w:r>
      <w:r>
        <w:rPr>
          <w:rFonts w:hint="eastAsia" w:ascii="方正小标宋_GBK" w:hAnsi="宋体" w:eastAsia="方正小标宋_GBK" w:cs="宋体"/>
          <w:color w:val="111111"/>
          <w:kern w:val="0"/>
          <w:sz w:val="36"/>
          <w:szCs w:val="36"/>
          <w:lang w:val="en-US" w:eastAsia="zh-CN"/>
        </w:rPr>
        <w:t>汶上</w:t>
      </w:r>
      <w:r>
        <w:rPr>
          <w:rFonts w:hint="eastAsia" w:ascii="方正小标宋_GBK" w:hAnsi="宋体" w:eastAsia="方正小标宋_GBK" w:cs="宋体"/>
          <w:color w:val="111111"/>
          <w:kern w:val="0"/>
          <w:sz w:val="36"/>
          <w:szCs w:val="36"/>
        </w:rPr>
        <w:t>街道</w:t>
      </w:r>
      <w:r>
        <w:rPr>
          <w:rFonts w:hint="eastAsia" w:ascii="方正小标宋_GBK" w:hAnsi="微软雅黑" w:eastAsia="方正小标宋_GBK" w:cs="宋体"/>
          <w:color w:val="111111"/>
          <w:kern w:val="0"/>
          <w:sz w:val="36"/>
          <w:szCs w:val="36"/>
        </w:rPr>
        <w:t>202</w:t>
      </w:r>
      <w:r>
        <w:rPr>
          <w:rFonts w:hint="eastAsia" w:ascii="方正小标宋_GBK" w:hAnsi="微软雅黑" w:eastAsia="方正小标宋_GBK" w:cs="宋体"/>
          <w:color w:val="111111"/>
          <w:kern w:val="0"/>
          <w:sz w:val="36"/>
          <w:szCs w:val="36"/>
          <w:lang w:val="en-US" w:eastAsia="zh-CN"/>
        </w:rPr>
        <w:t>2</w:t>
      </w:r>
      <w:r>
        <w:rPr>
          <w:rFonts w:hint="eastAsia" w:ascii="方正小标宋_GBK" w:hAnsi="宋体" w:eastAsia="方正小标宋_GBK" w:cs="宋体"/>
          <w:color w:val="111111"/>
          <w:kern w:val="0"/>
          <w:sz w:val="36"/>
          <w:szCs w:val="36"/>
        </w:rPr>
        <w:t>年度普法责任清单</w:t>
      </w:r>
    </w:p>
    <w:tbl>
      <w:tblPr>
        <w:tblStyle w:val="3"/>
        <w:tblW w:w="5000" w:type="pct"/>
        <w:tblInd w:w="0" w:type="dxa"/>
        <w:tblLayout w:type="autofit"/>
        <w:tblCellMar>
          <w:top w:w="105" w:type="dxa"/>
          <w:left w:w="105" w:type="dxa"/>
          <w:bottom w:w="105" w:type="dxa"/>
          <w:right w:w="105" w:type="dxa"/>
        </w:tblCellMar>
      </w:tblPr>
      <w:tblGrid>
        <w:gridCol w:w="700"/>
        <w:gridCol w:w="2435"/>
        <w:gridCol w:w="1335"/>
        <w:gridCol w:w="702"/>
        <w:gridCol w:w="2432"/>
        <w:gridCol w:w="1002"/>
      </w:tblGrid>
      <w:tr>
        <w:tblPrEx>
          <w:tblCellMar>
            <w:top w:w="105" w:type="dxa"/>
            <w:left w:w="105" w:type="dxa"/>
            <w:bottom w:w="105" w:type="dxa"/>
            <w:right w:w="105" w:type="dxa"/>
          </w:tblCellMar>
        </w:tblPrEx>
        <w:tc>
          <w:tcPr>
            <w:tcW w:w="5000" w:type="pct"/>
            <w:gridSpan w:val="6"/>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方正黑体_GBK" w:hAnsi="宋体" w:eastAsia="方正黑体_GBK" w:cs="宋体"/>
                <w:color w:val="111111"/>
                <w:kern w:val="0"/>
                <w:sz w:val="28"/>
                <w:szCs w:val="28"/>
              </w:rPr>
              <w:t>责任单位：</w:t>
            </w:r>
            <w:r>
              <w:rPr>
                <w:rFonts w:hint="eastAsia" w:ascii="方正黑体_GBK" w:hAnsi="宋体" w:eastAsia="方正黑体_GBK" w:cs="宋体"/>
                <w:color w:val="111111"/>
                <w:kern w:val="0"/>
                <w:sz w:val="28"/>
                <w:szCs w:val="28"/>
                <w:lang w:val="en-US" w:eastAsia="zh-CN"/>
              </w:rPr>
              <w:t>汶上</w:t>
            </w:r>
            <w:r>
              <w:rPr>
                <w:rFonts w:hint="eastAsia" w:ascii="方正黑体_GBK" w:hAnsi="宋体" w:eastAsia="方正黑体_GBK" w:cs="宋体"/>
                <w:color w:val="111111"/>
                <w:kern w:val="0"/>
                <w:sz w:val="28"/>
                <w:szCs w:val="28"/>
              </w:rPr>
              <w:t>街道办事处</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jc w:val="center"/>
              <w:rPr>
                <w:rFonts w:ascii="微软雅黑" w:hAnsi="微软雅黑" w:eastAsia="微软雅黑" w:cs="宋体"/>
                <w:color w:val="424242"/>
                <w:kern w:val="0"/>
                <w:sz w:val="24"/>
                <w:szCs w:val="24"/>
              </w:rPr>
            </w:pPr>
            <w:r>
              <w:rPr>
                <w:rFonts w:hint="eastAsia" w:ascii="宋体" w:hAnsi="宋体" w:eastAsia="宋体" w:cs="宋体"/>
                <w:b/>
                <w:bCs/>
                <w:color w:val="111111"/>
                <w:kern w:val="0"/>
                <w:sz w:val="20"/>
              </w:rPr>
              <w:t>序号</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jc w:val="center"/>
              <w:rPr>
                <w:rFonts w:ascii="微软雅黑" w:hAnsi="微软雅黑" w:eastAsia="微软雅黑" w:cs="宋体"/>
                <w:color w:val="424242"/>
                <w:kern w:val="0"/>
                <w:sz w:val="24"/>
                <w:szCs w:val="24"/>
              </w:rPr>
            </w:pPr>
            <w:r>
              <w:rPr>
                <w:rFonts w:hint="eastAsia" w:ascii="宋体" w:hAnsi="宋体" w:eastAsia="宋体" w:cs="宋体"/>
                <w:b/>
                <w:bCs/>
                <w:color w:val="111111"/>
                <w:kern w:val="0"/>
                <w:sz w:val="20"/>
              </w:rPr>
              <w:t>普法内容</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jc w:val="center"/>
              <w:rPr>
                <w:rFonts w:ascii="微软雅黑" w:hAnsi="微软雅黑" w:eastAsia="微软雅黑" w:cs="宋体"/>
                <w:color w:val="424242"/>
                <w:kern w:val="0"/>
                <w:sz w:val="24"/>
                <w:szCs w:val="24"/>
              </w:rPr>
            </w:pPr>
            <w:r>
              <w:rPr>
                <w:rFonts w:hint="eastAsia" w:ascii="宋体" w:hAnsi="宋体" w:eastAsia="宋体" w:cs="宋体"/>
                <w:b/>
                <w:bCs/>
                <w:color w:val="111111"/>
                <w:kern w:val="0"/>
                <w:sz w:val="20"/>
              </w:rPr>
              <w:t>普法对象</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jc w:val="center"/>
              <w:rPr>
                <w:rFonts w:ascii="微软雅黑" w:hAnsi="微软雅黑" w:eastAsia="微软雅黑" w:cs="宋体"/>
                <w:color w:val="424242"/>
                <w:kern w:val="0"/>
                <w:sz w:val="24"/>
                <w:szCs w:val="24"/>
              </w:rPr>
            </w:pPr>
            <w:r>
              <w:rPr>
                <w:rFonts w:hint="eastAsia" w:ascii="宋体" w:hAnsi="宋体" w:eastAsia="宋体" w:cs="宋体"/>
                <w:b/>
                <w:bCs/>
                <w:color w:val="111111"/>
                <w:kern w:val="0"/>
                <w:sz w:val="20"/>
              </w:rPr>
              <w:t>责任部门（科股室）</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jc w:val="center"/>
              <w:rPr>
                <w:rFonts w:ascii="微软雅黑" w:hAnsi="微软雅黑" w:eastAsia="微软雅黑" w:cs="宋体"/>
                <w:color w:val="424242"/>
                <w:kern w:val="0"/>
                <w:sz w:val="24"/>
                <w:szCs w:val="24"/>
              </w:rPr>
            </w:pPr>
            <w:r>
              <w:rPr>
                <w:rFonts w:hint="eastAsia" w:ascii="宋体" w:hAnsi="宋体" w:eastAsia="宋体" w:cs="宋体"/>
                <w:b/>
                <w:bCs/>
                <w:color w:val="111111"/>
                <w:kern w:val="0"/>
                <w:sz w:val="20"/>
              </w:rPr>
              <w:t>具体举措</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jc w:val="center"/>
              <w:rPr>
                <w:rFonts w:ascii="微软雅黑" w:hAnsi="微软雅黑" w:eastAsia="微软雅黑" w:cs="宋体"/>
                <w:color w:val="424242"/>
                <w:kern w:val="0"/>
                <w:sz w:val="24"/>
                <w:szCs w:val="24"/>
              </w:rPr>
            </w:pPr>
            <w:r>
              <w:rPr>
                <w:rFonts w:hint="eastAsia" w:ascii="宋体" w:hAnsi="宋体" w:eastAsia="宋体" w:cs="宋体"/>
                <w:b/>
                <w:bCs/>
                <w:color w:val="111111"/>
                <w:kern w:val="0"/>
                <w:sz w:val="20"/>
              </w:rPr>
              <w:t>普法目标</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加强党员干部普法教育培训</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办事处全体党员干部</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宣传办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积极按要求开展党委中心组学法、会前学法、法治教育培训、日常学法年度考试、依法决策制度、宪法宣誓活动等</w:t>
            </w:r>
          </w:p>
        </w:tc>
        <w:tc>
          <w:tcPr>
            <w:tcW w:w="1605"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p>
          <w:p>
            <w:pPr>
              <w:widowControl/>
              <w:spacing w:line="360" w:lineRule="atLeast"/>
              <w:rPr>
                <w:rFonts w:hint="eastAsia" w:ascii="微软雅黑" w:hAnsi="微软雅黑" w:eastAsia="微软雅黑" w:cs="宋体"/>
                <w:color w:val="424242"/>
                <w:kern w:val="0"/>
                <w:sz w:val="24"/>
                <w:szCs w:val="24"/>
              </w:rPr>
            </w:pPr>
          </w:p>
          <w:p>
            <w:pPr>
              <w:widowControl/>
              <w:spacing w:line="360" w:lineRule="atLeast"/>
              <w:rPr>
                <w:rFonts w:hint="eastAsia" w:ascii="微软雅黑" w:hAnsi="微软雅黑" w:eastAsia="微软雅黑" w:cs="宋体"/>
                <w:color w:val="424242"/>
                <w:kern w:val="0"/>
                <w:sz w:val="24"/>
                <w:szCs w:val="24"/>
              </w:rPr>
            </w:pPr>
          </w:p>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通过面向全街道深入开展法制宣传教育工作，大力营造依法行政、依法治理的良好氛围，提高领导自身法律素养，增强领导干部运用法治思维、法治方法解决实际问题的能力，增强执法人员执行和运用法律的能力。</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学习贯彻习近平新时代中国特色社会主义思想、党的十九届五中全会精神，将习近平总书记全面依法治理新理念新思想新战略张纳入各级党委（党组）中心组学习内容，组织开展专题学习。</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街道全体党员干部</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组织办、宣传办、司法所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组织举办专题培训、讲座、座谈交流等活动，利用各种平台、载体进行形式多样的法治宣传。</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3</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开展党内法规学习宣传及学法考试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街道全体党员干部</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组织办、宣传办、司法所、人大办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利用学法考试系统进行考试</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4</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《中国共产党廉洁自律准则》、《中国共产党纪律处分条例》、《中国共产党农村基层组织工作条例》</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组织办、宣传办、司法所、纪委</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组织举办专题培训、讲座、座谈交流等活动，利用各种平台、载体进行形式多样的法治宣传。</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5</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《宪法》、《民法典》、《刑法》、《行政诉讼法》、《行政复议法》、《公务员法》、《信访条例》、《农村土地承包法》等法律法规</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综治信访维稳中心、司法所、国土所、妇联、农办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充分利用日常工作当中的接触、利用“法律六进”进行现场宣讲及咨询、利用三大主题宣传活动进行集中宣传</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6</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cs="宋体"/>
                <w:color w:val="424242"/>
                <w:kern w:val="0"/>
                <w:sz w:val="20"/>
                <w:szCs w:val="20"/>
                <w:lang w:eastAsia="zh-CN"/>
              </w:rPr>
              <w:t>《中国共产党章程》</w:t>
            </w:r>
            <w:r>
              <w:rPr>
                <w:rFonts w:hint="eastAsia" w:ascii="宋体" w:hAnsi="宋体" w:eastAsia="宋体" w:cs="宋体"/>
                <w:color w:val="424242"/>
                <w:kern w:val="0"/>
                <w:sz w:val="20"/>
                <w:szCs w:val="20"/>
              </w:rPr>
              <w:t>、《村民委员会组织法》、《村民自治条例》</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所有党员、村（居）干部</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利用支委会、党员</w:t>
            </w:r>
            <w:bookmarkStart w:id="0" w:name="_GoBack"/>
            <w:bookmarkEnd w:id="0"/>
            <w:r>
              <w:rPr>
                <w:rFonts w:hint="eastAsia" w:ascii="宋体" w:hAnsi="宋体" w:eastAsia="宋体" w:cs="宋体"/>
                <w:color w:val="424242"/>
                <w:kern w:val="0"/>
                <w:sz w:val="20"/>
                <w:szCs w:val="20"/>
              </w:rPr>
              <w:t>大会、民主生活会等形式，利用各种平台、载体进行形式多样的法治宣传。</w:t>
            </w:r>
          </w:p>
        </w:tc>
        <w:tc>
          <w:tcPr>
            <w:tcW w:w="0" w:type="auto"/>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7</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围绕打赢新冠肺炎阻击战，组织开展防控“防控疫情”、“法治同行”专项宣传活动</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防控办、维稳中心、规划建设办、人大办、安监办、社会事务办、司法所、派出所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利用各种平台、载体进行形式多样的法治宣传。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8</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开展“农业法律法规宣传月”主题宣传活动，重点开展农业法、农产品质量安全法、农村土地承包法、农业技术推广法、种子法、渔业法、农药管理条例、基本农田保护条例、渔业法实施细则等法律法规</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农办、农技站</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利用各种平台、载体进行形式多样的法治宣传。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提升广大农村群众特别是贫困人员对农业法律法规的认识和依法维权能力</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9</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深入推进“法治助民企”，开展“企业法治体检”活动，了解民营企业家对法治化营商环境意见需求，积极为民营企业发展营造良好法治环境。</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工会、妇联、司法所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组织举办专题培训、讲座、座谈交流等活动，利用各种平台、载体进行形式多样的法治宣传。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10</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《中华人民共和国社区矫正法》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司法所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利用各种平台、载体进行形式多样的法治宣传。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11</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贯彻落实中共中央《关于加强法治乡村建设的意见》，开展好全国乡村治理体系建设试点工作</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农办、宣传办、社会事务办、司法所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组织举办专题培训、讲座、座谈交流等活动，利用各种平台、载体进行形式多样的法治宣传。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12</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《食品安全法》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市场监督管理所、安监办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在执法工作中对公民、法人和其他组织，通过说理式执法、发放宣传手册等方式宣传普及相关法律知识。</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使广大群众进一步了解食品安全知识，有效提高群众的食品安全意识</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13</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《环境保护法》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环保办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在执法工作中对公民、法人和其他组织，通过说理式执法、发放宣传手册等方式宣传普及相关法律知识。</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让干部、群众了解环境保护法律知识，</w:t>
            </w:r>
            <w:r>
              <w:rPr>
                <w:rFonts w:hint="eastAsia" w:ascii="宋体" w:hAnsi="宋体" w:eastAsia="宋体" w:cs="宋体"/>
                <w:color w:val="353535"/>
                <w:kern w:val="0"/>
                <w:sz w:val="20"/>
                <w:szCs w:val="20"/>
                <w:shd w:val="clear" w:color="auto" w:fill="FFFFFF"/>
              </w:rPr>
              <w:t>保护和改善环境，防治污染和其他公害，保障公众健康</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14</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《安全生产法》、《消防法》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各企业、学校、商铺</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安监办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利用安全月、“</w:t>
            </w:r>
            <w:r>
              <w:rPr>
                <w:rFonts w:hint="eastAsia" w:ascii="宋体" w:hAnsi="宋体" w:eastAsia="宋体" w:cs="Times New Roman"/>
                <w:color w:val="424242"/>
                <w:kern w:val="0"/>
                <w:sz w:val="20"/>
                <w:szCs w:val="20"/>
              </w:rPr>
              <w:t>119”</w:t>
            </w:r>
            <w:r>
              <w:rPr>
                <w:rFonts w:hint="eastAsia" w:ascii="宋体" w:hAnsi="宋体" w:eastAsia="宋体" w:cs="宋体"/>
                <w:color w:val="424242"/>
                <w:kern w:val="0"/>
                <w:sz w:val="20"/>
                <w:szCs w:val="20"/>
              </w:rPr>
              <w:t>消防宣传月组织各企业管理人员、员工、各中小学校师生开展讲座、宣传、演习、知识竞猜活动。</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力争让企业、学校及各个体户了解熟悉相关的法律法规</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15</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《工会法》、《劳动法》、《劳动合同法》、《劳动争议调解仲裁法》等法律法规</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全镇工会会员、及企业员工</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工会、人社所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利用“法律进企业”、“招聘会”等方式进行集中宣传、现场解答。</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让企业工会工作者、员工了解熟悉相关法律法规</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16</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《社会保险法》、《自然灾害救助条例》、《社会救助暂行办法》、《城乡生活无着的流浪费乞讨人员救助管理办法》等法律法规</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社会事务办、社保所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充分利用日常工作当中的接触、在为群众解答咨询时普及法律知识、利用“</w:t>
            </w:r>
            <w:r>
              <w:rPr>
                <w:rFonts w:hint="eastAsia" w:ascii="宋体" w:hAnsi="宋体" w:eastAsia="宋体" w:cs="Times New Roman"/>
                <w:color w:val="424242"/>
                <w:kern w:val="0"/>
                <w:sz w:val="20"/>
                <w:szCs w:val="20"/>
              </w:rPr>
              <w:t>5.12”</w:t>
            </w:r>
            <w:r>
              <w:rPr>
                <w:rFonts w:hint="eastAsia" w:ascii="宋体" w:hAnsi="宋体" w:eastAsia="宋体" w:cs="宋体"/>
                <w:color w:val="424242"/>
                <w:kern w:val="0"/>
                <w:sz w:val="20"/>
                <w:szCs w:val="20"/>
              </w:rPr>
              <w:t>防灾减灾宣传日和</w:t>
            </w:r>
            <w:r>
              <w:rPr>
                <w:rFonts w:hint="eastAsia" w:ascii="宋体" w:hAnsi="宋体" w:eastAsia="宋体" w:cs="Times New Roman"/>
                <w:color w:val="424242"/>
                <w:kern w:val="0"/>
                <w:sz w:val="20"/>
                <w:szCs w:val="20"/>
              </w:rPr>
              <w:t>6</w:t>
            </w:r>
            <w:r>
              <w:rPr>
                <w:rFonts w:hint="eastAsia" w:ascii="宋体" w:hAnsi="宋体" w:eastAsia="宋体" w:cs="宋体"/>
                <w:color w:val="424242"/>
                <w:kern w:val="0"/>
                <w:sz w:val="20"/>
                <w:szCs w:val="20"/>
              </w:rPr>
              <w:t>月流浪乞讨人员救助主题宣传月活动进行集中宣传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让群众了解熟悉相关的法律法规</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17</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《禁毒法》、《反恐法》以及反邪教、扫黑除恶相关法律、法规知识</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禁毒办、综治办、普法办、扫黑办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w:t>
            </w:r>
            <w:r>
              <w:rPr>
                <w:rFonts w:hint="eastAsia" w:ascii="宋体" w:hAnsi="宋体" w:eastAsia="宋体" w:cs="宋体"/>
                <w:color w:val="424242"/>
                <w:kern w:val="0"/>
                <w:sz w:val="20"/>
                <w:szCs w:val="20"/>
              </w:rPr>
              <w:t>、利用进行村、进学校、进企业、走访入户、在人流密集广场举办警示、咨询活动、开展主题日宣传活动。</w:t>
            </w:r>
            <w:r>
              <w:rPr>
                <w:rFonts w:hint="eastAsia" w:ascii="宋体" w:hAnsi="宋体" w:eastAsia="宋体" w:cs="Times New Roman"/>
                <w:color w:val="424242"/>
                <w:kern w:val="0"/>
                <w:sz w:val="20"/>
                <w:szCs w:val="20"/>
              </w:rPr>
              <w:t>2</w:t>
            </w:r>
            <w:r>
              <w:rPr>
                <w:rFonts w:hint="eastAsia" w:ascii="宋体" w:hAnsi="宋体" w:eastAsia="宋体" w:cs="宋体"/>
                <w:color w:val="424242"/>
                <w:kern w:val="0"/>
                <w:sz w:val="20"/>
                <w:szCs w:val="20"/>
              </w:rPr>
              <w:t>、加大专项斗争成果宣传力度，加强“扫黑除恶”线索及典型案例的收集</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让群众了解相关的法律法规、了解党和政府禁毒、扫</w:t>
            </w:r>
            <w:r>
              <w:rPr>
                <w:rFonts w:hint="eastAsia" w:ascii="宋体" w:hAnsi="宋体" w:eastAsia="宋体" w:cs="宋体"/>
                <w:color w:val="424242"/>
                <w:kern w:val="0"/>
                <w:sz w:val="20"/>
                <w:szCs w:val="20"/>
              </w:rPr>
              <w:t>黑除恶的决心，增强群众的法律意识</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18</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《兵役法》、《国防教育法》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武装部</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利用日常工作宣传、开展主题日宣传活动</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让群众了解熟悉相关的法律法规</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19</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《消费者权益保护法》、《知识产权法》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市场监督管理所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通过举办现场普法宣传活动，组织网上学习，发放宣传手册、悬挂宣传条幅等方式普法、并充分利用执法过程中对违法行为进行法律知识普及</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让群众了解熟悉相关的法律法规，自觉的维护自身权益</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20</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《农村村民住房建设管理办法》、《城乡规划法》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城建办干部、职工、各村（社区）居民</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规划建设办</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在执法工作中对公民、法人和其他组织，通过说理式执法、发放宣传手册等方式宣传普及相关法律知识。</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让群众了解熟悉相关的法律法规</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21</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《宪法》、《网络安全法》、《未成年人保护法》</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各中小学校、机关干部、职工</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团委</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利用“法治副校长”开展“一月一场法治课”的契机在学校开展法律知识宣传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培养青少年法律素养，增强纪律法制观念</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22</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jc w:val="lef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“12.4”</w:t>
            </w:r>
            <w:r>
              <w:rPr>
                <w:rFonts w:hint="eastAsia" w:ascii="宋体" w:hAnsi="宋体" w:eastAsia="宋体" w:cs="宋体"/>
                <w:color w:val="424242"/>
                <w:kern w:val="0"/>
                <w:sz w:val="20"/>
                <w:szCs w:val="20"/>
              </w:rPr>
              <w:t>国家宪法日、“宪法宣传周”活动</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司法所、工会、妇联、市场监督管理所、人社所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通过举办现场普法宣传活动，组织网上学习，发放宣传手册、悬挂宣传条幅等方式普法、并充分利用执法过程中对违法行为进行法律知识普及</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让群众了解熟悉相关的法律法规，自觉的维护自身权益</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23</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“法治助民企”开展“企业法治体验”活动</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司法所、工会、妇联、市场监督管理所、人社所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利用“法治副主任”开展“一月一场法治课”的契机在企业开展法律知识宣传</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让企业、群众了解熟悉相关的法律法规，自觉的维护自身权益</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24</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开展“千人百场”送法律服务下基层活动</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司法所、工会、妇联、市场监督管理所、人社所</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充分利用日常工作当中的接触、在为群众解答咨询时普及法律知识、利用“3.8”、“3.15”、“4.15”、“4.26”、“5.1”、“6.5”、“6.26”、“12.4”等时间节点，联合开展法治宣传主题活动。</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让企业、群众了解熟悉相关的法律法规，自觉的维护自身权益</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25</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开展省级法治文化建设示范企业创建活动，推进</w:t>
            </w:r>
            <w:r>
              <w:rPr>
                <w:rFonts w:hint="eastAsia" w:ascii="宋体" w:hAnsi="宋体" w:eastAsia="宋体" w:cs="Times New Roman"/>
                <w:color w:val="424242"/>
                <w:kern w:val="0"/>
                <w:sz w:val="20"/>
                <w:szCs w:val="20"/>
              </w:rPr>
              <w:t>60%</w:t>
            </w:r>
            <w:r>
              <w:rPr>
                <w:rFonts w:hint="eastAsia" w:ascii="宋体" w:hAnsi="宋体" w:eastAsia="宋体" w:cs="宋体"/>
                <w:color w:val="424242"/>
                <w:kern w:val="0"/>
                <w:sz w:val="20"/>
                <w:szCs w:val="20"/>
              </w:rPr>
              <w:t>以上</w:t>
            </w:r>
            <w:r>
              <w:rPr>
                <w:rFonts w:hint="eastAsia" w:ascii="宋体" w:hAnsi="宋体" w:eastAsia="宋体" w:cs="Times New Roman"/>
                <w:color w:val="424242"/>
                <w:kern w:val="0"/>
                <w:sz w:val="20"/>
                <w:szCs w:val="20"/>
              </w:rPr>
              <w:t>500</w:t>
            </w:r>
            <w:r>
              <w:rPr>
                <w:rFonts w:hint="eastAsia" w:ascii="宋体" w:hAnsi="宋体" w:eastAsia="宋体" w:cs="宋体"/>
                <w:color w:val="424242"/>
                <w:kern w:val="0"/>
                <w:sz w:val="20"/>
                <w:szCs w:val="20"/>
              </w:rPr>
              <w:t>人以上规模企业达到省级企业法治文化建设标准</w:t>
            </w:r>
          </w:p>
          <w:p>
            <w:pPr>
              <w:widowControl/>
              <w:spacing w:line="360" w:lineRule="atLeast"/>
              <w:rPr>
                <w:rFonts w:ascii="微软雅黑" w:hAnsi="微软雅黑" w:eastAsia="微软雅黑" w:cs="宋体"/>
                <w:color w:val="424242"/>
                <w:kern w:val="0"/>
                <w:sz w:val="24"/>
                <w:szCs w:val="24"/>
              </w:rPr>
            </w:pP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企业全体员工</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司法所、工会</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到企业指导、规范、宣传阵地，健全各项制度，开展各项法治宣传，引导企业依法治企，员工依法维权</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推动提高企业依法治企水平</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26</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推动</w:t>
            </w:r>
            <w:r>
              <w:rPr>
                <w:rFonts w:hint="eastAsia" w:ascii="宋体" w:hAnsi="宋体" w:cs="宋体"/>
                <w:color w:val="424242"/>
                <w:kern w:val="0"/>
                <w:sz w:val="20"/>
                <w:szCs w:val="20"/>
                <w:lang w:val="en-US" w:eastAsia="zh-CN"/>
              </w:rPr>
              <w:t>社区、</w:t>
            </w:r>
            <w:r>
              <w:rPr>
                <w:rFonts w:hint="eastAsia" w:ascii="宋体" w:hAnsi="宋体" w:eastAsia="宋体" w:cs="宋体"/>
                <w:color w:val="424242"/>
                <w:kern w:val="0"/>
                <w:sz w:val="20"/>
                <w:szCs w:val="20"/>
              </w:rPr>
              <w:t>村街法治文化广场建设</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宣传办、司法所、文化站</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18"/>
                <w:szCs w:val="18"/>
              </w:rPr>
            </w:pPr>
            <w:r>
              <w:rPr>
                <w:rFonts w:ascii="微软雅黑" w:hAnsi="微软雅黑" w:eastAsia="微软雅黑" w:cs="宋体"/>
                <w:color w:val="424242"/>
                <w:kern w:val="0"/>
                <w:sz w:val="18"/>
                <w:szCs w:val="18"/>
              </w:rPr>
              <w:t>提升群众法治文化意识</w:t>
            </w:r>
          </w:p>
        </w:tc>
      </w:tr>
      <w:tr>
        <w:tblPrEx>
          <w:tblCellMar>
            <w:top w:w="105" w:type="dxa"/>
            <w:left w:w="105" w:type="dxa"/>
            <w:bottom w:w="105" w:type="dxa"/>
            <w:right w:w="105" w:type="dxa"/>
          </w:tblCellMar>
        </w:tblPrEx>
        <w:tc>
          <w:tcPr>
            <w:tcW w:w="4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Times New Roman"/>
                <w:color w:val="424242"/>
                <w:kern w:val="0"/>
                <w:sz w:val="20"/>
                <w:szCs w:val="20"/>
              </w:rPr>
              <w:t>27</w:t>
            </w:r>
            <w:r>
              <w:rPr>
                <w:rFonts w:hint="eastAsia" w:ascii="宋体" w:hAnsi="宋体" w:eastAsia="宋体" w:cs="宋体"/>
                <w:color w:val="424242"/>
                <w:kern w:val="0"/>
                <w:sz w:val="20"/>
                <w:szCs w:val="20"/>
              </w:rPr>
              <w:t>、</w:t>
            </w:r>
          </w:p>
        </w:tc>
        <w:tc>
          <w:tcPr>
            <w:tcW w:w="379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w:t>
            </w:r>
            <w:r>
              <w:rPr>
                <w:rFonts w:hint="eastAsia" w:ascii="宋体" w:hAnsi="宋体" w:cs="宋体"/>
                <w:color w:val="424242"/>
                <w:kern w:val="0"/>
                <w:sz w:val="20"/>
                <w:szCs w:val="20"/>
                <w:lang w:val="en-US" w:eastAsia="zh-CN"/>
              </w:rPr>
              <w:t>民法典</w:t>
            </w:r>
            <w:r>
              <w:rPr>
                <w:rFonts w:hint="eastAsia" w:ascii="宋体" w:hAnsi="宋体" w:eastAsia="宋体" w:cs="宋体"/>
                <w:color w:val="424242"/>
                <w:kern w:val="0"/>
                <w:sz w:val="20"/>
                <w:szCs w:val="20"/>
              </w:rPr>
              <w:t>》、《反家庭暴力法》等法律法规</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全体机关干部、职工、企业、群众</w:t>
            </w:r>
          </w:p>
        </w:tc>
        <w:tc>
          <w:tcPr>
            <w:tcW w:w="112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妇联</w:t>
            </w:r>
          </w:p>
        </w:tc>
        <w:tc>
          <w:tcPr>
            <w:tcW w:w="381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424242"/>
                <w:kern w:val="0"/>
                <w:sz w:val="20"/>
                <w:szCs w:val="20"/>
              </w:rPr>
              <w:t>利有“三八”节、普法宣传日等契机开展设摊、在妇女之家设立维权站开展日常普法</w:t>
            </w:r>
          </w:p>
        </w:tc>
        <w:tc>
          <w:tcPr>
            <w:tcW w:w="160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widowControl/>
              <w:spacing w:line="360" w:lineRule="atLeast"/>
              <w:rPr>
                <w:rFonts w:ascii="微软雅黑" w:hAnsi="微软雅黑" w:eastAsia="微软雅黑" w:cs="宋体"/>
                <w:color w:val="424242"/>
                <w:kern w:val="0"/>
                <w:sz w:val="24"/>
                <w:szCs w:val="24"/>
              </w:rPr>
            </w:pPr>
            <w:r>
              <w:rPr>
                <w:rFonts w:hint="eastAsia" w:ascii="宋体" w:hAnsi="宋体" w:eastAsia="宋体" w:cs="宋体"/>
                <w:color w:val="111111"/>
                <w:kern w:val="0"/>
                <w:sz w:val="20"/>
                <w:szCs w:val="20"/>
              </w:rPr>
              <w:t>帮助广大群众提高守法意识，了解提高妇女维权意识</w:t>
            </w:r>
          </w:p>
        </w:tc>
      </w:tr>
    </w:tbl>
    <w:p>
      <w:pPr>
        <w:widowControl/>
        <w:shd w:val="clear" w:color="auto" w:fill="FFFFFF"/>
        <w:wordWrap w:val="0"/>
        <w:spacing w:before="100" w:beforeAutospacing="1" w:line="346" w:lineRule="atLeast"/>
        <w:jc w:val="left"/>
        <w:rPr>
          <w:rFonts w:hint="eastAsia" w:ascii="微软雅黑" w:hAnsi="微软雅黑" w:eastAsia="微软雅黑" w:cs="宋体"/>
          <w:color w:val="424242"/>
          <w:kern w:val="0"/>
          <w:sz w:val="24"/>
          <w:szCs w:val="24"/>
        </w:rPr>
      </w:pPr>
    </w:p>
    <w:p>
      <w:pPr>
        <w:pStyle w:val="2"/>
        <w:shd w:val="clear" w:color="auto" w:fill="FFFFFF"/>
        <w:wordWrap w:val="0"/>
        <w:spacing w:before="0" w:beforeAutospacing="0" w:after="150" w:afterAutospacing="0" w:line="540" w:lineRule="atLeast"/>
        <w:rPr>
          <w:rFonts w:hint="eastAsia" w:ascii="微软雅黑" w:hAnsi="微软雅黑" w:eastAsia="微软雅黑"/>
          <w:color w:val="424242"/>
          <w:sz w:val="27"/>
          <w:szCs w:val="27"/>
        </w:rPr>
      </w:pP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left"/>
        <w:rPr>
          <w:rFonts w:hint="default" w:ascii="寰蒋闆呴粦" w:hAnsi="寰蒋闆呴粦" w:eastAsia="寰蒋闆呴粦" w:cs="寰蒋闆呴粦"/>
          <w:i w:val="0"/>
          <w:iCs w:val="0"/>
          <w:caps w:val="0"/>
          <w:color w:val="535353"/>
          <w:spacing w:val="0"/>
          <w:sz w:val="22"/>
          <w:szCs w:val="22"/>
          <w:shd w:val="clear" w:color="auto" w:fill="FFFFFF"/>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roman"/>
    <w:pitch w:val="default"/>
    <w:sig w:usb0="00000000" w:usb1="00000000" w:usb2="00000000" w:usb3="00000000" w:csb0="00040000" w:csb1="00000000"/>
  </w:font>
  <w:font w:name="方正黑体_GBK">
    <w:altName w:val="Arial Unicode MS"/>
    <w:panose1 w:val="03000509000000000000"/>
    <w:charset w:val="86"/>
    <w:family w:val="roman"/>
    <w:pitch w:val="default"/>
    <w:sig w:usb0="00000000" w:usb1="00000000" w:usb2="00000000" w:usb3="00000000" w:csb0="00040000" w:csb1="00000000"/>
  </w:font>
  <w:font w:name="寰蒋闆呴粦">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MTg0MTkzYTYzZjY0ZGZhOTgyZDkzMzhmZWM0MDAifQ=="/>
  </w:docVars>
  <w:rsids>
    <w:rsidRoot w:val="31AE5FD8"/>
    <w:rsid w:val="31AE5FD8"/>
    <w:rsid w:val="38B777F3"/>
    <w:rsid w:val="494D2A33"/>
    <w:rsid w:val="55683D56"/>
    <w:rsid w:val="6839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2023-10-14T06:14:00Z</dcterms:created>
  <dc:creator>Administrator</dc:creator>
  <cp:lastModifiedBy>刘辉</cp:lastModifiedBy>
  <dcterms:modified xsi:type="dcterms:W3CDTF">2023-11-21T01:29:05Z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362B8D1834704670A59718997B12C9C0_13</vt:lpwstr>
  </property>
</Properties>
</file>