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60" w:lineRule="exact"/>
        <w:ind w:firstLine="0"/>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汶上县</w:t>
      </w:r>
      <w:r>
        <w:rPr>
          <w:rFonts w:hint="eastAsia" w:eastAsia="方正小标宋简体" w:cs="方正小标宋简体" w:asciiTheme="minorHAnsi" w:hAnsiTheme="minorHAnsi"/>
          <w:b/>
          <w:sz w:val="44"/>
          <w:szCs w:val="44"/>
        </w:rPr>
        <w:t>医疗保障</w:t>
      </w:r>
      <w:r>
        <w:rPr>
          <w:rFonts w:hint="eastAsia" w:ascii="方正小标宋简体" w:hAnsi="方正小标宋简体" w:eastAsia="方正小标宋简体" w:cs="方正小标宋简体"/>
          <w:b/>
          <w:sz w:val="44"/>
          <w:szCs w:val="44"/>
        </w:rPr>
        <w:t>局2021年政府信息公开</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Lines="50" w:afterAutospacing="0" w:line="660" w:lineRule="exact"/>
        <w:ind w:firstLine="0"/>
        <w:jc w:val="center"/>
        <w:textAlignment w:val="auto"/>
        <w:rPr>
          <w:rFonts w:hint="default"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rPr>
        <w:t>工作年度报告</w:t>
      </w:r>
      <w:bookmarkStart w:id="0" w:name="_GoBack"/>
      <w:bookmarkEnd w:id="0"/>
    </w:p>
    <w:p>
      <w:pPr>
        <w:spacing w:line="590" w:lineRule="exact"/>
        <w:ind w:right="-110" w:rightChars="-50" w:firstLine="640" w:firstLineChars="200"/>
        <w:rPr>
          <w:rFonts w:hint="eastAsia" w:ascii="仿宋_GB2312" w:hAnsi="仿宋_GB2312" w:eastAsia="仿宋_GB2312" w:cs="仿宋_GB2312"/>
          <w:sz w:val="32"/>
          <w:szCs w:val="32"/>
          <w:shd w:val="clear" w:color="auto" w:fill="FFFFFF"/>
        </w:rPr>
      </w:pPr>
    </w:p>
    <w:p>
      <w:pPr>
        <w:spacing w:line="590" w:lineRule="exact"/>
        <w:ind w:right="-110" w:rightChars="-50"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本报告由汶上县医疗保障局按照《中华人民共和国政府信息公开条例》（以下简称《条例》）和《中华人民共和国政府信息公开工作年度报告格式》（国办公开办函〔2021〕30号）要求编制。</w:t>
      </w:r>
    </w:p>
    <w:p>
      <w:pPr>
        <w:spacing w:line="590" w:lineRule="exact"/>
        <w:ind w:right="-110" w:rightChars="-50"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本报告内容包括总体情况、主动公开政府信息情况、收到和处理政府信息公开申请情况、政府信息公开行政复议和行政诉讼情况、存在的主要问题及改进情况、其他需要报告的事项等六部分内容。</w:t>
      </w:r>
    </w:p>
    <w:p>
      <w:pPr>
        <w:adjustRightInd/>
        <w:snapToGrid/>
        <w:spacing w:after="0" w:line="450" w:lineRule="atLeast"/>
        <w:ind w:firstLine="48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本报告所列数据的统计期限自2021年1月1日起至2021年12月31日止。本报告电子版通过汶上县人民政府门户网站（www.wenshang.gov.cn)全文公开。如有疑问，请与汶上县医疗保障局联系（地址：</w:t>
      </w:r>
      <w:r>
        <w:rPr>
          <w:rFonts w:hint="eastAsia" w:ascii="仿宋_GB2312" w:hAnsi="仿宋_GB2312" w:eastAsia="仿宋_GB2312" w:cs="仿宋_GB2312"/>
          <w:sz w:val="32"/>
          <w:szCs w:val="32"/>
          <w:shd w:val="clear" w:color="auto" w:fill="FFFFFF"/>
          <w:lang w:val="en-US" w:eastAsia="zh-CN"/>
        </w:rPr>
        <w:t>汶上县新世纪大道以南、普陀山路以西为民服务中心</w:t>
      </w:r>
      <w:r>
        <w:rPr>
          <w:rFonts w:hint="eastAsia" w:ascii="仿宋_GB2312" w:hAnsi="仿宋_GB2312" w:eastAsia="仿宋_GB2312" w:cs="仿宋_GB2312"/>
          <w:sz w:val="32"/>
          <w:szCs w:val="32"/>
          <w:shd w:val="clear" w:color="auto" w:fill="FFFFFF"/>
        </w:rPr>
        <w:t>；邮编：272500；联系电话：0537-7293008）。</w:t>
      </w:r>
    </w:p>
    <w:p>
      <w:pPr>
        <w:widowControl w:val="0"/>
        <w:adjustRightInd/>
        <w:snapToGrid/>
        <w:spacing w:line="600" w:lineRule="exact"/>
        <w:ind w:right="-11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一、总体情况</w:t>
      </w:r>
    </w:p>
    <w:p>
      <w:pPr>
        <w:pStyle w:val="5"/>
        <w:widowControl/>
        <w:shd w:val="clear" w:color="auto" w:fill="FFFFFF"/>
        <w:spacing w:before="0" w:beforeAutospacing="0" w:after="0" w:afterAutospacing="0" w:line="600" w:lineRule="exact"/>
        <w:ind w:firstLine="640" w:firstLineChars="200"/>
        <w:rPr>
          <w:rFonts w:hint="eastAsia" w:ascii="方正楷体简体" w:eastAsia="方正楷体简体"/>
          <w:b/>
          <w:sz w:val="32"/>
          <w:szCs w:val="32"/>
        </w:rPr>
      </w:pPr>
      <w:r>
        <w:rPr>
          <w:rFonts w:hint="eastAsia" w:ascii="仿宋_GB2312" w:hAnsi="仿宋_GB2312" w:eastAsia="仿宋_GB2312" w:cs="仿宋_GB2312"/>
          <w:sz w:val="32"/>
          <w:szCs w:val="32"/>
          <w:shd w:val="clear" w:color="auto" w:fill="FFFFFF"/>
        </w:rPr>
        <w:t>2021年，在县委、县政府的领导下，汶上县医疗保障局认真贯彻落实新修订的《条例》和上级工作安排部署，坚持“以公开为常态、不公开为例外”原则，结合工作实际，健全完善公开制度，明确工作责任，拓展公开内容，加大公开力度，创新公开形式，细化各项措施，全面推进政务公开工作。</w:t>
      </w:r>
    </w:p>
    <w:p>
      <w:pPr>
        <w:spacing w:line="590" w:lineRule="exact"/>
        <w:ind w:right="-110" w:rightChars="-50" w:firstLine="643" w:firstLineChars="200"/>
        <w:rPr>
          <w:rFonts w:hint="eastAsia" w:ascii="楷体" w:hAnsi="楷体" w:eastAsia="楷体" w:cs="楷体"/>
          <w:b/>
          <w:sz w:val="32"/>
          <w:szCs w:val="32"/>
        </w:rPr>
      </w:pPr>
      <w:r>
        <w:rPr>
          <w:rFonts w:hint="eastAsia" w:ascii="楷体" w:hAnsi="楷体" w:eastAsia="楷体" w:cs="楷体"/>
          <w:b/>
          <w:sz w:val="32"/>
          <w:szCs w:val="32"/>
        </w:rPr>
        <w:t>（一）主动公开情况</w:t>
      </w:r>
    </w:p>
    <w:p>
      <w:pPr>
        <w:spacing w:line="590" w:lineRule="exact"/>
        <w:ind w:right="-110" w:rightChars="-50" w:firstLine="640" w:firstLineChars="200"/>
        <w:rPr>
          <w:rFonts w:hint="eastAsia"/>
        </w:rPr>
      </w:pPr>
      <w:r>
        <w:rPr>
          <w:rFonts w:hint="eastAsia" w:ascii="仿宋_GB2312" w:hAnsi="仿宋_GB2312" w:eastAsia="仿宋_GB2312" w:cs="仿宋_GB2312"/>
          <w:sz w:val="32"/>
          <w:szCs w:val="32"/>
          <w:shd w:val="clear" w:color="auto" w:fill="FFFFFF"/>
        </w:rPr>
        <w:t>2021年，汶上县医疗保障局进一步建立健全各项政府信息公开制度，提升政府信息公开时效。及时公开各类政策文件，通过多种形式进行了解读，便于群众进一步知晓和理解相关政策。我局深入推进</w:t>
      </w:r>
      <w:r>
        <w:rPr>
          <w:rFonts w:hint="eastAsia" w:ascii="仿宋_GB2312" w:hAnsi="仿宋_GB2312" w:eastAsia="仿宋_GB2312" w:cs="仿宋_GB2312"/>
          <w:color w:val="auto"/>
          <w:sz w:val="32"/>
          <w:szCs w:val="32"/>
          <w:shd w:val="clear" w:color="auto" w:fill="FFFFFF"/>
          <w:lang w:val="en-US" w:eastAsia="zh-CN"/>
        </w:rPr>
        <w:t>医保政策</w:t>
      </w:r>
      <w:r>
        <w:rPr>
          <w:rFonts w:hint="eastAsia" w:ascii="仿宋_GB2312" w:hAnsi="仿宋_GB2312" w:eastAsia="仿宋_GB2312" w:cs="仿宋_GB2312"/>
          <w:sz w:val="32"/>
          <w:szCs w:val="32"/>
          <w:shd w:val="clear" w:color="auto" w:fill="FFFFFF"/>
        </w:rPr>
        <w:t>信息公开工作，服务群众，接受群众监督，让人民群众满意。</w:t>
      </w:r>
    </w:p>
    <w:p>
      <w:pPr>
        <w:ind w:right="-110" w:rightChars="-50" w:firstLine="440" w:firstLineChars="200"/>
        <w:rPr>
          <w:rFonts w:hint="eastAsia"/>
        </w:rPr>
      </w:pPr>
      <w:r>
        <w:drawing>
          <wp:inline distT="0" distB="0" distL="114300" distR="114300">
            <wp:extent cx="5267325" cy="4436745"/>
            <wp:effectExtent l="0" t="0" r="9525" b="19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6"/>
                    <a:stretch>
                      <a:fillRect/>
                    </a:stretch>
                  </pic:blipFill>
                  <pic:spPr>
                    <a:xfrm>
                      <a:off x="0" y="0"/>
                      <a:ext cx="5267325" cy="4436745"/>
                    </a:xfrm>
                    <a:prstGeom prst="rect">
                      <a:avLst/>
                    </a:prstGeom>
                    <a:noFill/>
                    <a:ln>
                      <a:noFill/>
                    </a:ln>
                  </pic:spPr>
                </pic:pic>
              </a:graphicData>
            </a:graphic>
          </wp:inline>
        </w:drawing>
      </w:r>
    </w:p>
    <w:p>
      <w:pPr>
        <w:spacing w:line="590" w:lineRule="exact"/>
        <w:ind w:right="-110" w:rightChars="-50"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2021年，汶上县</w:t>
      </w:r>
      <w:r>
        <w:rPr>
          <w:rFonts w:hint="eastAsia" w:ascii="仿宋_GB2312" w:hAnsi="仿宋_GB2312" w:eastAsia="仿宋_GB2312" w:cs="仿宋_GB2312"/>
          <w:sz w:val="32"/>
          <w:szCs w:val="32"/>
          <w:shd w:val="clear" w:color="auto" w:fill="FFFFFF"/>
          <w:lang w:val="en-US" w:eastAsia="zh-CN"/>
        </w:rPr>
        <w:t>医疗保障</w:t>
      </w:r>
      <w:r>
        <w:rPr>
          <w:rFonts w:hint="eastAsia" w:ascii="仿宋_GB2312" w:hAnsi="仿宋_GB2312" w:eastAsia="仿宋_GB2312" w:cs="仿宋_GB2312"/>
          <w:sz w:val="32"/>
          <w:szCs w:val="32"/>
          <w:shd w:val="clear" w:color="auto" w:fill="FFFFFF"/>
        </w:rPr>
        <w:t>局共主动公开政府信息</w:t>
      </w:r>
      <w:r>
        <w:rPr>
          <w:rFonts w:hint="eastAsia" w:ascii="仿宋_GB2312" w:hAnsi="仿宋_GB2312" w:eastAsia="仿宋_GB2312" w:cs="仿宋_GB2312"/>
          <w:color w:val="auto"/>
          <w:sz w:val="32"/>
          <w:szCs w:val="32"/>
          <w:shd w:val="clear" w:color="auto" w:fill="FFFFFF"/>
          <w:lang w:val="en-US" w:eastAsia="zh-CN"/>
        </w:rPr>
        <w:t>829</w:t>
      </w:r>
      <w:r>
        <w:rPr>
          <w:rFonts w:hint="eastAsia" w:ascii="仿宋_GB2312" w:hAnsi="仿宋_GB2312" w:eastAsia="仿宋_GB2312" w:cs="仿宋_GB2312"/>
          <w:sz w:val="32"/>
          <w:szCs w:val="32"/>
          <w:shd w:val="clear" w:color="auto" w:fill="FFFFFF"/>
        </w:rPr>
        <w:t>条。其中政府信息公开专栏</w:t>
      </w:r>
      <w:r>
        <w:rPr>
          <w:rFonts w:hint="eastAsia" w:ascii="仿宋_GB2312" w:hAnsi="仿宋_GB2312" w:eastAsia="仿宋_GB2312" w:cs="仿宋_GB2312"/>
          <w:color w:val="auto"/>
          <w:sz w:val="32"/>
          <w:szCs w:val="32"/>
          <w:shd w:val="clear" w:color="auto" w:fill="FFFFFF"/>
        </w:rPr>
        <w:t>发布的信息</w:t>
      </w:r>
      <w:r>
        <w:rPr>
          <w:rFonts w:hint="eastAsia" w:ascii="仿宋_GB2312" w:hAnsi="仿宋_GB2312" w:eastAsia="仿宋_GB2312" w:cs="仿宋_GB2312"/>
          <w:color w:val="auto"/>
          <w:sz w:val="32"/>
          <w:szCs w:val="32"/>
          <w:shd w:val="clear" w:color="auto" w:fill="FFFFFF"/>
          <w:lang w:val="en-US" w:eastAsia="zh-CN"/>
        </w:rPr>
        <w:t>76条</w:t>
      </w:r>
      <w:r>
        <w:rPr>
          <w:rFonts w:hint="eastAsia" w:ascii="仿宋_GB2312" w:hAnsi="仿宋_GB2312" w:eastAsia="仿宋_GB2312" w:cs="仿宋_GB2312"/>
          <w:color w:val="auto"/>
          <w:sz w:val="32"/>
          <w:szCs w:val="32"/>
          <w:shd w:val="clear" w:color="auto" w:fill="FFFFFF"/>
        </w:rPr>
        <w:t>，占总量的</w:t>
      </w:r>
      <w:r>
        <w:rPr>
          <w:rFonts w:hint="eastAsia" w:ascii="仿宋_GB2312" w:hAnsi="仿宋_GB2312" w:eastAsia="仿宋_GB2312" w:cs="仿宋_GB2312"/>
          <w:color w:val="auto"/>
          <w:sz w:val="32"/>
          <w:szCs w:val="32"/>
          <w:shd w:val="clear" w:color="auto" w:fill="FFFFFF"/>
          <w:lang w:val="en-US" w:eastAsia="zh-CN"/>
        </w:rPr>
        <w:t>10</w:t>
      </w:r>
      <w:r>
        <w:rPr>
          <w:rFonts w:hint="eastAsia" w:ascii="仿宋_GB2312" w:hAnsi="仿宋_GB2312" w:eastAsia="仿宋_GB2312" w:cs="仿宋_GB2312"/>
          <w:color w:val="auto"/>
          <w:sz w:val="32"/>
          <w:szCs w:val="32"/>
          <w:shd w:val="clear" w:color="auto" w:fill="FFFFFF"/>
        </w:rPr>
        <w:t>%；微信公众平台</w:t>
      </w:r>
      <w:r>
        <w:rPr>
          <w:rFonts w:hint="eastAsia" w:ascii="仿宋_GB2312" w:hAnsi="仿宋_GB2312" w:eastAsia="仿宋_GB2312" w:cs="仿宋_GB2312"/>
          <w:color w:val="auto"/>
          <w:sz w:val="32"/>
          <w:szCs w:val="32"/>
          <w:shd w:val="clear" w:color="auto" w:fill="FFFFFF"/>
          <w:lang w:val="en-US" w:eastAsia="zh-CN"/>
        </w:rPr>
        <w:t>728</w:t>
      </w:r>
      <w:r>
        <w:rPr>
          <w:rFonts w:hint="eastAsia" w:ascii="仿宋_GB2312" w:hAnsi="仿宋_GB2312" w:eastAsia="仿宋_GB2312" w:cs="仿宋_GB2312"/>
          <w:color w:val="auto"/>
          <w:sz w:val="32"/>
          <w:szCs w:val="32"/>
          <w:shd w:val="clear" w:color="auto" w:fill="FFFFFF"/>
        </w:rPr>
        <w:t>条，占总量的</w:t>
      </w:r>
      <w:r>
        <w:rPr>
          <w:rFonts w:hint="eastAsia" w:ascii="仿宋_GB2312" w:hAnsi="仿宋_GB2312" w:eastAsia="仿宋_GB2312" w:cs="仿宋_GB2312"/>
          <w:color w:val="auto"/>
          <w:sz w:val="32"/>
          <w:szCs w:val="32"/>
          <w:shd w:val="clear" w:color="auto" w:fill="FFFFFF"/>
          <w:lang w:val="en-US" w:eastAsia="zh-CN"/>
        </w:rPr>
        <w:t>87</w:t>
      </w:r>
      <w:r>
        <w:rPr>
          <w:rFonts w:hint="eastAsia" w:ascii="仿宋_GB2312" w:hAnsi="仿宋_GB2312" w:eastAsia="仿宋_GB2312" w:cs="仿宋_GB2312"/>
          <w:color w:val="auto"/>
          <w:sz w:val="32"/>
          <w:szCs w:val="32"/>
          <w:shd w:val="clear" w:color="auto" w:fill="FFFFFF"/>
        </w:rPr>
        <w:t>%；报纸、其他网站等发布</w:t>
      </w:r>
      <w:r>
        <w:rPr>
          <w:rFonts w:hint="eastAsia" w:ascii="仿宋_GB2312" w:hAnsi="仿宋_GB2312" w:eastAsia="仿宋_GB2312" w:cs="仿宋_GB2312"/>
          <w:color w:val="auto"/>
          <w:sz w:val="32"/>
          <w:szCs w:val="32"/>
          <w:shd w:val="clear" w:color="auto" w:fill="FFFFFF"/>
          <w:lang w:val="en-US" w:eastAsia="zh-CN"/>
        </w:rPr>
        <w:t>25</w:t>
      </w:r>
      <w:r>
        <w:rPr>
          <w:rFonts w:hint="eastAsia" w:ascii="仿宋_GB2312" w:hAnsi="仿宋_GB2312" w:eastAsia="仿宋_GB2312" w:cs="仿宋_GB2312"/>
          <w:color w:val="auto"/>
          <w:sz w:val="32"/>
          <w:szCs w:val="32"/>
          <w:shd w:val="clear" w:color="auto" w:fill="FFFFFF"/>
        </w:rPr>
        <w:t>条，占总量的</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%。包括</w:t>
      </w:r>
      <w:r>
        <w:rPr>
          <w:rFonts w:hint="eastAsia" w:ascii="仿宋_GB2312" w:hAnsi="仿宋_GB2312" w:eastAsia="仿宋_GB2312" w:cs="仿宋_GB2312"/>
          <w:color w:val="auto"/>
          <w:sz w:val="32"/>
          <w:szCs w:val="32"/>
          <w:shd w:val="clear" w:color="auto" w:fill="FFFFFF"/>
          <w:lang w:val="en-US" w:eastAsia="zh-CN"/>
        </w:rPr>
        <w:t>居民报销</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职工报</w:t>
      </w:r>
      <w:r>
        <w:rPr>
          <w:rFonts w:hint="eastAsia" w:ascii="仿宋_GB2312" w:hAnsi="仿宋_GB2312" w:eastAsia="仿宋_GB2312" w:cs="仿宋_GB2312"/>
          <w:sz w:val="32"/>
          <w:szCs w:val="32"/>
          <w:shd w:val="clear" w:color="auto" w:fill="FFFFFF"/>
          <w:lang w:val="en-US" w:eastAsia="zh-CN"/>
        </w:rPr>
        <w:t>销</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大病救助</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慢性病办理</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医药服务</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监督巡查</w:t>
      </w:r>
      <w:r>
        <w:rPr>
          <w:rFonts w:hint="eastAsia" w:ascii="仿宋_GB2312" w:hAnsi="仿宋_GB2312" w:eastAsia="仿宋_GB2312" w:cs="仿宋_GB2312"/>
          <w:sz w:val="32"/>
          <w:szCs w:val="32"/>
          <w:shd w:val="clear" w:color="auto" w:fill="FFFFFF"/>
        </w:rPr>
        <w:t>等方面信息。</w:t>
      </w:r>
    </w:p>
    <w:p>
      <w:pPr>
        <w:pStyle w:val="5"/>
        <w:widowControl/>
        <w:ind w:firstLine="420"/>
        <w:jc w:val="center"/>
        <w:rPr>
          <w:rFonts w:hint="eastAsia" w:ascii="仿宋_GB2312" w:hAnsi="仿宋_GB2312" w:eastAsia="仿宋_GB2312" w:cs="仿宋_GB2312"/>
          <w:sz w:val="32"/>
          <w:szCs w:val="32"/>
        </w:rPr>
      </w:pPr>
      <w:r>
        <w:drawing>
          <wp:inline distT="0" distB="0" distL="114300" distR="114300">
            <wp:extent cx="4201795" cy="2610485"/>
            <wp:effectExtent l="0" t="0" r="8255" b="1841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a:stretch>
                      <a:fillRect/>
                    </a:stretch>
                  </pic:blipFill>
                  <pic:spPr>
                    <a:xfrm>
                      <a:off x="0" y="0"/>
                      <a:ext cx="4201795" cy="2610485"/>
                    </a:xfrm>
                    <a:prstGeom prst="rect">
                      <a:avLst/>
                    </a:prstGeom>
                    <a:noFill/>
                    <a:ln>
                      <a:noFill/>
                    </a:ln>
                  </pic:spPr>
                </pic:pic>
              </a:graphicData>
            </a:graphic>
          </wp:inline>
        </w:drawing>
      </w:r>
    </w:p>
    <w:p>
      <w:pPr>
        <w:pStyle w:val="5"/>
        <w:widowControl/>
        <w:shd w:val="clear" w:color="auto" w:fill="FFFFFF"/>
        <w:spacing w:before="0" w:beforeAutospacing="0" w:after="0" w:afterAutospacing="0"/>
        <w:jc w:val="center"/>
        <w:rPr>
          <w:rFonts w:hint="eastAsia" w:ascii="仿宋_GB2312" w:hAnsi="仿宋_GB2312" w:eastAsia="仿宋_GB2312" w:cs="仿宋_GB2312"/>
          <w:sz w:val="32"/>
          <w:szCs w:val="32"/>
          <w:shd w:val="clear" w:color="auto" w:fill="FFFFFF"/>
        </w:rPr>
      </w:pPr>
      <w:r>
        <w:drawing>
          <wp:inline distT="0" distB="0" distL="114300" distR="114300">
            <wp:extent cx="5067935" cy="3505200"/>
            <wp:effectExtent l="0" t="0" r="18415"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5067935" cy="3505200"/>
                    </a:xfrm>
                    <a:prstGeom prst="rect">
                      <a:avLst/>
                    </a:prstGeom>
                    <a:noFill/>
                    <a:ln>
                      <a:noFill/>
                    </a:ln>
                  </pic:spPr>
                </pic:pic>
              </a:graphicData>
            </a:graphic>
          </wp:inline>
        </w:drawing>
      </w:r>
    </w:p>
    <w:p>
      <w:pPr>
        <w:spacing w:line="590" w:lineRule="exact"/>
        <w:ind w:right="-110" w:rightChars="-50" w:firstLine="643" w:firstLineChars="200"/>
        <w:rPr>
          <w:rFonts w:hint="eastAsia" w:ascii="楷体" w:hAnsi="楷体" w:eastAsia="楷体" w:cs="楷体"/>
          <w:b/>
          <w:sz w:val="32"/>
          <w:szCs w:val="32"/>
        </w:rPr>
      </w:pPr>
      <w:r>
        <w:rPr>
          <w:rFonts w:hint="eastAsia" w:ascii="楷体" w:hAnsi="楷体" w:eastAsia="楷体" w:cs="楷体"/>
          <w:b/>
          <w:sz w:val="32"/>
          <w:szCs w:val="32"/>
        </w:rPr>
        <w:t>（二）依申请公开情况</w:t>
      </w:r>
    </w:p>
    <w:p>
      <w:pPr>
        <w:pStyle w:val="5"/>
        <w:widowControl/>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2021年，汶上县</w:t>
      </w:r>
      <w:r>
        <w:rPr>
          <w:rFonts w:hint="eastAsia" w:ascii="仿宋_GB2312" w:hAnsi="仿宋_GB2312" w:eastAsia="仿宋_GB2312" w:cs="仿宋_GB2312"/>
          <w:sz w:val="32"/>
          <w:szCs w:val="32"/>
          <w:shd w:val="clear" w:color="auto" w:fill="FFFFFF"/>
          <w:lang w:val="en-US" w:eastAsia="zh-CN"/>
        </w:rPr>
        <w:t>医疗保障</w:t>
      </w:r>
      <w:r>
        <w:rPr>
          <w:rFonts w:hint="eastAsia" w:ascii="仿宋_GB2312" w:hAnsi="仿宋_GB2312" w:eastAsia="仿宋_GB2312" w:cs="仿宋_GB2312"/>
          <w:sz w:val="32"/>
          <w:szCs w:val="32"/>
          <w:shd w:val="clear" w:color="auto" w:fill="FFFFFF"/>
        </w:rPr>
        <w:t>局未收到依申请公开事项。2021年，我局未发生过针对本部门有关政府信息公开事务的行政复议和行政诉讼的案件。</w:t>
      </w:r>
    </w:p>
    <w:p>
      <w:pPr>
        <w:spacing w:line="590" w:lineRule="exact"/>
        <w:ind w:right="-110" w:rightChars="-50" w:firstLine="643" w:firstLineChars="200"/>
        <w:rPr>
          <w:rFonts w:hint="eastAsia" w:ascii="楷体" w:hAnsi="楷体" w:eastAsia="楷体" w:cs="楷体"/>
          <w:b/>
          <w:sz w:val="32"/>
          <w:szCs w:val="32"/>
        </w:rPr>
      </w:pPr>
      <w:r>
        <w:rPr>
          <w:rFonts w:hint="eastAsia" w:ascii="楷体" w:hAnsi="楷体" w:eastAsia="楷体" w:cs="楷体"/>
          <w:b/>
          <w:sz w:val="32"/>
          <w:szCs w:val="32"/>
        </w:rPr>
        <w:t>（三）政府信息管理情况</w:t>
      </w:r>
    </w:p>
    <w:p>
      <w:pPr>
        <w:pStyle w:val="5"/>
        <w:widowControl/>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汶上县</w:t>
      </w:r>
      <w:r>
        <w:rPr>
          <w:rFonts w:hint="eastAsia" w:ascii="仿宋_GB2312" w:hAnsi="仿宋_GB2312" w:eastAsia="仿宋_GB2312" w:cs="仿宋_GB2312"/>
          <w:sz w:val="32"/>
          <w:szCs w:val="32"/>
          <w:shd w:val="clear" w:color="auto" w:fill="FFFFFF"/>
          <w:lang w:val="en-US" w:eastAsia="zh-CN"/>
        </w:rPr>
        <w:t>医疗保障</w:t>
      </w:r>
      <w:r>
        <w:rPr>
          <w:rFonts w:hint="eastAsia" w:ascii="仿宋_GB2312" w:hAnsi="仿宋_GB2312" w:eastAsia="仿宋_GB2312" w:cs="仿宋_GB2312"/>
          <w:sz w:val="32"/>
          <w:szCs w:val="32"/>
          <w:shd w:val="clear" w:color="auto" w:fill="FFFFFF"/>
        </w:rPr>
        <w:t>局高度重视政府信息管理工作，严格遵守政府信息管理有关规章制度，完善政府信息公开审查流程，不断加强局政府信息公开日常管理。坚持“谁主管、谁负责、谁公开、谁审查”的原则，对公开信息进行严格审核，做到政府信息依法及时公开。加强政务公开标准化建设，努力提升信息公开工作水平，保证政府信息公开安全有效运行。</w:t>
      </w:r>
    </w:p>
    <w:p>
      <w:pPr>
        <w:spacing w:line="590" w:lineRule="exact"/>
        <w:ind w:right="-110" w:rightChars="-50" w:firstLine="643" w:firstLineChars="200"/>
        <w:rPr>
          <w:rFonts w:hint="eastAsia" w:ascii="楷体" w:hAnsi="楷体" w:eastAsia="楷体" w:cs="楷体"/>
          <w:b/>
          <w:sz w:val="32"/>
          <w:szCs w:val="32"/>
        </w:rPr>
      </w:pPr>
      <w:r>
        <w:rPr>
          <w:rFonts w:hint="eastAsia" w:ascii="楷体" w:hAnsi="楷体" w:eastAsia="楷体" w:cs="楷体"/>
          <w:b/>
          <w:sz w:val="32"/>
          <w:szCs w:val="32"/>
        </w:rPr>
        <w:t>（四）政府信息公开平台建设情况</w:t>
      </w:r>
    </w:p>
    <w:p>
      <w:pPr>
        <w:pStyle w:val="5"/>
        <w:widowControl/>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一是在汶上县政府网站政府信息公开专栏公布政府信息，保证发布信息的及时权威准确；二是我局办公室接待群众查阅信息，最大限度方便群众查询；三是通过电话</w:t>
      </w:r>
      <w:r>
        <w:rPr>
          <w:rFonts w:hint="eastAsia" w:ascii="仿宋_GB2312" w:hAnsi="仿宋_GB2312" w:eastAsia="仿宋_GB2312" w:cs="仿宋_GB2312"/>
          <w:sz w:val="32"/>
          <w:szCs w:val="32"/>
          <w:shd w:val="clear" w:color="auto" w:fill="FFFFFF"/>
          <w:lang w:eastAsia="zh-CN"/>
        </w:rPr>
        <w:t>、“五进”</w:t>
      </w:r>
      <w:r>
        <w:rPr>
          <w:rFonts w:hint="eastAsia" w:ascii="仿宋_GB2312" w:hAnsi="仿宋_GB2312" w:eastAsia="仿宋_GB2312" w:cs="仿宋_GB2312"/>
          <w:sz w:val="32"/>
          <w:szCs w:val="32"/>
          <w:shd w:val="clear" w:color="auto" w:fill="FFFFFF"/>
          <w:lang w:val="en-US" w:eastAsia="zh-CN"/>
        </w:rPr>
        <w:t>宣讲</w:t>
      </w:r>
      <w:r>
        <w:rPr>
          <w:rFonts w:hint="eastAsia" w:ascii="仿宋_GB2312" w:hAnsi="仿宋_GB2312" w:eastAsia="仿宋_GB2312" w:cs="仿宋_GB2312"/>
          <w:sz w:val="32"/>
          <w:szCs w:val="32"/>
          <w:shd w:val="clear" w:color="auto" w:fill="FFFFFF"/>
        </w:rPr>
        <w:t>等多种形式向群众提供我局主动公开的政府信息。四是大力发展政务新媒体，通过“</w:t>
      </w:r>
      <w:r>
        <w:rPr>
          <w:rFonts w:hint="eastAsia" w:ascii="仿宋_GB2312" w:hAnsi="仿宋_GB2312" w:eastAsia="仿宋_GB2312" w:cs="仿宋_GB2312"/>
          <w:sz w:val="32"/>
          <w:szCs w:val="32"/>
          <w:shd w:val="clear" w:color="auto" w:fill="FFFFFF"/>
          <w:lang w:val="en-US" w:eastAsia="zh-CN"/>
        </w:rPr>
        <w:t>汶上县医疗保障局公众号”、“汶上医保”快手直播</w:t>
      </w:r>
      <w:r>
        <w:rPr>
          <w:rFonts w:hint="eastAsia" w:ascii="仿宋_GB2312" w:hAnsi="仿宋_GB2312" w:eastAsia="仿宋_GB2312" w:cs="仿宋_GB2312"/>
          <w:sz w:val="32"/>
          <w:szCs w:val="32"/>
          <w:shd w:val="clear" w:color="auto" w:fill="FFFFFF"/>
        </w:rPr>
        <w:t>等持续发布</w:t>
      </w:r>
      <w:r>
        <w:rPr>
          <w:rFonts w:hint="eastAsia" w:ascii="仿宋_GB2312" w:hAnsi="仿宋_GB2312" w:eastAsia="仿宋_GB2312" w:cs="仿宋_GB2312"/>
          <w:sz w:val="32"/>
          <w:szCs w:val="32"/>
          <w:shd w:val="clear" w:color="auto" w:fill="FFFFFF"/>
          <w:lang w:val="en-US" w:eastAsia="zh-CN"/>
        </w:rPr>
        <w:t>医保政策</w:t>
      </w:r>
      <w:r>
        <w:rPr>
          <w:rFonts w:hint="eastAsia" w:ascii="仿宋_GB2312" w:hAnsi="仿宋_GB2312" w:eastAsia="仿宋_GB2312" w:cs="仿宋_GB2312"/>
          <w:sz w:val="32"/>
          <w:szCs w:val="32"/>
          <w:shd w:val="clear" w:color="auto" w:fill="FFFFFF"/>
        </w:rPr>
        <w:t>信息，回应公众关切。</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汶上县医疗保障局公众号</w:t>
      </w:r>
      <w:r>
        <w:rPr>
          <w:rFonts w:hint="eastAsia" w:ascii="仿宋_GB2312" w:hAnsi="仿宋_GB2312" w:eastAsia="仿宋_GB2312" w:cs="仿宋_GB2312"/>
          <w:color w:val="auto"/>
          <w:sz w:val="32"/>
          <w:szCs w:val="32"/>
          <w:shd w:val="clear" w:color="auto" w:fill="FFFFFF"/>
        </w:rPr>
        <w:t>”微信公众号粉丝超过</w:t>
      </w:r>
      <w:r>
        <w:rPr>
          <w:rFonts w:hint="eastAsia" w:ascii="仿宋_GB2312" w:hAnsi="仿宋_GB2312" w:eastAsia="仿宋_GB2312" w:cs="仿宋_GB2312"/>
          <w:color w:val="auto"/>
          <w:sz w:val="32"/>
          <w:szCs w:val="32"/>
          <w:shd w:val="clear" w:color="auto" w:fill="FFFFFF"/>
          <w:lang w:val="en-US" w:eastAsia="zh-CN"/>
        </w:rPr>
        <w:t>10000</w:t>
      </w:r>
      <w:r>
        <w:rPr>
          <w:rFonts w:hint="eastAsia" w:ascii="仿宋_GB2312" w:hAnsi="仿宋_GB2312" w:eastAsia="仿宋_GB2312" w:cs="仿宋_GB2312"/>
          <w:color w:val="auto"/>
          <w:sz w:val="32"/>
          <w:szCs w:val="32"/>
          <w:shd w:val="clear" w:color="auto" w:fill="FFFFFF"/>
        </w:rPr>
        <w:t>人，</w:t>
      </w:r>
      <w:r>
        <w:rPr>
          <w:rFonts w:hint="eastAsia" w:ascii="仿宋_GB2312" w:hAnsi="仿宋_GB2312" w:eastAsia="仿宋_GB2312" w:cs="仿宋_GB2312"/>
          <w:sz w:val="32"/>
          <w:szCs w:val="32"/>
          <w:shd w:val="clear" w:color="auto" w:fill="FFFFFF"/>
          <w:lang w:val="en-US" w:eastAsia="zh-CN"/>
        </w:rPr>
        <w:t>“汶上医保”快手直播帐号粉丝2572人，发布快手小视频54条，每周三晚7：00-8：00进行直播，2021年度共直播35场，</w:t>
      </w:r>
      <w:r>
        <w:rPr>
          <w:rFonts w:hint="eastAsia" w:ascii="仿宋_GB2312" w:hAnsi="仿宋_GB2312" w:eastAsia="仿宋_GB2312" w:cs="仿宋_GB2312"/>
          <w:sz w:val="32"/>
          <w:szCs w:val="32"/>
          <w:shd w:val="clear" w:color="auto" w:fill="FFFFFF"/>
        </w:rPr>
        <w:t>大幅提升</w:t>
      </w:r>
      <w:r>
        <w:rPr>
          <w:rFonts w:hint="eastAsia" w:ascii="仿宋_GB2312" w:hAnsi="仿宋_GB2312" w:eastAsia="仿宋_GB2312" w:cs="仿宋_GB2312"/>
          <w:sz w:val="32"/>
          <w:szCs w:val="32"/>
          <w:shd w:val="clear" w:color="auto" w:fill="FFFFFF"/>
          <w:lang w:val="en-US" w:eastAsia="zh-CN"/>
        </w:rPr>
        <w:t>医保政策</w:t>
      </w:r>
      <w:r>
        <w:rPr>
          <w:rFonts w:hint="eastAsia" w:ascii="仿宋_GB2312" w:hAnsi="仿宋_GB2312" w:eastAsia="仿宋_GB2312" w:cs="仿宋_GB2312"/>
          <w:sz w:val="32"/>
          <w:szCs w:val="32"/>
          <w:shd w:val="clear" w:color="auto" w:fill="FFFFFF"/>
        </w:rPr>
        <w:t>政策信息的公众知晓率。</w:t>
      </w:r>
    </w:p>
    <w:p>
      <w:pPr>
        <w:pStyle w:val="5"/>
        <w:widowControl/>
        <w:shd w:val="clear" w:color="auto" w:fill="FFFFFF"/>
        <w:spacing w:before="0" w:beforeAutospacing="0" w:after="0" w:afterAutospacing="0"/>
        <w:ind w:firstLine="620" w:firstLineChars="200"/>
        <w:rPr>
          <w:rStyle w:val="8"/>
          <w:rFonts w:hint="eastAsia" w:ascii="方正仿宋简体" w:hAnsi="方正仿宋简体" w:eastAsia="方正仿宋简体" w:cs="方正仿宋简体"/>
          <w:sz w:val="31"/>
          <w:szCs w:val="31"/>
        </w:rPr>
      </w:pPr>
    </w:p>
    <w:p>
      <w:pPr>
        <w:pStyle w:val="5"/>
        <w:widowControl/>
        <w:shd w:val="clear" w:color="auto" w:fill="FFFFFF"/>
        <w:spacing w:before="0" w:beforeAutospacing="0" w:after="0" w:afterAutospacing="0"/>
        <w:ind w:firstLine="480" w:firstLineChars="200"/>
        <w:jc w:val="center"/>
        <w:rPr>
          <w:rStyle w:val="8"/>
          <w:rFonts w:hint="eastAsia" w:ascii="方正仿宋简体" w:hAnsi="方正仿宋简体" w:eastAsia="宋体" w:cs="方正仿宋简体"/>
          <w:sz w:val="31"/>
          <w:szCs w:val="31"/>
          <w:lang w:eastAsia="zh-CN"/>
        </w:rPr>
      </w:pPr>
      <w:r>
        <w:drawing>
          <wp:inline distT="0" distB="0" distL="114300" distR="114300">
            <wp:extent cx="5262880" cy="3725545"/>
            <wp:effectExtent l="0" t="0" r="13970" b="825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9"/>
                    <a:stretch>
                      <a:fillRect/>
                    </a:stretch>
                  </pic:blipFill>
                  <pic:spPr>
                    <a:xfrm>
                      <a:off x="0" y="0"/>
                      <a:ext cx="5262880" cy="3725545"/>
                    </a:xfrm>
                    <a:prstGeom prst="rect">
                      <a:avLst/>
                    </a:prstGeom>
                    <a:noFill/>
                    <a:ln>
                      <a:noFill/>
                    </a:ln>
                  </pic:spPr>
                </pic:pic>
              </a:graphicData>
            </a:graphic>
          </wp:inline>
        </w:drawing>
      </w:r>
      <w:r>
        <w:rPr>
          <w:rStyle w:val="8"/>
          <w:rFonts w:hint="eastAsia" w:ascii="方正仿宋简体" w:hAnsi="方正仿宋简体" w:eastAsia="宋体" w:cs="方正仿宋简体"/>
          <w:sz w:val="31"/>
          <w:szCs w:val="31"/>
          <w:lang w:eastAsia="zh-CN"/>
        </w:rPr>
        <w:drawing>
          <wp:inline distT="0" distB="0" distL="114300" distR="114300">
            <wp:extent cx="2473960" cy="3214370"/>
            <wp:effectExtent l="0" t="0" r="2540" b="5080"/>
            <wp:docPr id="16" name="图片 16" descr="021271c4802bef1e99f01d8f0a9e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21271c4802bef1e99f01d8f0a9ec13"/>
                    <pic:cNvPicPr>
                      <a:picLocks noChangeAspect="1"/>
                    </pic:cNvPicPr>
                  </pic:nvPicPr>
                  <pic:blipFill>
                    <a:blip r:embed="rId10"/>
                    <a:stretch>
                      <a:fillRect/>
                    </a:stretch>
                  </pic:blipFill>
                  <pic:spPr>
                    <a:xfrm>
                      <a:off x="0" y="0"/>
                      <a:ext cx="2473960" cy="3214370"/>
                    </a:xfrm>
                    <a:prstGeom prst="rect">
                      <a:avLst/>
                    </a:prstGeom>
                  </pic:spPr>
                </pic:pic>
              </a:graphicData>
            </a:graphic>
          </wp:inline>
        </w:drawing>
      </w:r>
    </w:p>
    <w:p>
      <w:pPr>
        <w:pStyle w:val="5"/>
        <w:widowControl/>
        <w:shd w:val="clear" w:color="auto" w:fill="FFFFFF"/>
        <w:spacing w:before="0" w:beforeAutospacing="0" w:after="0" w:afterAutospacing="0"/>
        <w:ind w:firstLine="480" w:firstLineChars="200"/>
        <w:rPr>
          <w:rStyle w:val="8"/>
          <w:rFonts w:hint="eastAsia" w:ascii="方正仿宋简体" w:hAnsi="方正仿宋简体" w:eastAsia="方正仿宋简体" w:cs="方正仿宋简体"/>
          <w:sz w:val="31"/>
          <w:szCs w:val="31"/>
        </w:rPr>
      </w:pPr>
      <w:r>
        <w:drawing>
          <wp:inline distT="0" distB="0" distL="114300" distR="114300">
            <wp:extent cx="4295775" cy="6038850"/>
            <wp:effectExtent l="0" t="0" r="9525"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1"/>
                    <a:stretch>
                      <a:fillRect/>
                    </a:stretch>
                  </pic:blipFill>
                  <pic:spPr>
                    <a:xfrm>
                      <a:off x="0" y="0"/>
                      <a:ext cx="4295775" cy="6038850"/>
                    </a:xfrm>
                    <a:prstGeom prst="rect">
                      <a:avLst/>
                    </a:prstGeom>
                    <a:noFill/>
                    <a:ln>
                      <a:noFill/>
                    </a:ln>
                  </pic:spPr>
                </pic:pic>
              </a:graphicData>
            </a:graphic>
          </wp:inline>
        </w:drawing>
      </w:r>
    </w:p>
    <w:p>
      <w:pPr>
        <w:pStyle w:val="5"/>
        <w:widowControl/>
        <w:shd w:val="clear" w:color="auto" w:fill="FFFFFF"/>
        <w:spacing w:before="0" w:beforeAutospacing="0" w:after="0" w:afterAutospacing="0"/>
        <w:ind w:firstLine="620" w:firstLineChars="200"/>
        <w:rPr>
          <w:rStyle w:val="8"/>
          <w:rFonts w:hint="eastAsia" w:ascii="方正仿宋简体" w:hAnsi="方正仿宋简体" w:eastAsia="方正仿宋简体" w:cs="方正仿宋简体"/>
          <w:sz w:val="31"/>
          <w:szCs w:val="31"/>
          <w:lang w:eastAsia="zh-CN"/>
        </w:rPr>
      </w:pPr>
      <w:r>
        <w:rPr>
          <w:rStyle w:val="8"/>
          <w:rFonts w:hint="eastAsia" w:ascii="方正仿宋简体" w:hAnsi="方正仿宋简体" w:eastAsia="方正仿宋简体" w:cs="方正仿宋简体"/>
          <w:sz w:val="31"/>
          <w:szCs w:val="31"/>
          <w:lang w:eastAsia="zh-CN"/>
        </w:rPr>
        <w:drawing>
          <wp:inline distT="0" distB="0" distL="114300" distR="114300">
            <wp:extent cx="4446905" cy="2174240"/>
            <wp:effectExtent l="0" t="0" r="10795" b="16510"/>
            <wp:docPr id="15" name="图片 15" descr="1643007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43007407(1)"/>
                    <pic:cNvPicPr>
                      <a:picLocks noChangeAspect="1"/>
                    </pic:cNvPicPr>
                  </pic:nvPicPr>
                  <pic:blipFill>
                    <a:blip r:embed="rId12"/>
                    <a:stretch>
                      <a:fillRect/>
                    </a:stretch>
                  </pic:blipFill>
                  <pic:spPr>
                    <a:xfrm>
                      <a:off x="0" y="0"/>
                      <a:ext cx="4446905" cy="2174240"/>
                    </a:xfrm>
                    <a:prstGeom prst="rect">
                      <a:avLst/>
                    </a:prstGeom>
                  </pic:spPr>
                </pic:pic>
              </a:graphicData>
            </a:graphic>
          </wp:inline>
        </w:drawing>
      </w:r>
    </w:p>
    <w:p>
      <w:pPr>
        <w:spacing w:line="590" w:lineRule="exact"/>
        <w:ind w:right="-110" w:rightChars="-50" w:firstLine="643" w:firstLineChars="200"/>
        <w:rPr>
          <w:rFonts w:hint="eastAsia" w:ascii="楷体" w:hAnsi="楷体" w:eastAsia="楷体" w:cs="楷体"/>
          <w:b/>
          <w:sz w:val="32"/>
          <w:szCs w:val="32"/>
        </w:rPr>
      </w:pPr>
      <w:r>
        <w:rPr>
          <w:rFonts w:hint="eastAsia" w:ascii="楷体" w:hAnsi="楷体" w:eastAsia="楷体" w:cs="楷体"/>
          <w:b/>
          <w:sz w:val="32"/>
          <w:szCs w:val="32"/>
        </w:rPr>
        <w:t>（五）监督保障情况</w:t>
      </w:r>
    </w:p>
    <w:p>
      <w:pPr>
        <w:widowControl w:val="0"/>
        <w:adjustRightInd/>
        <w:snapToGrid/>
        <w:spacing w:line="600" w:lineRule="exact"/>
        <w:ind w:right="-110" w:rightChars="-50"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2021年，汶上县</w:t>
      </w:r>
      <w:r>
        <w:rPr>
          <w:rFonts w:hint="eastAsia" w:ascii="仿宋_GB2312" w:hAnsi="仿宋_GB2312" w:eastAsia="仿宋_GB2312" w:cs="仿宋_GB2312"/>
          <w:sz w:val="32"/>
          <w:szCs w:val="32"/>
          <w:shd w:val="clear" w:color="auto" w:fill="FFFFFF"/>
          <w:lang w:val="en-US" w:eastAsia="zh-CN"/>
        </w:rPr>
        <w:t>医疗保障</w:t>
      </w:r>
      <w:r>
        <w:rPr>
          <w:rFonts w:hint="eastAsia" w:ascii="仿宋_GB2312" w:hAnsi="仿宋_GB2312" w:eastAsia="仿宋_GB2312" w:cs="仿宋_GB2312"/>
          <w:sz w:val="32"/>
          <w:szCs w:val="32"/>
          <w:shd w:val="clear" w:color="auto" w:fill="FFFFFF"/>
        </w:rPr>
        <w:t>局强化组织领导，调整汶上县</w:t>
      </w:r>
      <w:r>
        <w:rPr>
          <w:rFonts w:hint="eastAsia" w:ascii="仿宋_GB2312" w:hAnsi="仿宋_GB2312" w:eastAsia="仿宋_GB2312" w:cs="仿宋_GB2312"/>
          <w:sz w:val="32"/>
          <w:szCs w:val="32"/>
          <w:shd w:val="clear" w:color="auto" w:fill="FFFFFF"/>
          <w:lang w:val="en-US" w:eastAsia="zh-CN"/>
        </w:rPr>
        <w:t>医疗保障局</w:t>
      </w:r>
      <w:r>
        <w:rPr>
          <w:rFonts w:hint="eastAsia" w:ascii="仿宋_GB2312" w:hAnsi="仿宋_GB2312" w:eastAsia="仿宋_GB2312" w:cs="仿宋_GB2312"/>
          <w:sz w:val="32"/>
          <w:szCs w:val="32"/>
          <w:shd w:val="clear" w:color="auto" w:fill="FFFFFF"/>
        </w:rPr>
        <w:t>局政务公开领导小组，明确分管领导及牵头科室，统筹负责机关政府信息公开工作。及时修订内部相关制度文件，明确机关各科室公开职责，优化主动公开、依申请公开工作流程。积极开</w:t>
      </w:r>
      <w:r>
        <w:rPr>
          <w:rFonts w:ascii="Times New Roman" w:hAnsi="Times New Roman" w:eastAsia="仿宋_GB2312" w:cs="Times New Roman"/>
          <w:bCs/>
          <w:sz w:val="32"/>
          <w:szCs w:val="32"/>
        </w:rPr>
        <w:t>展对</w:t>
      </w:r>
      <w:r>
        <w:rPr>
          <w:rFonts w:hint="eastAsia" w:eastAsia="仿宋_GB2312" w:cs="Times New Roman"/>
          <w:bCs/>
          <w:sz w:val="32"/>
          <w:szCs w:val="32"/>
        </w:rPr>
        <w:t>局属各单位、局机关各科室的</w:t>
      </w:r>
      <w:r>
        <w:rPr>
          <w:rFonts w:ascii="Times New Roman" w:hAnsi="Times New Roman" w:eastAsia="仿宋_GB2312" w:cs="Times New Roman"/>
          <w:bCs/>
          <w:sz w:val="32"/>
          <w:szCs w:val="32"/>
        </w:rPr>
        <w:t>政务公开工作专项培训</w:t>
      </w:r>
      <w:r>
        <w:rPr>
          <w:rFonts w:hint="eastAsia" w:eastAsia="仿宋_GB2312" w:cs="Times New Roman"/>
          <w:bCs/>
          <w:sz w:val="32"/>
          <w:szCs w:val="32"/>
        </w:rPr>
        <w:t>，</w:t>
      </w:r>
      <w:r>
        <w:rPr>
          <w:rFonts w:hint="eastAsia" w:ascii="仿宋_GB2312" w:hAnsi="仿宋_GB2312" w:eastAsia="仿宋_GB2312" w:cs="仿宋_GB2312"/>
          <w:sz w:val="32"/>
          <w:szCs w:val="32"/>
          <w:shd w:val="clear" w:color="auto" w:fill="FFFFFF"/>
        </w:rPr>
        <w:t>加强对局属各单位、局机关各科室政务公开工作的指导。</w:t>
      </w:r>
    </w:p>
    <w:p>
      <w:pPr>
        <w:widowControl w:val="0"/>
        <w:adjustRightInd/>
        <w:snapToGrid/>
        <w:ind w:right="-110" w:rightChars="-50" w:firstLine="440" w:firstLineChars="200"/>
        <w:rPr>
          <w:rFonts w:hint="eastAsia" w:ascii="黑体" w:hAnsi="黑体" w:eastAsia="黑体" w:cs="黑体"/>
          <w:b/>
          <w:sz w:val="32"/>
          <w:szCs w:val="32"/>
        </w:rPr>
      </w:pPr>
      <w:r>
        <w:drawing>
          <wp:inline distT="0" distB="0" distL="114300" distR="114300">
            <wp:extent cx="5271135" cy="3728085"/>
            <wp:effectExtent l="0" t="0" r="5715" b="571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3"/>
                    <a:stretch>
                      <a:fillRect/>
                    </a:stretch>
                  </pic:blipFill>
                  <pic:spPr>
                    <a:xfrm>
                      <a:off x="0" y="0"/>
                      <a:ext cx="5271135" cy="3728085"/>
                    </a:xfrm>
                    <a:prstGeom prst="rect">
                      <a:avLst/>
                    </a:prstGeom>
                    <a:noFill/>
                    <a:ln>
                      <a:noFill/>
                    </a:ln>
                  </pic:spPr>
                </pic:pic>
              </a:graphicData>
            </a:graphic>
          </wp:inline>
        </w:drawing>
      </w:r>
    </w:p>
    <w:p>
      <w:pPr>
        <w:widowControl w:val="0"/>
        <w:adjustRightInd/>
        <w:snapToGrid/>
        <w:ind w:right="-110" w:rightChars="-50" w:firstLine="440" w:firstLineChars="200"/>
        <w:rPr>
          <w:rFonts w:hint="eastAsia" w:ascii="黑体" w:hAnsi="黑体" w:eastAsia="黑体" w:cs="黑体"/>
          <w:b/>
          <w:sz w:val="32"/>
          <w:szCs w:val="32"/>
        </w:rPr>
      </w:pPr>
      <w:r>
        <w:drawing>
          <wp:inline distT="0" distB="0" distL="114300" distR="114300">
            <wp:extent cx="5092700" cy="3442970"/>
            <wp:effectExtent l="0" t="0" r="12700" b="508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4"/>
                    <a:stretch>
                      <a:fillRect/>
                    </a:stretch>
                  </pic:blipFill>
                  <pic:spPr>
                    <a:xfrm>
                      <a:off x="0" y="0"/>
                      <a:ext cx="5092700" cy="3442970"/>
                    </a:xfrm>
                    <a:prstGeom prst="rect">
                      <a:avLst/>
                    </a:prstGeom>
                    <a:noFill/>
                    <a:ln>
                      <a:noFill/>
                    </a:ln>
                  </pic:spPr>
                </pic:pic>
              </a:graphicData>
            </a:graphic>
          </wp:inline>
        </w:drawing>
      </w:r>
    </w:p>
    <w:p>
      <w:pPr>
        <w:widowControl w:val="0"/>
        <w:adjustRightInd/>
        <w:snapToGrid/>
        <w:spacing w:line="600" w:lineRule="exact"/>
        <w:ind w:right="-11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2133"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本年制发件数</w:t>
            </w:r>
          </w:p>
        </w:tc>
        <w:tc>
          <w:tcPr>
            <w:tcW w:w="2216"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本年废止件数</w:t>
            </w:r>
          </w:p>
        </w:tc>
        <w:tc>
          <w:tcPr>
            <w:tcW w:w="1989"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5" w:hRule="atLeast"/>
          <w:jc w:val="center"/>
        </w:trPr>
        <w:tc>
          <w:tcPr>
            <w:tcW w:w="2435" w:type="dxa"/>
            <w:shd w:val="clear" w:color="auto" w:fill="FFFFFF"/>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hAnsi="宋体" w:eastAsia="方正仿宋简体" w:cs="宋体"/>
                <w:b/>
                <w:sz w:val="24"/>
                <w:szCs w:val="24"/>
              </w:rPr>
              <w:t>规章</w:t>
            </w:r>
          </w:p>
        </w:tc>
        <w:tc>
          <w:tcPr>
            <w:tcW w:w="2133" w:type="dxa"/>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rPr>
              <w:t>0</w:t>
            </w:r>
          </w:p>
        </w:tc>
        <w:tc>
          <w:tcPr>
            <w:tcW w:w="2216" w:type="dxa"/>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rPr>
              <w:t>0</w:t>
            </w:r>
          </w:p>
        </w:tc>
        <w:tc>
          <w:tcPr>
            <w:tcW w:w="1989" w:type="dxa"/>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hAnsi="Calibri" w:eastAsia="方正仿宋简体" w:cs="Calibri"/>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hAnsi="宋体" w:eastAsia="方正仿宋简体" w:cs="宋体"/>
                <w:b/>
                <w:sz w:val="24"/>
                <w:szCs w:val="24"/>
              </w:rPr>
              <w:t>行政规范性文件</w:t>
            </w:r>
          </w:p>
        </w:tc>
        <w:tc>
          <w:tcPr>
            <w:tcW w:w="2133" w:type="dxa"/>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eastAsia="方正仿宋简体"/>
                <w:b/>
                <w:sz w:val="24"/>
                <w:szCs w:val="24"/>
              </w:rPr>
              <w:t>0</w:t>
            </w:r>
          </w:p>
        </w:tc>
        <w:tc>
          <w:tcPr>
            <w:tcW w:w="2216" w:type="dxa"/>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eastAsia="方正仿宋简体"/>
                <w:b/>
                <w:sz w:val="24"/>
                <w:szCs w:val="24"/>
              </w:rPr>
              <w:t>0</w:t>
            </w:r>
          </w:p>
        </w:tc>
        <w:tc>
          <w:tcPr>
            <w:tcW w:w="1989" w:type="dxa"/>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eastAsia="方正仿宋简体"/>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hAnsi="宋体" w:eastAsia="方正仿宋简体" w:cs="宋体"/>
                <w:b/>
                <w:sz w:val="24"/>
                <w:szCs w:val="24"/>
              </w:rPr>
              <w:t>行政许可</w:t>
            </w:r>
          </w:p>
        </w:tc>
        <w:tc>
          <w:tcPr>
            <w:tcW w:w="6338" w:type="dxa"/>
            <w:gridSpan w:val="3"/>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hAnsi="Calibri" w:eastAsia="方正仿宋简体" w:cs="Calibri"/>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hAnsi="宋体" w:eastAsia="方正仿宋简体" w:cs="宋体"/>
                <w:b/>
                <w:sz w:val="24"/>
                <w:szCs w:val="24"/>
              </w:rPr>
              <w:t>行政处罚</w:t>
            </w:r>
          </w:p>
        </w:tc>
        <w:tc>
          <w:tcPr>
            <w:tcW w:w="6338" w:type="dxa"/>
            <w:gridSpan w:val="3"/>
            <w:shd w:val="clear" w:color="auto" w:fill="FFFFFF"/>
            <w:tcMar>
              <w:left w:w="57" w:type="dxa"/>
              <w:right w:w="57" w:type="dxa"/>
            </w:tcMar>
            <w:vAlign w:val="center"/>
          </w:tcPr>
          <w:p>
            <w:pPr>
              <w:spacing w:line="340" w:lineRule="exact"/>
              <w:jc w:val="center"/>
              <w:rPr>
                <w:rFonts w:hint="default" w:ascii="方正仿宋简体" w:eastAsia="方正仿宋简体"/>
                <w:b/>
                <w:sz w:val="24"/>
                <w:szCs w:val="24"/>
                <w:lang w:val="en-US"/>
              </w:rPr>
            </w:pPr>
            <w:r>
              <w:rPr>
                <w:rFonts w:hint="default" w:ascii="方正仿宋简体" w:eastAsia="方正仿宋简体"/>
                <w:b/>
                <w:sz w:val="24"/>
                <w:szCs w:val="24"/>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hAnsi="宋体" w:eastAsia="方正仿宋简体" w:cs="宋体"/>
                <w:b/>
                <w:sz w:val="24"/>
                <w:szCs w:val="24"/>
              </w:rPr>
              <w:t>行政强制</w:t>
            </w:r>
          </w:p>
        </w:tc>
        <w:tc>
          <w:tcPr>
            <w:tcW w:w="6338" w:type="dxa"/>
            <w:gridSpan w:val="3"/>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hAnsi="宋体" w:eastAsia="方正仿宋简体" w:cs="宋体"/>
                <w:b/>
                <w:sz w:val="24"/>
                <w:szCs w:val="24"/>
              </w:rPr>
              <w:t>行政事业性收费</w:t>
            </w:r>
          </w:p>
        </w:tc>
        <w:tc>
          <w:tcPr>
            <w:tcW w:w="6338" w:type="dxa"/>
            <w:gridSpan w:val="3"/>
            <w:shd w:val="clear" w:color="auto" w:fill="FFFFFF"/>
            <w:tcMar>
              <w:left w:w="57" w:type="dxa"/>
              <w:right w:w="57" w:type="dxa"/>
            </w:tcMar>
            <w:vAlign w:val="center"/>
          </w:tcPr>
          <w:p>
            <w:pPr>
              <w:spacing w:line="340" w:lineRule="exact"/>
              <w:jc w:val="center"/>
              <w:rPr>
                <w:rFonts w:hint="eastAsia" w:ascii="方正仿宋简体" w:eastAsia="方正仿宋简体"/>
                <w:b/>
                <w:sz w:val="24"/>
                <w:szCs w:val="24"/>
              </w:rPr>
            </w:pPr>
            <w:r>
              <w:rPr>
                <w:rFonts w:hint="eastAsia" w:ascii="方正仿宋简体" w:eastAsia="方正仿宋简体"/>
                <w:b/>
                <w:sz w:val="24"/>
                <w:szCs w:val="24"/>
              </w:rPr>
              <w:t>0</w:t>
            </w:r>
          </w:p>
        </w:tc>
      </w:tr>
    </w:tbl>
    <w:p>
      <w:pPr>
        <w:widowControl w:val="0"/>
        <w:adjustRightInd/>
        <w:snapToGrid/>
        <w:spacing w:line="600" w:lineRule="exact"/>
        <w:ind w:right="-11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rPr>
              <w:t>（本列数据的勾稽关系为：第一项加第二项之和，等于第三项加第四项之和）</w:t>
            </w:r>
          </w:p>
        </w:tc>
        <w:tc>
          <w:tcPr>
            <w:tcW w:w="4229" w:type="dxa"/>
            <w:gridSpan w:val="7"/>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自然人</w:t>
            </w:r>
          </w:p>
        </w:tc>
        <w:tc>
          <w:tcPr>
            <w:tcW w:w="2917" w:type="dxa"/>
            <w:gridSpan w:val="5"/>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法人或其他组织</w:t>
            </w:r>
          </w:p>
        </w:tc>
        <w:tc>
          <w:tcPr>
            <w:tcW w:w="521" w:type="dxa"/>
            <w:vMerge w:val="restart"/>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商业</w:t>
            </w:r>
          </w:p>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企业</w:t>
            </w:r>
          </w:p>
        </w:tc>
        <w:tc>
          <w:tcPr>
            <w:tcW w:w="590" w:type="dxa"/>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科研</w:t>
            </w:r>
          </w:p>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机构</w:t>
            </w:r>
          </w:p>
        </w:tc>
        <w:tc>
          <w:tcPr>
            <w:tcW w:w="598" w:type="dxa"/>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社会公益组织</w:t>
            </w:r>
          </w:p>
        </w:tc>
        <w:tc>
          <w:tcPr>
            <w:tcW w:w="571" w:type="dxa"/>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法律服务机构</w:t>
            </w:r>
          </w:p>
        </w:tc>
        <w:tc>
          <w:tcPr>
            <w:tcW w:w="559" w:type="dxa"/>
            <w:tcMar>
              <w:left w:w="57" w:type="dxa"/>
              <w:right w:w="57" w:type="dxa"/>
            </w:tcMar>
            <w:vAlign w:val="center"/>
          </w:tcPr>
          <w:p>
            <w:pPr>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一、本年新收政府信息公开申请数量</w:t>
            </w:r>
          </w:p>
        </w:tc>
        <w:tc>
          <w:tcPr>
            <w:tcW w:w="791" w:type="dxa"/>
            <w:tcMar>
              <w:left w:w="57" w:type="dxa"/>
              <w:right w:w="57" w:type="dxa"/>
            </w:tcMar>
            <w:vAlign w:val="center"/>
          </w:tcPr>
          <w:p>
            <w:pPr>
              <w:spacing w:line="300" w:lineRule="exact"/>
              <w:jc w:val="center"/>
              <w:rPr>
                <w:rFonts w:hint="eastAsia"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hint="eastAsia"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hint="eastAsia"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hint="eastAsia"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二、上年结转政府信息公开申请数量</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三、本年度办理结果</w:t>
            </w:r>
          </w:p>
        </w:tc>
        <w:tc>
          <w:tcPr>
            <w:tcW w:w="3820" w:type="dxa"/>
            <w:gridSpan w:val="2"/>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（一）予以公开</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（二）部分公开</w:t>
            </w:r>
            <w:r>
              <w:rPr>
                <w:rFonts w:hint="eastAsia" w:ascii="方正仿宋简体" w:hAnsi="楷体" w:eastAsia="方正仿宋简体" w:cs="楷体"/>
                <w:b/>
                <w:sz w:val="21"/>
                <w:szCs w:val="21"/>
              </w:rPr>
              <w:t>（区分处理的，只计这一情形，不计其他情形）</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both"/>
              <w:rPr>
                <w:rFonts w:hint="eastAsia" w:ascii="方正仿宋简体" w:hAnsi="Calibri" w:eastAsia="方正仿宋简体" w:cs="Calibri"/>
                <w:b/>
                <w:sz w:val="21"/>
                <w:szCs w:val="21"/>
              </w:rPr>
            </w:pPr>
          </w:p>
          <w:p>
            <w:pPr>
              <w:spacing w:line="300" w:lineRule="exact"/>
              <w:jc w:val="both"/>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（三）不予公开</w:t>
            </w: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1.属于国家秘密</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2.其他法律行政法规禁止公开</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3.危及“三安全一稳定”</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4.保护第三方合法权益</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5.属于三类内部事务信息</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6.属于四类过程性信息</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7.属于行政执法案卷</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8.属于行政查询事项</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（四）无法提供</w:t>
            </w: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1.本机关不掌握相关政府信息</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2.没有现成信息需要另行制作</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3.补正后申请内容仍不明确</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（五）不予处理</w:t>
            </w: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1.信访举报投诉类申请</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2.重复申请</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3.要求提供公开出版物</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4.无正当理由大量反复申请</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5.要求行政机关确认或重新出具已获取信息</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hint="eastAsia" w:ascii="方正仿宋简体" w:hAnsi="Calibri" w:eastAsia="方正仿宋简体" w:cs="Calibri"/>
                <w:b/>
                <w:sz w:val="21"/>
                <w:szCs w:val="21"/>
              </w:rPr>
            </w:pPr>
          </w:p>
          <w:p>
            <w:pPr>
              <w:spacing w:line="300" w:lineRule="exact"/>
              <w:jc w:val="center"/>
              <w:rPr>
                <w:rFonts w:hint="eastAsia" w:ascii="方正仿宋简体" w:hAnsi="Calibri" w:eastAsia="方正仿宋简体" w:cs="Calibri"/>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（六）其他处理</w:t>
            </w:r>
          </w:p>
        </w:tc>
        <w:tc>
          <w:tcPr>
            <w:tcW w:w="2878" w:type="dxa"/>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1.申请人无正当理由逾期不补正、行政机关不再处理其政府信息公开申请</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hint="eastAsia" w:ascii="方正仿宋简体" w:hAnsi="Calibri" w:eastAsia="方正仿宋简体" w:cs="Calibri"/>
                <w:b/>
                <w:sz w:val="21"/>
                <w:szCs w:val="21"/>
              </w:rPr>
            </w:pPr>
          </w:p>
          <w:p>
            <w:pPr>
              <w:spacing w:line="300" w:lineRule="exact"/>
              <w:jc w:val="center"/>
              <w:rPr>
                <w:rFonts w:hint="eastAsia" w:ascii="方正仿宋简体" w:hAnsi="Calibri" w:eastAsia="方正仿宋简体" w:cs="Calibri"/>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2.申请人逾期未按收费通知要求缴纳费用、行政机关不再处理其政府信息公开申请</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hint="eastAsia" w:ascii="方正仿宋简体" w:hAnsi="Calibri" w:eastAsia="方正仿宋简体" w:cs="Calibri"/>
                <w:b/>
                <w:sz w:val="21"/>
                <w:szCs w:val="21"/>
              </w:rPr>
            </w:pPr>
          </w:p>
          <w:p>
            <w:pPr>
              <w:spacing w:line="300" w:lineRule="exact"/>
              <w:jc w:val="center"/>
              <w:rPr>
                <w:rFonts w:hint="eastAsia" w:ascii="方正仿宋简体" w:hAnsi="Calibri" w:eastAsia="方正仿宋简体" w:cs="Calibri"/>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3.其他</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hint="eastAsia" w:ascii="方正仿宋简体" w:hAnsi="Calibri" w:eastAsia="方正仿宋简体" w:cs="Calibri"/>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（七）总计</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hint="eastAsia" w:ascii="方正仿宋简体" w:hAnsi="Calibri" w:eastAsia="方正仿宋简体" w:cs="Calibri"/>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rPr>
              <w:t>四、结转下年度继续办理</w:t>
            </w:r>
          </w:p>
        </w:tc>
        <w:tc>
          <w:tcPr>
            <w:tcW w:w="79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tcPr>
          <w:p>
            <w:pPr>
              <w:spacing w:line="300" w:lineRule="exact"/>
              <w:jc w:val="center"/>
              <w:rPr>
                <w:rFonts w:hint="eastAsia" w:ascii="方正仿宋简体" w:hAnsi="Calibri" w:eastAsia="方正仿宋简体" w:cs="Calibri"/>
                <w:b/>
                <w:sz w:val="21"/>
                <w:szCs w:val="21"/>
              </w:rPr>
            </w:pPr>
            <w:r>
              <w:rPr>
                <w:rFonts w:hint="eastAsia" w:ascii="方正仿宋简体" w:hAnsi="Calibri" w:eastAsia="方正仿宋简体" w:cs="Calibri"/>
                <w:b/>
                <w:sz w:val="21"/>
                <w:szCs w:val="21"/>
              </w:rPr>
              <w:t>0</w:t>
            </w:r>
          </w:p>
        </w:tc>
      </w:tr>
    </w:tbl>
    <w:p>
      <w:pPr>
        <w:widowControl w:val="0"/>
        <w:adjustRightInd/>
        <w:snapToGrid/>
        <w:spacing w:line="600" w:lineRule="exact"/>
        <w:ind w:right="-11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其他</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尚未</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结果</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结果</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其他</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尚未</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结果</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结果</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其他</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hint="default" w:ascii="方正黑体简体" w:hAnsi="宋体" w:eastAsia="方正黑体简体" w:cs="宋体"/>
                <w:b/>
                <w:sz w:val="21"/>
                <w:szCs w:val="21"/>
                <w:lang w:val="en-US"/>
              </w:rPr>
            </w:pPr>
            <w:r>
              <w:rPr>
                <w:rFonts w:hint="eastAsia" w:ascii="方正黑体简体" w:hAnsi="宋体" w:eastAsia="方正黑体简体" w:cs="宋体"/>
                <w:b/>
                <w:sz w:val="21"/>
                <w:szCs w:val="21"/>
              </w:rPr>
              <w:t>尚未</w:t>
            </w:r>
          </w:p>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jc w:val="center"/>
              <w:rPr>
                <w:rFonts w:ascii="方正黑体简体" w:eastAsia="方正黑体简体"/>
                <w:b/>
                <w:sz w:val="21"/>
                <w:szCs w:val="21"/>
              </w:rPr>
            </w:pPr>
            <w:r>
              <w:rPr>
                <w:rFonts w:hint="eastAsia" w:ascii="方正仿宋简体" w:hAnsi="Calibri" w:eastAsia="方正仿宋简体" w:cs="Calibri"/>
                <w:b/>
                <w:sz w:val="21"/>
                <w:szCs w:val="21"/>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sz w:val="21"/>
                <w:szCs w:val="21"/>
              </w:rPr>
            </w:pPr>
            <w:r>
              <w:rPr>
                <w:rFonts w:hint="eastAsia" w:ascii="方正仿宋简体" w:hAnsi="Calibri" w:eastAsia="方正仿宋简体" w:cs="Calibri"/>
                <w:b/>
                <w:sz w:val="21"/>
                <w:szCs w:val="21"/>
              </w:rPr>
              <w:t>0</w:t>
            </w:r>
          </w:p>
        </w:tc>
      </w:tr>
    </w:tbl>
    <w:p>
      <w:pPr>
        <w:widowControl w:val="0"/>
        <w:adjustRightInd/>
        <w:snapToGrid/>
        <w:spacing w:line="600" w:lineRule="exact"/>
        <w:ind w:right="-11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五、存在的主要问题及改进情况</w:t>
      </w:r>
    </w:p>
    <w:p>
      <w:pPr>
        <w:pStyle w:val="5"/>
        <w:widowControl/>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针对2020年我局政府信息公开工作部分工作人员业务能力不强，对政府信息工作相关制度规范理解不到位，政策解读仍然不同程度地存在着内容简单、形式不够丰富的问题。2021年我局加强学习研讨，积极参加县政府办公室举办的各项培训学习活动，积极开</w:t>
      </w:r>
      <w:r>
        <w:rPr>
          <w:rFonts w:eastAsia="仿宋_GB2312"/>
          <w:bCs/>
          <w:sz w:val="32"/>
          <w:szCs w:val="32"/>
        </w:rPr>
        <w:t>展对</w:t>
      </w:r>
      <w:r>
        <w:rPr>
          <w:rFonts w:hint="eastAsia" w:eastAsia="仿宋_GB2312"/>
          <w:bCs/>
          <w:sz w:val="32"/>
          <w:szCs w:val="32"/>
        </w:rPr>
        <w:t>局属各单位、局机关各科室的</w:t>
      </w:r>
      <w:r>
        <w:rPr>
          <w:rFonts w:eastAsia="仿宋_GB2312"/>
          <w:bCs/>
          <w:sz w:val="32"/>
          <w:szCs w:val="32"/>
        </w:rPr>
        <w:t>政务公开工作专项培训</w:t>
      </w:r>
      <w:r>
        <w:rPr>
          <w:rFonts w:hint="eastAsia" w:eastAsia="仿宋_GB2312"/>
          <w:bCs/>
          <w:sz w:val="32"/>
          <w:szCs w:val="32"/>
        </w:rPr>
        <w:t>；</w:t>
      </w:r>
      <w:r>
        <w:rPr>
          <w:rFonts w:hint="eastAsia" w:ascii="仿宋_GB2312" w:hAnsi="仿宋_GB2312" w:eastAsia="仿宋_GB2312" w:cs="仿宋_GB2312"/>
          <w:sz w:val="32"/>
          <w:szCs w:val="32"/>
          <w:shd w:val="clear" w:color="auto" w:fill="FFFFFF"/>
        </w:rPr>
        <w:t>进一步丰富了政务公开政策解读形式，使政务公开信息通俗易懂、生动有趣，确保了政府信息公开工作扎实有效推进。</w:t>
      </w:r>
    </w:p>
    <w:p>
      <w:pPr>
        <w:pStyle w:val="5"/>
        <w:widowControl/>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highlight w:val="yellow"/>
          <w:shd w:val="clear" w:color="auto" w:fill="FFFFFF"/>
        </w:rPr>
      </w:pPr>
      <w:r>
        <w:rPr>
          <w:rFonts w:hint="eastAsia" w:ascii="仿宋_GB2312" w:hAnsi="仿宋_GB2312" w:eastAsia="仿宋_GB2312" w:cs="仿宋_GB2312"/>
          <w:sz w:val="32"/>
          <w:szCs w:val="32"/>
          <w:shd w:val="clear" w:color="auto" w:fill="FFFFFF"/>
        </w:rPr>
        <w:t>2021年，我局政府信息公开工作虽然取得了一定的成效，但也存在一些问题，主要是工作发展不够平衡。对推行政府信息公开制度的重要性、紧迫性认识不足，思想上没有引起足够的认识。如有的在认识上还停留在“要我公开”上；有的满足于一般性的办事程序、办事制度公开。为此，我局计划在2022年从以下几个方面着手，改进和加强政府信息公开工作：一是进一步提高对政府信息公开工作重要性的认识，增强工作的主动性和预见性。二是进一步加强对政府信息公开工作的组织领导和监督，层层落实责任，把政府信息公开工作落到实处。三是加强学习和培训，不断提高政府信息公开工作水平。</w:t>
      </w:r>
    </w:p>
    <w:p>
      <w:pPr>
        <w:widowControl w:val="0"/>
        <w:adjustRightInd/>
        <w:snapToGrid/>
        <w:spacing w:line="600" w:lineRule="exact"/>
        <w:ind w:right="-11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六、其他需要报告的事项</w:t>
      </w:r>
    </w:p>
    <w:p>
      <w:pPr>
        <w:pStyle w:val="5"/>
        <w:widowControl/>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（一）本年度，我局未收到政府信息公开申请，不存在收取信息处理费的情况。</w:t>
      </w:r>
    </w:p>
    <w:p>
      <w:pPr>
        <w:pStyle w:val="5"/>
        <w:widowControl/>
        <w:shd w:val="clear" w:color="auto" w:fill="FFFFFF"/>
        <w:spacing w:before="0" w:beforeAutospacing="0" w:after="0" w:afterAutospacing="0" w:line="60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（二）2021年，汶上县</w:t>
      </w:r>
      <w:r>
        <w:rPr>
          <w:rFonts w:hint="eastAsia" w:ascii="仿宋_GB2312" w:hAnsi="仿宋_GB2312" w:eastAsia="仿宋_GB2312" w:cs="仿宋_GB2312"/>
          <w:sz w:val="32"/>
          <w:szCs w:val="32"/>
          <w:shd w:val="clear" w:color="auto" w:fill="FFFFFF"/>
          <w:lang w:val="en-US" w:eastAsia="zh-CN"/>
        </w:rPr>
        <w:t>医疗保障</w:t>
      </w:r>
      <w:r>
        <w:rPr>
          <w:rFonts w:hint="eastAsia" w:ascii="仿宋_GB2312" w:hAnsi="仿宋_GB2312" w:eastAsia="仿宋_GB2312" w:cs="仿宋_GB2312"/>
          <w:sz w:val="32"/>
          <w:szCs w:val="32"/>
          <w:shd w:val="clear" w:color="auto" w:fill="FFFFFF"/>
        </w:rPr>
        <w:t>局认真落实上级关于政务公开工作的各项要求。根据</w:t>
      </w:r>
      <w:r>
        <w:rPr>
          <w:rFonts w:ascii="仿宋_GB2312" w:hAnsi="仿宋_GB2312" w:eastAsia="仿宋_GB2312" w:cs="仿宋_GB2312"/>
          <w:sz w:val="32"/>
          <w:szCs w:val="32"/>
          <w:shd w:val="clear" w:color="auto" w:fill="FFFFFF"/>
        </w:rPr>
        <w:t>汶上县人民政府办公室</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关于印发202</w:t>
      </w:r>
      <w:r>
        <w:rPr>
          <w:rFonts w:hint="eastAsia" w:ascii="仿宋_GB2312" w:hAnsi="仿宋_GB2312" w:eastAsia="仿宋_GB2312" w:cs="仿宋_GB2312"/>
          <w:sz w:val="32"/>
          <w:szCs w:val="32"/>
          <w:shd w:val="clear" w:color="auto" w:fill="FFFFFF"/>
        </w:rPr>
        <w:t>1</w:t>
      </w:r>
      <w:r>
        <w:rPr>
          <w:rFonts w:ascii="仿宋_GB2312" w:hAnsi="仿宋_GB2312" w:eastAsia="仿宋_GB2312" w:cs="仿宋_GB2312"/>
          <w:sz w:val="32"/>
          <w:szCs w:val="32"/>
          <w:shd w:val="clear" w:color="auto" w:fill="FFFFFF"/>
        </w:rPr>
        <w:t>年</w:t>
      </w:r>
      <w:r>
        <w:rPr>
          <w:rFonts w:hint="eastAsia" w:ascii="仿宋_GB2312" w:hAnsi="仿宋_GB2312" w:eastAsia="仿宋_GB2312" w:cs="仿宋_GB2312"/>
          <w:sz w:val="32"/>
          <w:szCs w:val="32"/>
          <w:shd w:val="clear" w:color="auto" w:fill="FFFFFF"/>
        </w:rPr>
        <w:t>汶上县</w:t>
      </w:r>
      <w:r>
        <w:rPr>
          <w:rFonts w:ascii="仿宋_GB2312" w:hAnsi="仿宋_GB2312" w:eastAsia="仿宋_GB2312" w:cs="仿宋_GB2312"/>
          <w:sz w:val="32"/>
          <w:szCs w:val="32"/>
          <w:shd w:val="clear" w:color="auto" w:fill="FFFFFF"/>
        </w:rPr>
        <w:t>政务公开工作任务分解表</w:t>
      </w:r>
      <w:r>
        <w:rPr>
          <w:rFonts w:hint="eastAsia" w:ascii="仿宋_GB2312" w:hAnsi="仿宋_GB2312" w:eastAsia="仿宋_GB2312" w:cs="仿宋_GB2312"/>
          <w:sz w:val="32"/>
          <w:szCs w:val="32"/>
          <w:shd w:val="clear" w:color="auto" w:fill="FFFFFF"/>
        </w:rPr>
        <w:t>的通知》</w:t>
      </w:r>
      <w:r>
        <w:rPr>
          <w:rFonts w:ascii="仿宋_GB2312" w:hAnsi="仿宋_GB2312" w:eastAsia="仿宋_GB2312" w:cs="仿宋_GB2312"/>
          <w:sz w:val="32"/>
          <w:szCs w:val="32"/>
          <w:shd w:val="clear" w:color="auto" w:fill="FFFFFF"/>
        </w:rPr>
        <w:t>（汶政办字〔202</w:t>
      </w:r>
      <w:r>
        <w:rPr>
          <w:rFonts w:hint="eastAsia" w:ascii="仿宋_GB2312" w:hAnsi="仿宋_GB2312" w:eastAsia="仿宋_GB2312" w:cs="仿宋_GB2312"/>
          <w:sz w:val="32"/>
          <w:szCs w:val="32"/>
          <w:shd w:val="clear" w:color="auto" w:fill="FFFFFF"/>
        </w:rPr>
        <w:t>1</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14</w:t>
      </w:r>
      <w:r>
        <w:rPr>
          <w:rFonts w:ascii="仿宋_GB2312" w:hAnsi="仿宋_GB2312" w:eastAsia="仿宋_GB2312" w:cs="仿宋_GB2312"/>
          <w:sz w:val="32"/>
          <w:szCs w:val="32"/>
          <w:shd w:val="clear" w:color="auto" w:fill="FFFFFF"/>
        </w:rPr>
        <w:t>号）</w:t>
      </w:r>
      <w:r>
        <w:rPr>
          <w:rFonts w:hint="eastAsia" w:ascii="仿宋_GB2312" w:hAnsi="仿宋_GB2312" w:eastAsia="仿宋_GB2312" w:cs="仿宋_GB2312"/>
          <w:sz w:val="32"/>
          <w:szCs w:val="32"/>
          <w:shd w:val="clear" w:color="auto" w:fill="FFFFFF"/>
        </w:rPr>
        <w:t>要求，我局认真组织研究，对照《分解表》任务分工，进一步细化任务目标，制定我局2021年政务公开工作要点，落实责任分工，明确承办科室。从深化重点领域政府信息公开、</w:t>
      </w:r>
      <w:r>
        <w:rPr>
          <w:rFonts w:ascii="仿宋_GB2312" w:hAnsi="仿宋_GB2312" w:eastAsia="仿宋_GB2312" w:cs="仿宋_GB2312"/>
          <w:sz w:val="32"/>
          <w:szCs w:val="32"/>
          <w:shd w:val="clear" w:color="auto" w:fill="FFFFFF"/>
        </w:rPr>
        <w:t>加强和改进政策发布解读回应</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强化公众参与推动高水平决策公开</w:t>
      </w:r>
      <w:r>
        <w:rPr>
          <w:rFonts w:hint="eastAsia" w:ascii="仿宋_GB2312" w:hAnsi="仿宋_GB2312" w:eastAsia="仿宋_GB2312" w:cs="仿宋_GB2312"/>
          <w:sz w:val="32"/>
          <w:szCs w:val="32"/>
          <w:shd w:val="clear" w:color="auto" w:fill="FFFFFF"/>
        </w:rPr>
        <w:t>、全面提升基层政务公开标准化规范化水平、</w:t>
      </w:r>
      <w:r>
        <w:rPr>
          <w:rFonts w:ascii="仿宋_GB2312" w:hAnsi="仿宋_GB2312" w:eastAsia="仿宋_GB2312" w:cs="仿宋_GB2312"/>
          <w:sz w:val="32"/>
          <w:szCs w:val="32"/>
          <w:shd w:val="clear" w:color="auto" w:fill="FFFFFF"/>
        </w:rPr>
        <w:t>严格政务公开工作保障和落实</w:t>
      </w:r>
      <w:r>
        <w:rPr>
          <w:rFonts w:hint="eastAsia" w:ascii="仿宋_GB2312" w:hAnsi="仿宋_GB2312" w:eastAsia="仿宋_GB2312" w:cs="仿宋_GB2312"/>
          <w:sz w:val="32"/>
          <w:szCs w:val="32"/>
          <w:shd w:val="clear" w:color="auto" w:fill="FFFFFF"/>
        </w:rPr>
        <w:t>等方面明确21项政务公开重点工作，并在政务公开工作推进专栏进行公开，有效指导监督我局全年政务公开工作。</w:t>
      </w:r>
    </w:p>
    <w:p>
      <w:pPr>
        <w:pStyle w:val="5"/>
        <w:widowControl/>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（三）我局人大代表建议和政协提案办理结果公开情况。我局共办理人大代表建议1件、政协委员提案1件，所有建议、提案已在规定时限内办复完毕，都作出了书面答复</w:t>
      </w:r>
      <w:r>
        <w:rPr>
          <w:rFonts w:hint="eastAsia" w:ascii="仿宋_GB2312" w:hAnsi="仿宋_GB2312" w:eastAsia="仿宋_GB2312" w:cs="仿宋_GB2312"/>
          <w:sz w:val="32"/>
          <w:szCs w:val="32"/>
          <w:shd w:val="clear" w:color="auto" w:fill="FFFFFF"/>
          <w:lang w:eastAsia="zh-CN"/>
        </w:rPr>
        <w:t>，并都在汶上县政府网站政府信息公开栏目公开</w:t>
      </w:r>
      <w:r>
        <w:rPr>
          <w:rFonts w:hint="eastAsia" w:ascii="仿宋_GB2312" w:hAnsi="仿宋_GB2312" w:eastAsia="仿宋_GB2312" w:cs="仿宋_GB2312"/>
          <w:sz w:val="32"/>
          <w:szCs w:val="32"/>
          <w:shd w:val="clear" w:color="auto" w:fill="FFFFFF"/>
        </w:rPr>
        <w:t>。</w:t>
      </w:r>
    </w:p>
    <w:p>
      <w:pPr>
        <w:pStyle w:val="5"/>
        <w:widowControl/>
        <w:numPr>
          <w:ilvl w:val="0"/>
          <w:numId w:val="1"/>
        </w:numPr>
        <w:shd w:val="clear" w:color="auto" w:fill="FFFFFF"/>
        <w:spacing w:before="0" w:beforeAutospacing="0" w:after="0" w:afterAutospacing="0"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本年度政务公开工作创新情况。</w:t>
      </w:r>
      <w:r>
        <w:rPr>
          <w:rFonts w:hint="eastAsia" w:ascii="仿宋_GB2312" w:hAnsi="仿宋_GB2312" w:eastAsia="仿宋_GB2312" w:cs="仿宋_GB2312"/>
          <w:sz w:val="32"/>
          <w:szCs w:val="32"/>
        </w:rPr>
        <w:t>我局强化平台建设，增强公开能力。不断探索拓展政务公开渠道，充分发挥县政府门户网站公开主平台作用，借力新媒体“</w:t>
      </w:r>
      <w:r>
        <w:rPr>
          <w:rFonts w:hint="eastAsia" w:ascii="仿宋_GB2312" w:hAnsi="仿宋_GB2312" w:eastAsia="仿宋_GB2312" w:cs="仿宋_GB2312"/>
          <w:sz w:val="32"/>
          <w:szCs w:val="32"/>
          <w:lang w:val="en-US" w:eastAsia="zh-CN"/>
        </w:rPr>
        <w:t>汶上县医疗保障局</w:t>
      </w:r>
      <w:r>
        <w:rPr>
          <w:rFonts w:hint="eastAsia" w:ascii="仿宋_GB2312" w:hAnsi="仿宋_GB2312" w:eastAsia="仿宋_GB2312" w:cs="仿宋_GB2312"/>
          <w:sz w:val="32"/>
          <w:szCs w:val="32"/>
        </w:rPr>
        <w:t>”微信公众号、</w:t>
      </w:r>
      <w:r>
        <w:rPr>
          <w:rFonts w:hint="eastAsia" w:ascii="仿宋_GB2312" w:hAnsi="仿宋_GB2312" w:eastAsia="仿宋_GB2312" w:cs="仿宋_GB2312"/>
          <w:sz w:val="32"/>
          <w:szCs w:val="32"/>
          <w:lang w:eastAsia="zh-CN"/>
        </w:rPr>
        <w:t>“汶上医保”</w:t>
      </w:r>
      <w:r>
        <w:rPr>
          <w:rFonts w:hint="eastAsia" w:ascii="仿宋_GB2312" w:hAnsi="仿宋_GB2312" w:eastAsia="仿宋_GB2312" w:cs="仿宋_GB2312"/>
          <w:sz w:val="32"/>
          <w:szCs w:val="32"/>
          <w:lang w:val="en-US" w:eastAsia="zh-CN"/>
        </w:rPr>
        <w:t>快手</w:t>
      </w:r>
      <w:r>
        <w:rPr>
          <w:rFonts w:hint="eastAsia" w:ascii="仿宋_GB2312" w:hAnsi="仿宋_GB2312" w:eastAsia="仿宋_GB2312" w:cs="仿宋_GB2312"/>
          <w:sz w:val="32"/>
          <w:szCs w:val="32"/>
        </w:rPr>
        <w:t>号，不断提升信息发布、在线服务和互动交流水平。县政府网页与“</w:t>
      </w:r>
      <w:r>
        <w:rPr>
          <w:rFonts w:hint="eastAsia" w:ascii="仿宋_GB2312" w:hAnsi="仿宋_GB2312" w:eastAsia="仿宋_GB2312" w:cs="仿宋_GB2312"/>
          <w:sz w:val="32"/>
          <w:szCs w:val="32"/>
          <w:lang w:val="en-US" w:eastAsia="zh-CN"/>
        </w:rPr>
        <w:t>汶上县医疗保障局</w:t>
      </w:r>
      <w:r>
        <w:rPr>
          <w:rFonts w:hint="eastAsia" w:ascii="仿宋_GB2312" w:hAnsi="仿宋_GB2312" w:eastAsia="仿宋_GB2312" w:cs="仿宋_GB2312"/>
          <w:sz w:val="32"/>
          <w:szCs w:val="32"/>
        </w:rPr>
        <w:t>”微信公众号做到定期更新。线上重点抓，线下不放松，双方面赋能，多渠道推进。</w:t>
      </w:r>
      <w:r>
        <w:rPr>
          <w:rFonts w:hint="eastAsia" w:ascii="仿宋_GB2312" w:hAnsi="仿宋_GB2312" w:eastAsia="仿宋_GB2312" w:cs="仿宋_GB2312"/>
          <w:spacing w:val="8"/>
          <w:sz w:val="32"/>
          <w:szCs w:val="32"/>
          <w:shd w:val="clear" w:color="auto" w:fill="FFFFFF"/>
        </w:rPr>
        <w:t>11月</w:t>
      </w:r>
      <w:r>
        <w:rPr>
          <w:rFonts w:hint="eastAsia" w:ascii="仿宋_GB2312" w:hAnsi="仿宋_GB2312" w:eastAsia="仿宋_GB2312" w:cs="仿宋_GB2312"/>
          <w:spacing w:val="8"/>
          <w:sz w:val="32"/>
          <w:szCs w:val="32"/>
          <w:shd w:val="clear" w:color="auto" w:fill="FFFFFF"/>
          <w:lang w:val="en-US" w:eastAsia="zh-CN"/>
        </w:rPr>
        <w:t>26</w:t>
      </w:r>
      <w:r>
        <w:rPr>
          <w:rFonts w:hint="eastAsia" w:ascii="仿宋_GB2312" w:hAnsi="仿宋_GB2312" w:eastAsia="仿宋_GB2312" w:cs="仿宋_GB2312"/>
          <w:spacing w:val="8"/>
          <w:sz w:val="32"/>
          <w:szCs w:val="32"/>
          <w:shd w:val="clear" w:color="auto" w:fill="FFFFFF"/>
        </w:rPr>
        <w:t>日，汶上县</w:t>
      </w:r>
      <w:r>
        <w:rPr>
          <w:rFonts w:hint="eastAsia" w:ascii="仿宋_GB2312" w:hAnsi="仿宋_GB2312" w:eastAsia="仿宋_GB2312" w:cs="仿宋_GB2312"/>
          <w:spacing w:val="8"/>
          <w:sz w:val="32"/>
          <w:szCs w:val="32"/>
          <w:shd w:val="clear" w:color="auto" w:fill="FFFFFF"/>
          <w:lang w:val="en-US" w:eastAsia="zh-CN"/>
        </w:rPr>
        <w:t>医疗保障局承办市医疗保障局在汶上县组织召开的“政府开放日”活动，邀请市人大代表、市政协委员、参保群众、媒体记者等18人参加活动，打通</w:t>
      </w:r>
      <w:r>
        <w:rPr>
          <w:rFonts w:hint="eastAsia" w:ascii="仿宋_GB2312" w:hAnsi="仿宋_GB2312" w:eastAsia="仿宋_GB2312" w:cs="仿宋_GB2312"/>
          <w:sz w:val="32"/>
          <w:szCs w:val="32"/>
        </w:rPr>
        <w:t>联系服务群众“最后一公里”，做到根植群众、服务人民。</w:t>
      </w:r>
    </w:p>
    <w:p>
      <w:pPr>
        <w:widowControl w:val="0"/>
        <w:adjustRightInd/>
        <w:snapToGrid/>
        <w:spacing w:line="600" w:lineRule="exact"/>
        <w:ind w:firstLine="672" w:firstLineChars="200"/>
        <w:rPr>
          <w:rFonts w:ascii="仿宋_GB2312" w:hAnsi="仿宋_GB2312" w:eastAsia="仿宋_GB2312" w:cs="仿宋_GB2312"/>
          <w:spacing w:val="8"/>
          <w:sz w:val="32"/>
          <w:szCs w:val="32"/>
          <w:shd w:val="clear" w:color="auto" w:fill="FFFFFF"/>
        </w:rPr>
      </w:pPr>
    </w:p>
    <w:p>
      <w:pPr>
        <w:spacing w:line="220" w:lineRule="atLeast"/>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370BEE-F21B-4DB3-8C95-97AFE93ECC5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32DEB7C-4363-4919-88C6-4F9F07FC5052}"/>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3" w:fontKey="{D3B050BE-8359-403D-A654-DA099C29023E}"/>
  </w:font>
  <w:font w:name="仿宋_GB2312">
    <w:panose1 w:val="02010609030101010101"/>
    <w:charset w:val="86"/>
    <w:family w:val="auto"/>
    <w:pitch w:val="default"/>
    <w:sig w:usb0="00000001" w:usb1="080E0000" w:usb2="00000000" w:usb3="00000000" w:csb0="00040000" w:csb1="00000000"/>
    <w:embedRegular r:id="rId4" w:fontKey="{8014B9EF-B605-4D9F-8DB7-A78CA2C0EB70}"/>
  </w:font>
  <w:font w:name="方正楷体简体">
    <w:altName w:val="宋体"/>
    <w:panose1 w:val="03000509000000000000"/>
    <w:charset w:val="86"/>
    <w:family w:val="auto"/>
    <w:pitch w:val="default"/>
    <w:sig w:usb0="00000000" w:usb1="00000000" w:usb2="00000000" w:usb3="00000000" w:csb0="00040000" w:csb1="00000000"/>
    <w:embedRegular r:id="rId5" w:fontKey="{BD8A5B5A-A3C1-4136-B5B7-714B0BE2240D}"/>
  </w:font>
  <w:font w:name="楷体">
    <w:panose1 w:val="02010609060101010101"/>
    <w:charset w:val="86"/>
    <w:family w:val="modern"/>
    <w:pitch w:val="default"/>
    <w:sig w:usb0="800002BF" w:usb1="38CF7CFA" w:usb2="00000016" w:usb3="00000000" w:csb0="00040001" w:csb1="00000000"/>
    <w:embedRegular r:id="rId6" w:fontKey="{521C5A77-36BD-46A4-8B4A-259E63A2FD5C}"/>
  </w:font>
  <w:font w:name="方正仿宋简体">
    <w:altName w:val="微软雅黑"/>
    <w:panose1 w:val="03000509000000000000"/>
    <w:charset w:val="86"/>
    <w:family w:val="auto"/>
    <w:pitch w:val="default"/>
    <w:sig w:usb0="00000000" w:usb1="00000000" w:usb2="00000000" w:usb3="00000000" w:csb0="00040000" w:csb1="00000000"/>
    <w:embedRegular r:id="rId7" w:fontKey="{CEBD25C9-D2AE-4247-B214-AF42565659BD}"/>
  </w:font>
  <w:font w:name="方正黑体简体">
    <w:altName w:val="微软雅黑"/>
    <w:panose1 w:val="02010601030101010101"/>
    <w:charset w:val="86"/>
    <w:family w:val="auto"/>
    <w:pitch w:val="default"/>
    <w:sig w:usb0="00000000" w:usb1="00000000" w:usb2="00000000" w:usb3="00000000" w:csb0="00040000" w:csb1="00000000"/>
    <w:embedRegular r:id="rId8" w:fontKey="{89311690-C559-49C8-9762-DFC1BD04B67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32189"/>
    <w:multiLevelType w:val="singleLevel"/>
    <w:tmpl w:val="99A3218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rsids>
    <w:rsidRoot w:val="00D31D50"/>
    <w:rsid w:val="00207DE9"/>
    <w:rsid w:val="00323B43"/>
    <w:rsid w:val="003D37D8"/>
    <w:rsid w:val="00426133"/>
    <w:rsid w:val="004358AB"/>
    <w:rsid w:val="008965E6"/>
    <w:rsid w:val="008B7726"/>
    <w:rsid w:val="00BC7066"/>
    <w:rsid w:val="00D31D50"/>
    <w:rsid w:val="00DE5AC2"/>
    <w:rsid w:val="00F83992"/>
    <w:rsid w:val="02831013"/>
    <w:rsid w:val="09113E3C"/>
    <w:rsid w:val="0EB30335"/>
    <w:rsid w:val="0EDE2DB2"/>
    <w:rsid w:val="12631F4C"/>
    <w:rsid w:val="1C7E7AF8"/>
    <w:rsid w:val="1F10057B"/>
    <w:rsid w:val="1FBB08BB"/>
    <w:rsid w:val="217C2B2B"/>
    <w:rsid w:val="218B6DCA"/>
    <w:rsid w:val="23BB228C"/>
    <w:rsid w:val="241B1664"/>
    <w:rsid w:val="244F774D"/>
    <w:rsid w:val="27F55037"/>
    <w:rsid w:val="30B55C11"/>
    <w:rsid w:val="31550DCF"/>
    <w:rsid w:val="35262C3A"/>
    <w:rsid w:val="38B60A92"/>
    <w:rsid w:val="3D60593D"/>
    <w:rsid w:val="3F3D5750"/>
    <w:rsid w:val="412F06F1"/>
    <w:rsid w:val="4B5151E9"/>
    <w:rsid w:val="4CEA1364"/>
    <w:rsid w:val="55690E7A"/>
    <w:rsid w:val="58703188"/>
    <w:rsid w:val="59561490"/>
    <w:rsid w:val="59B70658"/>
    <w:rsid w:val="5AB05F0E"/>
    <w:rsid w:val="614B221E"/>
    <w:rsid w:val="6195793E"/>
    <w:rsid w:val="65136487"/>
    <w:rsid w:val="6AA71503"/>
    <w:rsid w:val="71703D39"/>
    <w:rsid w:val="72710C91"/>
    <w:rsid w:val="732B1BDB"/>
    <w:rsid w:val="75D171E2"/>
    <w:rsid w:val="775F730A"/>
    <w:rsid w:val="7D046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pPr>
    <w:rPr>
      <w:sz w:val="18"/>
      <w:szCs w:val="18"/>
    </w:rPr>
  </w:style>
  <w:style w:type="paragraph" w:styleId="3">
    <w:name w:val="footer"/>
    <w:basedOn w:val="1"/>
    <w:link w:val="10"/>
    <w:semiHidden/>
    <w:unhideWhenUsed/>
    <w:qFormat/>
    <w:uiPriority w:val="99"/>
    <w:pPr>
      <w:tabs>
        <w:tab w:val="center" w:pos="4153"/>
        <w:tab w:val="right" w:pos="8306"/>
      </w:tabs>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qFormat/>
    <w:uiPriority w:val="0"/>
    <w:pPr>
      <w:widowControl w:val="0"/>
      <w:adjustRightInd/>
      <w:snapToGrid/>
      <w:spacing w:before="100" w:beforeAutospacing="1" w:after="100" w:afterAutospacing="1"/>
    </w:pPr>
    <w:rPr>
      <w:rFonts w:ascii="Times New Roman" w:hAnsi="Times New Roman" w:eastAsia="宋体" w:cs="Times New Roman"/>
      <w:sz w:val="24"/>
      <w:szCs w:val="20"/>
    </w:rPr>
  </w:style>
  <w:style w:type="character" w:styleId="8">
    <w:name w:val="Strong"/>
    <w:basedOn w:val="7"/>
    <w:qFormat/>
    <w:uiPriority w:val="0"/>
    <w:rPr>
      <w:b/>
    </w:rPr>
  </w:style>
  <w:style w:type="character" w:customStyle="1" w:styleId="9">
    <w:name w:val="页眉 Char"/>
    <w:basedOn w:val="7"/>
    <w:link w:val="4"/>
    <w:semiHidden/>
    <w:qFormat/>
    <w:uiPriority w:val="99"/>
    <w:rPr>
      <w:rFonts w:ascii="Tahoma" w:hAnsi="Tahoma"/>
      <w:sz w:val="18"/>
      <w:szCs w:val="18"/>
    </w:rPr>
  </w:style>
  <w:style w:type="character" w:customStyle="1" w:styleId="10">
    <w:name w:val="页脚 Char"/>
    <w:basedOn w:val="7"/>
    <w:link w:val="3"/>
    <w:semiHidden/>
    <w:qFormat/>
    <w:uiPriority w:val="99"/>
    <w:rPr>
      <w:rFonts w:ascii="Tahoma" w:hAnsi="Tahoma"/>
      <w:sz w:val="18"/>
      <w:szCs w:val="18"/>
    </w:rPr>
  </w:style>
  <w:style w:type="character" w:customStyle="1" w:styleId="11">
    <w:name w:val="批注框文本 Char"/>
    <w:basedOn w:val="7"/>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3384</Words>
  <Characters>3525</Characters>
  <Lines>28</Lines>
  <Paragraphs>7</Paragraphs>
  <TotalTime>1</TotalTime>
  <ScaleCrop>false</ScaleCrop>
  <LinksUpToDate>false</LinksUpToDate>
  <CharactersWithSpaces>3525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cp:lastModifiedBy>
  <dcterms:modified xsi:type="dcterms:W3CDTF">2022-01-25T08:03:12Z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73E51356A69A4B6183A12D8958DFB041</vt:lpwstr>
  </property>
</Properties>
</file>