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3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589"/>
        <w:gridCol w:w="1111"/>
        <w:gridCol w:w="2700"/>
        <w:gridCol w:w="540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8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规划建设监督管理办公室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■公共资源交易平台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36014B-FF20-4DCF-B8AF-E55E376142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89FE5AD-AF80-4085-9843-0A8E0C7F30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E27300-0935-4218-8FA6-52171CB01E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E437F69-A531-447A-85B7-51315018C5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NmIzYjQyNGE0ZWZiMTg2MzNlZTg0NjVmMzc5M2UifQ=="/>
  </w:docVars>
  <w:rsids>
    <w:rsidRoot w:val="79C54CE1"/>
    <w:rsid w:val="6CB66B85"/>
    <w:rsid w:val="79C5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2020-12-03T03:38:00Z</dcterms:created>
  <dc:creator>糖炒栗子 ້໌ᮨ</dc:creator>
  <cp:lastModifiedBy>刘辉</cp:lastModifiedBy>
  <dcterms:modified xsi:type="dcterms:W3CDTF">2024-05-22T01:28:30Z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1148670403_cloud</vt:lpwstr>
  </property>
  <property fmtid="{D5CDD505-2E9C-101B-9397-08002B2CF9AE}" pid="4" name="ICV">
    <vt:lpwstr>E95088C404BB4419AB168CB3FC159BA1_12</vt:lpwstr>
  </property>
</Properties>
</file>