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70" w:lineRule="atLeas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5月8日至2020年5月15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70" w:lineRule="atLeas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70" w:lineRule="atLeas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</w:rPr>
        <w:t>0537-7211606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70" w:lineRule="atLeas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70" w:lineRule="atLeas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</w:rPr>
        <w:t>27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  <w:lang w:val="en-US" w:eastAsia="zh-CN"/>
        </w:rPr>
        <w:t>2500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70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70" w:lineRule="atLeast"/>
        <w:ind w:left="0" w:firstLine="42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   2020年5月7日</w:t>
      </w:r>
    </w:p>
    <w:p>
      <w:pPr>
        <w:pStyle w:val="2"/>
        <w:keepNext w:val="0"/>
        <w:keepLines w:val="0"/>
        <w:widowControl/>
        <w:suppressLineNumbers w:val="0"/>
      </w:pP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中国石油天然气股份有限公司山东销售分公司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中国石油天然气股份有限公司山东济宁销售分公司汶上</w:t>
            </w: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李官加油站改建项目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105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国道以西，郭仓镇李官集村土地以南、以东、以北。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刘德祥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380.22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D14FD"/>
    <w:rsid w:val="028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2020-12-25T09:39:00Z</dcterms:created>
  <dc:creator>SPJ3</dc:creator>
  <cp:lastModifiedBy>SPJ3</cp:lastModifiedBy>
  <dcterms:modified xsi:type="dcterms:W3CDTF">2020-12-25T09:48:36Z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