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征求意见汇总表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2001"/>
        <w:gridCol w:w="2909"/>
        <w:gridCol w:w="2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49" w:type="dxa"/>
            <w:vAlign w:val="center"/>
          </w:tcPr>
          <w:p>
            <w:pPr>
              <w:jc w:val="center"/>
              <w:rPr>
                <w:rFonts w:ascii="黑体" w:hAnsi="黑体" w:eastAsia="黑体" w:cs="黑体"/>
                <w:sz w:val="24"/>
              </w:rPr>
            </w:pPr>
            <w:r>
              <w:rPr>
                <w:rFonts w:hint="eastAsia" w:ascii="黑体" w:hAnsi="黑体" w:eastAsia="黑体" w:cs="黑体"/>
                <w:sz w:val="24"/>
              </w:rPr>
              <w:t>序号</w:t>
            </w:r>
          </w:p>
        </w:tc>
        <w:tc>
          <w:tcPr>
            <w:tcW w:w="2001" w:type="dxa"/>
            <w:vAlign w:val="center"/>
          </w:tcPr>
          <w:p>
            <w:pPr>
              <w:jc w:val="center"/>
              <w:rPr>
                <w:rFonts w:ascii="黑体" w:hAnsi="黑体" w:eastAsia="黑体" w:cs="黑体"/>
                <w:sz w:val="24"/>
              </w:rPr>
            </w:pPr>
            <w:r>
              <w:rPr>
                <w:rFonts w:hint="eastAsia" w:ascii="黑体" w:hAnsi="黑体" w:eastAsia="黑体" w:cs="黑体"/>
                <w:sz w:val="24"/>
              </w:rPr>
              <w:t>来源</w:t>
            </w:r>
          </w:p>
        </w:tc>
        <w:tc>
          <w:tcPr>
            <w:tcW w:w="2909" w:type="dxa"/>
            <w:vAlign w:val="center"/>
          </w:tcPr>
          <w:p>
            <w:pPr>
              <w:jc w:val="center"/>
              <w:rPr>
                <w:rFonts w:ascii="黑体" w:hAnsi="黑体" w:eastAsia="黑体" w:cs="黑体"/>
                <w:sz w:val="24"/>
              </w:rPr>
            </w:pPr>
            <w:r>
              <w:rPr>
                <w:rFonts w:hint="eastAsia" w:ascii="黑体" w:hAnsi="黑体" w:eastAsia="黑体" w:cs="黑体"/>
                <w:sz w:val="24"/>
              </w:rPr>
              <w:t>所提意见</w:t>
            </w:r>
          </w:p>
        </w:tc>
        <w:tc>
          <w:tcPr>
            <w:tcW w:w="2963" w:type="dxa"/>
            <w:vAlign w:val="center"/>
          </w:tcPr>
          <w:p>
            <w:pPr>
              <w:jc w:val="center"/>
              <w:rPr>
                <w:rFonts w:ascii="黑体" w:hAnsi="黑体" w:eastAsia="黑体" w:cs="黑体"/>
                <w:sz w:val="24"/>
              </w:rPr>
            </w:pPr>
            <w:r>
              <w:rPr>
                <w:rFonts w:hint="eastAsia" w:ascii="黑体" w:hAnsi="黑体" w:eastAsia="黑体" w:cs="黑体"/>
                <w:sz w:val="24"/>
              </w:rPr>
              <w:t>采纳情况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649" w:type="dxa"/>
            <w:vAlign w:val="center"/>
          </w:tcPr>
          <w:p>
            <w:pPr>
              <w:widowControl/>
              <w:jc w:val="center"/>
              <w:rPr>
                <w:rFonts w:ascii="仿宋_GB2312" w:hAnsi="仿宋_GB2312" w:eastAsia="仿宋_GB2312" w:cs="仿宋_GB2312"/>
                <w:color w:val="222222"/>
                <w:kern w:val="0"/>
                <w:sz w:val="24"/>
                <w:lang w:bidi="ar"/>
              </w:rPr>
            </w:pPr>
            <w:r>
              <w:rPr>
                <w:rFonts w:hint="eastAsia" w:ascii="仿宋_GB2312" w:hAnsi="仿宋_GB2312" w:eastAsia="仿宋_GB2312" w:cs="仿宋_GB2312"/>
                <w:color w:val="222222"/>
                <w:kern w:val="0"/>
                <w:sz w:val="24"/>
                <w:lang w:bidi="ar"/>
              </w:rPr>
              <w:t>1</w:t>
            </w:r>
          </w:p>
        </w:tc>
        <w:tc>
          <w:tcPr>
            <w:tcW w:w="2001" w:type="dxa"/>
            <w:vAlign w:val="center"/>
          </w:tcPr>
          <w:p>
            <w:pPr>
              <w:widowControl/>
              <w:jc w:val="center"/>
              <w:rPr>
                <w:rFonts w:hint="eastAsia" w:ascii="黑体" w:hAnsi="黑体" w:eastAsia="黑体" w:cs="黑体"/>
                <w:color w:val="222222"/>
                <w:kern w:val="0"/>
                <w:sz w:val="24"/>
                <w:lang w:bidi="ar"/>
              </w:rPr>
            </w:pPr>
            <w:r>
              <w:rPr>
                <w:rFonts w:hint="eastAsia"/>
              </w:rPr>
              <w:t>463400989@qq.com</w:t>
            </w:r>
          </w:p>
        </w:tc>
        <w:tc>
          <w:tcPr>
            <w:tcW w:w="2909" w:type="dxa"/>
            <w:vAlign w:val="center"/>
          </w:tcPr>
          <w:p>
            <w:pPr>
              <w:widowControl/>
              <w:rPr>
                <w:rFonts w:hint="eastAsia" w:ascii="黑体" w:hAnsi="黑体" w:eastAsia="黑体" w:cs="黑体"/>
                <w:color w:val="222222"/>
                <w:kern w:val="0"/>
                <w:sz w:val="24"/>
                <w:lang w:bidi="ar"/>
              </w:rPr>
            </w:pPr>
            <w:r>
              <w:rPr>
                <w:rFonts w:hint="eastAsia" w:ascii="黑体" w:hAnsi="黑体" w:eastAsia="黑体" w:cs="黑体"/>
                <w:i w:val="0"/>
                <w:iCs w:val="0"/>
                <w:caps w:val="0"/>
                <w:color w:val="000000"/>
                <w:spacing w:val="0"/>
                <w:sz w:val="21"/>
                <w:szCs w:val="21"/>
              </w:rPr>
              <w:t>路网系统：宝相寺路、光荣路、胜利路、北延至北二环路。康复医院南门规划东西方向道路延至泉河路。</w:t>
            </w:r>
          </w:p>
        </w:tc>
        <w:tc>
          <w:tcPr>
            <w:tcW w:w="2963" w:type="dxa"/>
            <w:vAlign w:val="center"/>
          </w:tcPr>
          <w:p>
            <w:pPr>
              <w:widowControl/>
              <w:rPr>
                <w:rFonts w:hint="eastAsia" w:ascii="黑体" w:hAnsi="黑体" w:eastAsia="黑体" w:cs="黑体"/>
                <w:color w:val="222222"/>
                <w:kern w:val="0"/>
                <w:sz w:val="24"/>
                <w:lang w:val="en-US" w:eastAsia="zh-CN" w:bidi="ar"/>
              </w:rPr>
            </w:pPr>
            <w:r>
              <w:rPr>
                <w:rFonts w:hint="eastAsia" w:ascii="黑体" w:hAnsi="黑体" w:eastAsia="黑体" w:cs="黑体"/>
                <w:color w:val="222222"/>
                <w:kern w:val="0"/>
                <w:sz w:val="22"/>
                <w:szCs w:val="22"/>
                <w:lang w:bidi="ar"/>
              </w:rPr>
              <w:t>未采纳，</w:t>
            </w:r>
            <w:r>
              <w:rPr>
                <w:rFonts w:hint="eastAsia" w:ascii="黑体" w:hAnsi="黑体" w:eastAsia="黑体" w:cs="黑体"/>
                <w:color w:val="222222"/>
                <w:kern w:val="0"/>
                <w:sz w:val="22"/>
                <w:szCs w:val="22"/>
                <w:lang w:val="en-US" w:eastAsia="zh-CN" w:bidi="ar"/>
              </w:rPr>
              <w:t>宝相寺路、光荣路、胜利路北延至北二环路、康复医院南门规划东西方向道路延至泉河路涉及片区以北的农业区域，需要占用部分耕地及永久基本农田空间，，上述道路近期北延至北二环路难以实现。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649" w:type="dxa"/>
            <w:vAlign w:val="center"/>
          </w:tcPr>
          <w:p>
            <w:pPr>
              <w:widowControl/>
              <w:jc w:val="center"/>
              <w:rPr>
                <w:rFonts w:hint="eastAsia" w:ascii="仿宋_GB2312" w:hAnsi="仿宋_GB2312" w:eastAsia="仿宋_GB2312" w:cs="仿宋_GB2312"/>
                <w:color w:val="222222"/>
                <w:kern w:val="0"/>
                <w:sz w:val="24"/>
                <w:lang w:val="en-US" w:eastAsia="zh-CN" w:bidi="ar"/>
              </w:rPr>
            </w:pPr>
            <w:r>
              <w:rPr>
                <w:rFonts w:hint="eastAsia" w:ascii="仿宋_GB2312" w:hAnsi="仿宋_GB2312" w:eastAsia="仿宋_GB2312" w:cs="仿宋_GB2312"/>
                <w:color w:val="222222"/>
                <w:kern w:val="0"/>
                <w:sz w:val="24"/>
                <w:lang w:val="en-US" w:eastAsia="zh-CN" w:bidi="ar"/>
              </w:rPr>
              <w:t>2</w:t>
            </w:r>
          </w:p>
        </w:tc>
        <w:tc>
          <w:tcPr>
            <w:tcW w:w="2001" w:type="dxa"/>
            <w:vAlign w:val="center"/>
          </w:tcPr>
          <w:p>
            <w:pPr>
              <w:widowControl/>
              <w:jc w:val="center"/>
              <w:rPr>
                <w:rFonts w:hint="eastAsia"/>
              </w:rPr>
            </w:pPr>
            <w:r>
              <w:rPr>
                <w:rFonts w:hint="eastAsia"/>
              </w:rPr>
              <w:t>463400989@qq.com</w:t>
            </w:r>
          </w:p>
        </w:tc>
        <w:tc>
          <w:tcPr>
            <w:tcW w:w="2909" w:type="dxa"/>
            <w:vAlign w:val="center"/>
          </w:tcPr>
          <w:p>
            <w:pPr>
              <w:widowControl/>
              <w:rPr>
                <w:rFonts w:hint="eastAsia" w:ascii="黑体" w:hAnsi="黑体" w:eastAsia="黑体" w:cs="黑体"/>
                <w:i w:val="0"/>
                <w:iCs w:val="0"/>
                <w:caps w:val="0"/>
                <w:color w:val="000000"/>
                <w:spacing w:val="0"/>
                <w:sz w:val="21"/>
                <w:szCs w:val="21"/>
              </w:rPr>
            </w:pPr>
            <w:r>
              <w:rPr>
                <w:rFonts w:hint="eastAsia" w:ascii="黑体" w:hAnsi="黑体" w:eastAsia="黑体" w:cs="黑体"/>
                <w:i w:val="0"/>
                <w:iCs w:val="0"/>
                <w:caps w:val="0"/>
                <w:color w:val="000000"/>
                <w:spacing w:val="0"/>
                <w:sz w:val="21"/>
                <w:szCs w:val="21"/>
              </w:rPr>
              <w:t>体育配套：规划综合文化活动中心用地，设置图书馆、体育馆、酒店 打造汶上地标建筑，利用太子灵踪塔IP引流带动经济发展</w:t>
            </w:r>
          </w:p>
        </w:tc>
        <w:tc>
          <w:tcPr>
            <w:tcW w:w="2963" w:type="dxa"/>
            <w:vAlign w:val="center"/>
          </w:tcPr>
          <w:p>
            <w:pPr>
              <w:widowControl/>
              <w:rPr>
                <w:rFonts w:hint="eastAsia" w:ascii="黑体" w:hAnsi="黑体" w:eastAsia="黑体" w:cs="黑体"/>
                <w:color w:val="222222"/>
                <w:kern w:val="0"/>
                <w:sz w:val="22"/>
                <w:szCs w:val="22"/>
                <w:lang w:bidi="ar"/>
              </w:rPr>
            </w:pPr>
            <w:r>
              <w:rPr>
                <w:rFonts w:hint="eastAsia" w:ascii="黑体" w:hAnsi="黑体" w:eastAsia="黑体" w:cs="黑体"/>
                <w:color w:val="222222"/>
                <w:kern w:val="0"/>
                <w:sz w:val="22"/>
                <w:szCs w:val="22"/>
                <w:lang w:val="en-US" w:eastAsia="zh-CN" w:bidi="ar"/>
              </w:rPr>
              <w:t>部分采纳。</w:t>
            </w:r>
            <w:r>
              <w:rPr>
                <w:rFonts w:hint="eastAsia" w:ascii="黑体" w:hAnsi="黑体" w:eastAsia="黑体" w:cs="黑体"/>
                <w:color w:val="222222"/>
                <w:kern w:val="0"/>
                <w:sz w:val="22"/>
                <w:szCs w:val="22"/>
                <w:lang w:bidi="ar"/>
              </w:rPr>
              <w:t>莲花片区目前以城郊结合村居形式为主，</w:t>
            </w:r>
            <w:r>
              <w:rPr>
                <w:rFonts w:hint="eastAsia" w:ascii="黑体" w:hAnsi="黑体" w:eastAsia="黑体" w:cs="黑体"/>
                <w:color w:val="222222"/>
                <w:kern w:val="0"/>
                <w:sz w:val="22"/>
                <w:szCs w:val="22"/>
                <w:lang w:val="en-US" w:eastAsia="zh-CN" w:bidi="ar"/>
              </w:rPr>
              <w:t>规划</w:t>
            </w:r>
            <w:r>
              <w:rPr>
                <w:rFonts w:hint="eastAsia" w:ascii="黑体" w:hAnsi="黑体" w:eastAsia="黑体" w:cs="黑体"/>
                <w:color w:val="222222"/>
                <w:kern w:val="0"/>
                <w:sz w:val="22"/>
                <w:szCs w:val="22"/>
                <w:lang w:bidi="ar"/>
              </w:rPr>
              <w:t>结合微更新、微改造形式</w:t>
            </w:r>
            <w:r>
              <w:rPr>
                <w:rFonts w:hint="eastAsia" w:ascii="黑体" w:hAnsi="黑体" w:eastAsia="黑体" w:cs="黑体"/>
                <w:color w:val="222222"/>
                <w:kern w:val="0"/>
                <w:sz w:val="22"/>
                <w:szCs w:val="22"/>
                <w:lang w:val="en-US" w:eastAsia="zh-CN" w:bidi="ar"/>
              </w:rPr>
              <w:t>完善</w:t>
            </w:r>
            <w:r>
              <w:rPr>
                <w:rFonts w:hint="eastAsia" w:ascii="黑体" w:hAnsi="黑体" w:eastAsia="黑体" w:cs="黑体"/>
                <w:color w:val="222222"/>
                <w:kern w:val="0"/>
                <w:sz w:val="22"/>
                <w:szCs w:val="22"/>
                <w:lang w:bidi="ar"/>
              </w:rPr>
              <w:t>体育、文化等设施，下一步可结合城市更新需求编制街区规划，进一步补齐公共基础设施。宝相寺及太子灵踪塔作为我县核心文旅资源，片区规划已明确“打造功能完善、设施齐全的中心城区北部农旅休闲片区”的规划目标，并规划商业服务业用地34.08公顷，为文旅融合发展预留了空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649" w:type="dxa"/>
            <w:vAlign w:val="center"/>
          </w:tcPr>
          <w:p>
            <w:pPr>
              <w:widowControl/>
              <w:jc w:val="center"/>
              <w:rPr>
                <w:rFonts w:hint="eastAsia" w:ascii="仿宋_GB2312" w:hAnsi="仿宋_GB2312" w:eastAsia="仿宋_GB2312" w:cs="仿宋_GB2312"/>
                <w:color w:val="222222"/>
                <w:kern w:val="0"/>
                <w:sz w:val="24"/>
                <w:lang w:val="en-US" w:eastAsia="zh-CN" w:bidi="ar"/>
              </w:rPr>
            </w:pPr>
            <w:r>
              <w:rPr>
                <w:rFonts w:hint="eastAsia" w:ascii="仿宋_GB2312" w:hAnsi="仿宋_GB2312" w:eastAsia="仿宋_GB2312" w:cs="仿宋_GB2312"/>
                <w:color w:val="222222"/>
                <w:kern w:val="0"/>
                <w:sz w:val="24"/>
                <w:lang w:val="en-US" w:eastAsia="zh-CN" w:bidi="ar"/>
              </w:rPr>
              <w:t>3</w:t>
            </w:r>
          </w:p>
        </w:tc>
        <w:tc>
          <w:tcPr>
            <w:tcW w:w="2001" w:type="dxa"/>
            <w:vAlign w:val="center"/>
          </w:tcPr>
          <w:p>
            <w:pPr>
              <w:widowControl/>
              <w:jc w:val="center"/>
              <w:rPr>
                <w:rFonts w:hint="eastAsia"/>
              </w:rPr>
            </w:pPr>
            <w:r>
              <w:rPr>
                <w:rFonts w:hint="eastAsia"/>
              </w:rPr>
              <w:t>463400989@qq.com</w:t>
            </w:r>
          </w:p>
        </w:tc>
        <w:tc>
          <w:tcPr>
            <w:tcW w:w="2909" w:type="dxa"/>
            <w:vAlign w:val="center"/>
          </w:tcPr>
          <w:p>
            <w:pPr>
              <w:widowControl/>
              <w:rPr>
                <w:rFonts w:hint="eastAsia" w:ascii="黑体" w:hAnsi="黑体" w:eastAsia="黑体" w:cs="黑体"/>
                <w:i w:val="0"/>
                <w:iCs w:val="0"/>
                <w:caps w:val="0"/>
                <w:color w:val="000000"/>
                <w:spacing w:val="0"/>
                <w:sz w:val="21"/>
                <w:szCs w:val="21"/>
              </w:rPr>
            </w:pPr>
            <w:r>
              <w:rPr>
                <w:rFonts w:hint="eastAsia" w:ascii="黑体" w:hAnsi="黑体" w:eastAsia="黑体" w:cs="黑体"/>
                <w:i w:val="0"/>
                <w:iCs w:val="0"/>
                <w:caps w:val="0"/>
                <w:color w:val="000000"/>
                <w:spacing w:val="0"/>
                <w:sz w:val="21"/>
                <w:szCs w:val="21"/>
              </w:rPr>
              <w:t>教育系统：片区无教育用地，统筹布局义务教育规划九年一贯制用地、高级中学用地，方便汶上北部（郭仓、杨店、郭楼、军屯、苑庄）上学需求。</w:t>
            </w:r>
          </w:p>
        </w:tc>
        <w:tc>
          <w:tcPr>
            <w:tcW w:w="2963" w:type="dxa"/>
            <w:vAlign w:val="center"/>
          </w:tcPr>
          <w:p>
            <w:pPr>
              <w:widowControl/>
              <w:rPr>
                <w:rFonts w:hint="eastAsia" w:ascii="黑体" w:hAnsi="黑体" w:eastAsia="黑体" w:cs="黑体"/>
                <w:color w:val="222222"/>
                <w:kern w:val="0"/>
                <w:sz w:val="22"/>
                <w:szCs w:val="22"/>
                <w:lang w:bidi="ar"/>
              </w:rPr>
            </w:pPr>
            <w:r>
              <w:rPr>
                <w:rFonts w:hint="eastAsia" w:ascii="黑体" w:hAnsi="黑体" w:eastAsia="黑体" w:cs="黑体"/>
                <w:color w:val="222222"/>
                <w:kern w:val="0"/>
                <w:sz w:val="22"/>
                <w:szCs w:val="22"/>
                <w:lang w:val="en-US" w:eastAsia="zh-CN" w:bidi="ar"/>
              </w:rPr>
              <w:t>未采纳。</w:t>
            </w:r>
            <w:r>
              <w:rPr>
                <w:rFonts w:hint="eastAsia" w:ascii="黑体" w:hAnsi="黑体" w:eastAsia="黑体" w:cs="黑体"/>
                <w:color w:val="222222"/>
                <w:kern w:val="0"/>
                <w:sz w:val="22"/>
                <w:szCs w:val="22"/>
                <w:lang w:bidi="ar"/>
              </w:rPr>
              <w:t>受城镇开发边界的刚性约束，</w:t>
            </w:r>
            <w:r>
              <w:rPr>
                <w:rFonts w:hint="eastAsia" w:ascii="黑体" w:hAnsi="黑体" w:eastAsia="黑体" w:cs="黑体"/>
                <w:color w:val="222222"/>
                <w:kern w:val="0"/>
                <w:sz w:val="22"/>
                <w:szCs w:val="22"/>
                <w:lang w:val="en-US" w:eastAsia="zh-CN" w:bidi="ar"/>
              </w:rPr>
              <w:t>教育</w:t>
            </w:r>
            <w:r>
              <w:rPr>
                <w:rFonts w:hint="eastAsia" w:ascii="黑体" w:hAnsi="黑体" w:eastAsia="黑体" w:cs="黑体"/>
                <w:color w:val="222222"/>
                <w:kern w:val="0"/>
                <w:sz w:val="22"/>
                <w:szCs w:val="22"/>
                <w:lang w:bidi="ar"/>
              </w:rPr>
              <w:t>用地在近期内难以实现规划建设。后续将结合片区开发进度和生源需求，在符合城镇开发边界管控政策的前提下，统筹研究教育用地的布局优化问题。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649" w:type="dxa"/>
            <w:vAlign w:val="center"/>
          </w:tcPr>
          <w:p>
            <w:pPr>
              <w:widowControl/>
              <w:jc w:val="center"/>
              <w:rPr>
                <w:rFonts w:hint="eastAsia" w:ascii="仿宋_GB2312" w:hAnsi="仿宋_GB2312" w:eastAsia="仿宋_GB2312" w:cs="仿宋_GB2312"/>
                <w:color w:val="222222"/>
                <w:kern w:val="0"/>
                <w:sz w:val="24"/>
                <w:lang w:val="en-US" w:eastAsia="zh-CN" w:bidi="ar"/>
              </w:rPr>
            </w:pPr>
            <w:r>
              <w:rPr>
                <w:rFonts w:hint="eastAsia" w:ascii="仿宋_GB2312" w:hAnsi="仿宋_GB2312" w:eastAsia="仿宋_GB2312" w:cs="仿宋_GB2312"/>
                <w:color w:val="222222"/>
                <w:kern w:val="0"/>
                <w:sz w:val="24"/>
                <w:lang w:val="en-US" w:eastAsia="zh-CN" w:bidi="ar"/>
              </w:rPr>
              <w:t>4</w:t>
            </w:r>
          </w:p>
        </w:tc>
        <w:tc>
          <w:tcPr>
            <w:tcW w:w="2001" w:type="dxa"/>
            <w:vAlign w:val="center"/>
          </w:tcPr>
          <w:p>
            <w:pPr>
              <w:widowControl/>
              <w:jc w:val="center"/>
              <w:rPr>
                <w:rFonts w:hint="eastAsia"/>
              </w:rPr>
            </w:pPr>
            <w:r>
              <w:rPr>
                <w:rFonts w:hint="eastAsia"/>
              </w:rPr>
              <w:t>463400989@qq.com</w:t>
            </w:r>
          </w:p>
        </w:tc>
        <w:tc>
          <w:tcPr>
            <w:tcW w:w="2909" w:type="dxa"/>
            <w:vAlign w:val="center"/>
          </w:tcPr>
          <w:p>
            <w:pPr>
              <w:widowControl/>
              <w:rPr>
                <w:rFonts w:hint="eastAsia" w:ascii="黑体" w:hAnsi="黑体" w:eastAsia="黑体" w:cs="黑体"/>
                <w:i w:val="0"/>
                <w:iCs w:val="0"/>
                <w:caps w:val="0"/>
                <w:color w:val="000000"/>
                <w:spacing w:val="0"/>
                <w:sz w:val="21"/>
                <w:szCs w:val="21"/>
              </w:rPr>
            </w:pPr>
            <w:r>
              <w:rPr>
                <w:rFonts w:hint="eastAsia" w:ascii="黑体" w:hAnsi="黑体" w:eastAsia="黑体" w:cs="黑体"/>
                <w:i w:val="0"/>
                <w:iCs w:val="0"/>
                <w:caps w:val="0"/>
                <w:color w:val="000000"/>
                <w:spacing w:val="0"/>
                <w:sz w:val="21"/>
                <w:szCs w:val="21"/>
              </w:rPr>
              <w:t>景观：利用滨水地块布局宜居口袋公园。</w:t>
            </w:r>
          </w:p>
        </w:tc>
        <w:tc>
          <w:tcPr>
            <w:tcW w:w="2963" w:type="dxa"/>
            <w:vAlign w:val="center"/>
          </w:tcPr>
          <w:p>
            <w:pPr>
              <w:widowControl/>
              <w:rPr>
                <w:rFonts w:hint="eastAsia" w:ascii="黑体" w:hAnsi="黑体" w:eastAsia="黑体" w:cs="黑体"/>
                <w:color w:val="222222"/>
                <w:kern w:val="0"/>
                <w:sz w:val="22"/>
                <w:szCs w:val="22"/>
                <w:lang w:bidi="ar"/>
              </w:rPr>
            </w:pPr>
            <w:r>
              <w:rPr>
                <w:rFonts w:hint="eastAsia" w:ascii="黑体" w:hAnsi="黑体" w:eastAsia="黑体" w:cs="黑体"/>
                <w:color w:val="222222"/>
                <w:kern w:val="0"/>
                <w:sz w:val="22"/>
                <w:szCs w:val="22"/>
                <w:lang w:val="en-US" w:eastAsia="zh-CN" w:bidi="ar"/>
              </w:rPr>
              <w:t>已采纳。</w:t>
            </w:r>
            <w:r>
              <w:rPr>
                <w:rFonts w:hint="eastAsia" w:ascii="黑体" w:hAnsi="黑体" w:eastAsia="黑体" w:cs="黑体"/>
                <w:color w:val="222222"/>
                <w:kern w:val="0"/>
                <w:sz w:val="22"/>
                <w:szCs w:val="22"/>
                <w:lang w:bidi="ar"/>
              </w:rPr>
              <w:t>莲花片区控规草案明确“构建以外围农林、滨水等生态空间为基底，以社区公园、道路绿带为补充的片区绿地系统”，规划绿地与开敞空间用地面积16.14公顷，并规划“泉河生态休闲带”。近年来我县已建成多处口袋公园，下一步将在莲花片区建设中继续落实“300米见绿、500米见园”的目标，依托滨水资源打造高品质宜居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649" w:type="dxa"/>
            <w:vAlign w:val="center"/>
          </w:tcPr>
          <w:p>
            <w:pPr>
              <w:widowControl/>
              <w:jc w:val="center"/>
              <w:rPr>
                <w:rFonts w:hint="eastAsia" w:ascii="仿宋_GB2312" w:hAnsi="仿宋_GB2312" w:eastAsia="仿宋_GB2312" w:cs="仿宋_GB2312"/>
                <w:color w:val="222222"/>
                <w:kern w:val="0"/>
                <w:sz w:val="24"/>
                <w:lang w:val="en-US" w:eastAsia="zh-CN" w:bidi="ar"/>
              </w:rPr>
            </w:pPr>
            <w:r>
              <w:rPr>
                <w:rFonts w:hint="eastAsia" w:ascii="仿宋_GB2312" w:hAnsi="仿宋_GB2312" w:eastAsia="仿宋_GB2312" w:cs="仿宋_GB2312"/>
                <w:color w:val="222222"/>
                <w:kern w:val="0"/>
                <w:sz w:val="24"/>
                <w:lang w:val="en-US" w:eastAsia="zh-CN" w:bidi="ar"/>
              </w:rPr>
              <w:t>5</w:t>
            </w:r>
          </w:p>
        </w:tc>
        <w:tc>
          <w:tcPr>
            <w:tcW w:w="2001" w:type="dxa"/>
            <w:vAlign w:val="center"/>
          </w:tcPr>
          <w:p>
            <w:pPr>
              <w:widowControl/>
              <w:jc w:val="center"/>
              <w:rPr>
                <w:rFonts w:hint="eastAsia"/>
              </w:rPr>
            </w:pPr>
            <w:r>
              <w:rPr>
                <w:rFonts w:hint="eastAsia"/>
              </w:rPr>
              <w:t>463400989@qq.com</w:t>
            </w:r>
          </w:p>
        </w:tc>
        <w:tc>
          <w:tcPr>
            <w:tcW w:w="2909" w:type="dxa"/>
            <w:vAlign w:val="center"/>
          </w:tcPr>
          <w:p>
            <w:pPr>
              <w:pStyle w:val="3"/>
              <w:keepNext w:val="0"/>
              <w:keepLines w:val="0"/>
              <w:widowControl/>
              <w:suppressLineNumbers w:val="0"/>
              <w:bidi w:val="0"/>
              <w:spacing w:after="0" w:afterAutospacing="0" w:line="21" w:lineRule="atLeast"/>
              <w:jc w:val="both"/>
              <w:rPr>
                <w:rFonts w:hint="default" w:ascii="system-ui" w:hAnsi="system-ui" w:eastAsia="system-ui" w:cs="system-ui"/>
                <w:color w:val="000000"/>
                <w:sz w:val="21"/>
                <w:szCs w:val="21"/>
              </w:rPr>
            </w:pPr>
            <w:r>
              <w:rPr>
                <w:rFonts w:hint="eastAsia" w:ascii="黑体" w:hAnsi="黑体" w:eastAsia="黑体" w:cs="黑体"/>
                <w:i w:val="0"/>
                <w:iCs w:val="0"/>
                <w:caps w:val="0"/>
                <w:color w:val="000000"/>
                <w:spacing w:val="0"/>
                <w:kern w:val="2"/>
                <w:sz w:val="21"/>
                <w:szCs w:val="21"/>
                <w:lang w:val="en-US" w:eastAsia="zh-CN" w:bidi="ar-SA"/>
              </w:rPr>
              <w:t>物流商贸区：引入本土企业总部、县域产业企业办事处、电商供应链办公；适配片区物流产业，布局物流总部、供应链商务平台</w:t>
            </w:r>
          </w:p>
          <w:p>
            <w:pPr>
              <w:widowControl/>
              <w:rPr>
                <w:rFonts w:hint="eastAsia" w:ascii="黑体" w:hAnsi="黑体" w:eastAsia="黑体" w:cs="黑体"/>
                <w:i w:val="0"/>
                <w:iCs w:val="0"/>
                <w:caps w:val="0"/>
                <w:color w:val="000000"/>
                <w:spacing w:val="0"/>
                <w:sz w:val="21"/>
                <w:szCs w:val="21"/>
              </w:rPr>
            </w:pPr>
          </w:p>
        </w:tc>
        <w:tc>
          <w:tcPr>
            <w:tcW w:w="2963" w:type="dxa"/>
            <w:vAlign w:val="center"/>
          </w:tcPr>
          <w:p>
            <w:pPr>
              <w:widowControl/>
              <w:rPr>
                <w:rFonts w:hint="eastAsia" w:ascii="黑体" w:hAnsi="黑体" w:eastAsia="黑体" w:cs="黑体"/>
                <w:color w:val="222222"/>
                <w:kern w:val="0"/>
                <w:sz w:val="22"/>
                <w:szCs w:val="22"/>
                <w:lang w:eastAsia="zh-CN" w:bidi="ar"/>
              </w:rPr>
            </w:pPr>
            <w:r>
              <w:rPr>
                <w:rFonts w:hint="eastAsia" w:ascii="黑体" w:hAnsi="黑体" w:eastAsia="黑体" w:cs="黑体"/>
                <w:color w:val="222222"/>
                <w:kern w:val="0"/>
                <w:sz w:val="22"/>
                <w:szCs w:val="22"/>
                <w:lang w:val="en-US" w:eastAsia="zh-CN" w:bidi="ar"/>
              </w:rPr>
              <w:t>已采纳，</w:t>
            </w:r>
            <w:r>
              <w:rPr>
                <w:rFonts w:hint="eastAsia" w:ascii="黑体" w:hAnsi="黑体" w:eastAsia="黑体" w:cs="黑体"/>
                <w:color w:val="222222"/>
                <w:kern w:val="0"/>
                <w:sz w:val="22"/>
                <w:szCs w:val="22"/>
                <w:lang w:bidi="ar"/>
              </w:rPr>
              <w:t>莲花片区控规草案明确片区功能定位为“以商业、物流、居住为主导功能的综合片区”，规划形成“两轴、一带、四区”的空间结构，其中物流商贸区是四大功能分区之一</w:t>
            </w:r>
            <w:r>
              <w:rPr>
                <w:rFonts w:hint="eastAsia" w:ascii="黑体" w:hAnsi="黑体" w:eastAsia="黑体" w:cs="黑体"/>
                <w:color w:val="222222"/>
                <w:kern w:val="0"/>
                <w:sz w:val="22"/>
                <w:szCs w:val="22"/>
                <w:lang w:eastAsia="zh-CN" w:bidi="ar"/>
              </w:rPr>
              <w:t>。莲花片区的物流商贸板块将与现有商贸物流区形成功能互补、联动发展的格局。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4" w:hRule="atLeast"/>
        </w:trPr>
        <w:tc>
          <w:tcPr>
            <w:tcW w:w="649" w:type="dxa"/>
            <w:vAlign w:val="center"/>
          </w:tcPr>
          <w:p>
            <w:pPr>
              <w:widowControl/>
              <w:jc w:val="center"/>
              <w:rPr>
                <w:rFonts w:hint="eastAsia" w:ascii="仿宋_GB2312" w:hAnsi="仿宋_GB2312" w:eastAsia="仿宋_GB2312" w:cs="仿宋_GB2312"/>
                <w:color w:val="222222"/>
                <w:kern w:val="0"/>
                <w:sz w:val="24"/>
                <w:lang w:val="en-US" w:eastAsia="zh-CN" w:bidi="ar"/>
              </w:rPr>
            </w:pPr>
            <w:r>
              <w:rPr>
                <w:rFonts w:hint="eastAsia" w:ascii="仿宋_GB2312" w:hAnsi="仿宋_GB2312" w:eastAsia="仿宋_GB2312" w:cs="仿宋_GB2312"/>
                <w:color w:val="222222"/>
                <w:kern w:val="0"/>
                <w:sz w:val="24"/>
                <w:lang w:val="en-US" w:eastAsia="zh-CN" w:bidi="ar"/>
              </w:rPr>
              <w:t>6</w:t>
            </w:r>
          </w:p>
        </w:tc>
        <w:tc>
          <w:tcPr>
            <w:tcW w:w="2001" w:type="dxa"/>
            <w:vAlign w:val="center"/>
          </w:tcPr>
          <w:p>
            <w:pPr>
              <w:widowControl/>
              <w:jc w:val="center"/>
              <w:rPr>
                <w:rFonts w:hint="eastAsia"/>
              </w:rPr>
            </w:pPr>
            <w:r>
              <w:rPr>
                <w:rFonts w:hint="eastAsia"/>
              </w:rPr>
              <w:t>463400989@qq.com</w:t>
            </w:r>
          </w:p>
        </w:tc>
        <w:tc>
          <w:tcPr>
            <w:tcW w:w="2909" w:type="dxa"/>
            <w:vAlign w:val="center"/>
          </w:tcPr>
          <w:p>
            <w:pPr>
              <w:widowControl/>
              <w:rPr>
                <w:rFonts w:hint="eastAsia" w:ascii="黑体" w:hAnsi="黑体" w:eastAsia="黑体" w:cs="黑体"/>
                <w:i w:val="0"/>
                <w:iCs w:val="0"/>
                <w:caps w:val="0"/>
                <w:color w:val="000000"/>
                <w:spacing w:val="0"/>
                <w:sz w:val="21"/>
                <w:szCs w:val="21"/>
              </w:rPr>
            </w:pPr>
            <w:r>
              <w:rPr>
                <w:rFonts w:hint="eastAsia" w:ascii="黑体" w:hAnsi="黑体" w:eastAsia="黑体" w:cs="黑体"/>
                <w:i w:val="0"/>
                <w:iCs w:val="0"/>
                <w:caps w:val="0"/>
                <w:color w:val="000000"/>
                <w:spacing w:val="0"/>
                <w:sz w:val="21"/>
                <w:szCs w:val="21"/>
              </w:rPr>
              <w:t>公共设施：规划新能源充电设施</w:t>
            </w:r>
          </w:p>
        </w:tc>
        <w:tc>
          <w:tcPr>
            <w:tcW w:w="2963" w:type="dxa"/>
            <w:vAlign w:val="center"/>
          </w:tcPr>
          <w:p>
            <w:pPr>
              <w:widowControl/>
              <w:rPr>
                <w:rFonts w:hint="eastAsia" w:ascii="黑体" w:hAnsi="黑体" w:eastAsia="黑体" w:cs="黑体"/>
                <w:color w:val="222222"/>
                <w:kern w:val="0"/>
                <w:sz w:val="22"/>
                <w:szCs w:val="22"/>
                <w:lang w:bidi="ar"/>
              </w:rPr>
            </w:pPr>
            <w:r>
              <w:rPr>
                <w:rFonts w:hint="eastAsia" w:ascii="黑体" w:hAnsi="黑体" w:eastAsia="黑体" w:cs="黑体"/>
                <w:color w:val="222222"/>
                <w:kern w:val="0"/>
                <w:sz w:val="22"/>
                <w:szCs w:val="22"/>
                <w:lang w:val="en-US" w:eastAsia="zh-CN" w:bidi="ar"/>
              </w:rPr>
              <w:t>已采纳。</w:t>
            </w:r>
            <w:r>
              <w:rPr>
                <w:rFonts w:hint="eastAsia" w:ascii="黑体" w:hAnsi="黑体" w:eastAsia="黑体" w:cs="黑体"/>
                <w:color w:val="222222"/>
                <w:kern w:val="0"/>
                <w:sz w:val="22"/>
                <w:szCs w:val="22"/>
                <w:lang w:bidi="ar"/>
              </w:rPr>
              <w:t>我县目前正系统推进充电基础设施建设，成功入选国家级县域充换电设施补短板试点县，未来三年计划新建功率120kW及以上直流快充桩910台。莲花片区在开发建设中，将严格落实充电设施配建要求，同步规划建设新能源充电设施。</w:t>
            </w:r>
            <w:bookmarkStart w:id="0" w:name="_GoBack"/>
            <w:bookmarkEnd w:id="0"/>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system-ui">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5Y2NmMDJiNjE5MjM5M2JkMDU1MjgwNTc4Y2MxNTgifQ=="/>
  </w:docVars>
  <w:rsids>
    <w:rsidRoot w:val="00E42E52"/>
    <w:rsid w:val="00165D00"/>
    <w:rsid w:val="001C3E84"/>
    <w:rsid w:val="002B40DD"/>
    <w:rsid w:val="003315C7"/>
    <w:rsid w:val="003373B3"/>
    <w:rsid w:val="003B7607"/>
    <w:rsid w:val="004556B2"/>
    <w:rsid w:val="005F4AFC"/>
    <w:rsid w:val="009F4365"/>
    <w:rsid w:val="00CB0069"/>
    <w:rsid w:val="00D57589"/>
    <w:rsid w:val="00D72EF8"/>
    <w:rsid w:val="00E30E3C"/>
    <w:rsid w:val="00E42E52"/>
    <w:rsid w:val="00EC5BD9"/>
    <w:rsid w:val="058D3EEB"/>
    <w:rsid w:val="12BB20D1"/>
    <w:rsid w:val="19337933"/>
    <w:rsid w:val="26BD2F06"/>
    <w:rsid w:val="27522723"/>
    <w:rsid w:val="298270D1"/>
    <w:rsid w:val="4D7439C5"/>
    <w:rsid w:val="646A01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b/>
      <w:bCs/>
      <w:kern w:val="0"/>
      <w:sz w:val="36"/>
      <w:szCs w:val="36"/>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153</Words>
  <Characters>168</Characters>
  <Lines>5</Lines>
  <Paragraphs>1</Paragraphs>
  <TotalTime>24</TotalTime>
  <ScaleCrop>false</ScaleCrop>
  <LinksUpToDate>false</LinksUpToDate>
  <CharactersWithSpaces>168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2025-07-23T09:07:00Z</dcterms:created>
  <dc:creator>HP</dc:creator>
  <cp:lastModifiedBy>路敦鹏</cp:lastModifiedBy>
  <dcterms:modified xsi:type="dcterms:W3CDTF">2026-09-01T03:15:29Z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290BDDF94B2449FCA997E14CD06D5258_13</vt:lpwstr>
  </property>
  <property fmtid="{D5CDD505-2E9C-101B-9397-08002B2CF9AE}" pid="4" name="KSOTemplateDocerSaveRecord">
    <vt:lpwstr>eyJoZGlkIjoiODczMzk4YTk1MzZlMWZlYTZmODZiOTc4ZjBmNzI0MzQiLCJ1c2VySWQiOiIyNDUxNTUwMTUifQ==</vt:lpwstr>
  </property>
</Properties>
</file>