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472471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（六）公共法律服务领域基层政务公开标准目录</w:t>
      </w:r>
      <w:bookmarkEnd w:id="0"/>
    </w:p>
    <w:bookmarkEnd w:id="1"/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440"/>
        <w:gridCol w:w="1620"/>
        <w:gridCol w:w="1980"/>
        <w:gridCol w:w="1800"/>
        <w:gridCol w:w="900"/>
        <w:gridCol w:w="2340"/>
        <w:gridCol w:w="540"/>
        <w:gridCol w:w="900"/>
        <w:gridCol w:w="540"/>
        <w:gridCol w:w="720"/>
        <w:gridCol w:w="54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法治宣传教育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法律知识普及服务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法律法规资讯；普法动态资讯；普法讲师团信息等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《中共中央、国务院转发&lt;中央宣传部、司法部关于在公民中开展法治宣传教育的第七个五年规划（2016－2020年）&gt;》、各省“七五”普法规划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司法所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■入户/现场     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■其他法律服务网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注：有关公开信息可推送或归集至本省级法律服务网。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推广法治文化服务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辖区内法治文化阵地信息；法治文化作品、产品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司法所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>
      <w:pPr>
        <w:jc w:val="center"/>
        <w:rPr>
          <w:rFonts w:ascii="Times New Roman" w:hAnsi="Times New Roman" w:eastAsia="方正小标宋_GBK"/>
          <w:color w:val="FF0000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269B8"/>
    <w:rsid w:val="6C797C1A"/>
    <w:rsid w:val="7852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362</Characters>
  <Lines>0</Lines>
  <Paragraphs>0</Paragraphs>
  <TotalTime>0</TotalTime>
  <ScaleCrop>false</ScaleCrop>
  <LinksUpToDate>false</LinksUpToDate>
  <CharactersWithSpaces>368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2020-12-03T03:40:00Z</dcterms:created>
  <dc:creator>糖炒栗子 ້໌ᮨ</dc:creator>
  <cp:lastModifiedBy>yxl</cp:lastModifiedBy>
  <dcterms:modified xsi:type="dcterms:W3CDTF">2022-12-01T07:27:36Z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1148670403_cloud</vt:lpwstr>
  </property>
  <property fmtid="{D5CDD505-2E9C-101B-9397-08002B2CF9AE}" pid="4" name="ICV">
    <vt:lpwstr>7C6637CE660B47D5BA587F1C129E25B7</vt:lpwstr>
  </property>
</Properties>
</file>