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9192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000000"/>
          <w:kern w:val="0"/>
          <w:sz w:val="44"/>
          <w:szCs w:val="44"/>
        </w:rPr>
      </w:pPr>
    </w:p>
    <w:p w14:paraId="10F9B4BF">
      <w:pPr>
        <w:pStyle w:val="2"/>
        <w:rPr>
          <w:rFonts w:hint="eastAsia"/>
        </w:rPr>
      </w:pPr>
    </w:p>
    <w:p w14:paraId="3B406C6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关于印发《</w:t>
      </w:r>
      <w:r>
        <w:rPr>
          <w:rFonts w:hint="eastAsia" w:ascii="方正小标宋简体" w:hAnsi="方正小标宋简体" w:eastAsia="方正小标宋简体" w:cs="方正小标宋简体"/>
          <w:color w:val="000000"/>
          <w:kern w:val="0"/>
          <w:sz w:val="44"/>
          <w:szCs w:val="44"/>
          <w:lang w:eastAsia="zh-CN"/>
        </w:rPr>
        <w:t>济宁</w:t>
      </w:r>
      <w:r>
        <w:rPr>
          <w:rFonts w:hint="eastAsia" w:ascii="方正小标宋简体" w:hAnsi="方正小标宋简体" w:eastAsia="方正小标宋简体" w:cs="方正小标宋简体"/>
          <w:color w:val="000000"/>
          <w:kern w:val="0"/>
          <w:sz w:val="44"/>
          <w:szCs w:val="44"/>
        </w:rPr>
        <w:t>市基本医疗保险定点医药</w:t>
      </w:r>
    </w:p>
    <w:p w14:paraId="45B26BD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机构协议管理经办规程》的通知</w:t>
      </w:r>
    </w:p>
    <w:p w14:paraId="57E2A7A6">
      <w:pPr>
        <w:pStyle w:val="8"/>
        <w:ind w:left="0" w:leftChars="0" w:firstLine="0" w:firstLineChars="0"/>
      </w:pPr>
    </w:p>
    <w:p w14:paraId="19D8CF48">
      <w:pPr>
        <w:spacing w:line="56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各县（市、区）医疗保障经办机构，济宁高新区人力资源部、太白湖新区社会保障事业服务中心、济宁经济技术开发区人力资源部，兖矿能源集团股份有限公司人力资源服务中心：</w:t>
      </w:r>
    </w:p>
    <w:p w14:paraId="34B252E6">
      <w:pPr>
        <w:spacing w:line="56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为进一步规范新增定点医</w:t>
      </w:r>
      <w:r>
        <w:rPr>
          <w:rFonts w:hint="eastAsia" w:ascii="仿宋_GB2312" w:hAnsi="仿宋_GB2312" w:eastAsia="仿宋_GB2312" w:cs="仿宋_GB2312"/>
          <w:color w:val="auto"/>
          <w:kern w:val="0"/>
          <w:sz w:val="32"/>
          <w:szCs w:val="32"/>
          <w:lang w:eastAsia="zh-CN"/>
        </w:rPr>
        <w:t>药</w:t>
      </w:r>
      <w:r>
        <w:rPr>
          <w:rFonts w:hint="eastAsia" w:ascii="仿宋_GB2312" w:hAnsi="仿宋_GB2312" w:eastAsia="仿宋_GB2312" w:cs="仿宋_GB2312"/>
          <w:color w:val="auto"/>
          <w:kern w:val="0"/>
          <w:sz w:val="32"/>
          <w:szCs w:val="32"/>
        </w:rPr>
        <w:t>机构协议管理经办流程，</w:t>
      </w:r>
      <w:r>
        <w:rPr>
          <w:rFonts w:hint="eastAsia" w:ascii="仿宋_GB2312" w:hAnsi="仿宋_GB2312" w:eastAsia="仿宋_GB2312" w:cs="仿宋_GB2312"/>
          <w:color w:val="auto"/>
          <w:kern w:val="0"/>
          <w:sz w:val="32"/>
          <w:szCs w:val="32"/>
          <w:lang w:val="en-US" w:eastAsia="zh-CN"/>
        </w:rPr>
        <w:t>持续</w:t>
      </w:r>
      <w:r>
        <w:rPr>
          <w:rFonts w:hint="eastAsia" w:ascii="仿宋_GB2312" w:hAnsi="仿宋_GB2312" w:eastAsia="仿宋_GB2312" w:cs="仿宋_GB2312"/>
          <w:color w:val="auto"/>
          <w:kern w:val="0"/>
          <w:sz w:val="32"/>
          <w:szCs w:val="32"/>
        </w:rPr>
        <w:t>提升优化经办管理服务水平，市医保中心</w:t>
      </w:r>
      <w:r>
        <w:rPr>
          <w:rFonts w:hint="eastAsia" w:ascii="仿宋_GB2312" w:hAnsi="宋体" w:eastAsia="仿宋_GB2312" w:cs="宋体"/>
          <w:color w:val="auto"/>
          <w:kern w:val="0"/>
          <w:sz w:val="32"/>
          <w:szCs w:val="32"/>
        </w:rPr>
        <w:t>结合我市基本医疗保险经办实际情况，</w:t>
      </w:r>
      <w:r>
        <w:rPr>
          <w:rFonts w:hint="eastAsia" w:ascii="仿宋_GB2312" w:hAnsi="宋体" w:eastAsia="仿宋_GB2312" w:cs="宋体"/>
          <w:color w:val="auto"/>
          <w:kern w:val="0"/>
          <w:sz w:val="32"/>
          <w:szCs w:val="32"/>
          <w:lang w:eastAsia="zh-CN"/>
        </w:rPr>
        <w:t>制定</w:t>
      </w:r>
      <w:r>
        <w:rPr>
          <w:rFonts w:hint="eastAsia" w:ascii="仿宋_GB2312" w:hAnsi="仿宋_GB2312" w:eastAsia="仿宋_GB2312" w:cs="仿宋_GB2312"/>
          <w:color w:val="auto"/>
          <w:kern w:val="0"/>
          <w:sz w:val="32"/>
          <w:szCs w:val="32"/>
        </w:rPr>
        <w:t>并完善了全市协议管理相关业务流程</w:t>
      </w:r>
      <w:r>
        <w:rPr>
          <w:rFonts w:hint="eastAsia" w:ascii="仿宋_GB2312" w:hAnsi="仿宋_GB2312" w:eastAsia="仿宋_GB2312" w:cs="仿宋_GB2312"/>
          <w:color w:val="auto"/>
          <w:kern w:val="0"/>
          <w:sz w:val="32"/>
          <w:szCs w:val="32"/>
          <w:lang w:val="en-US" w:eastAsia="zh-CN"/>
        </w:rPr>
        <w:t>及</w:t>
      </w:r>
      <w:r>
        <w:rPr>
          <w:rFonts w:hint="eastAsia" w:ascii="仿宋_GB2312" w:hAnsi="仿宋_GB2312" w:eastAsia="仿宋_GB2312" w:cs="仿宋_GB2312"/>
          <w:color w:val="auto"/>
          <w:kern w:val="0"/>
          <w:sz w:val="32"/>
          <w:szCs w:val="32"/>
        </w:rPr>
        <w:t>标准，现将《</w:t>
      </w:r>
      <w:r>
        <w:rPr>
          <w:rFonts w:hint="eastAsia" w:ascii="仿宋_GB2312" w:hAnsi="仿宋_GB2312" w:eastAsia="仿宋_GB2312" w:cs="仿宋_GB2312"/>
          <w:color w:val="auto"/>
          <w:kern w:val="0"/>
          <w:sz w:val="32"/>
          <w:szCs w:val="32"/>
          <w:lang w:eastAsia="zh-CN"/>
        </w:rPr>
        <w:t>济宁</w:t>
      </w:r>
      <w:r>
        <w:rPr>
          <w:rFonts w:hint="eastAsia" w:ascii="仿宋_GB2312" w:hAnsi="仿宋_GB2312" w:eastAsia="仿宋_GB2312" w:cs="仿宋_GB2312"/>
          <w:color w:val="auto"/>
          <w:kern w:val="0"/>
          <w:sz w:val="32"/>
          <w:szCs w:val="32"/>
        </w:rPr>
        <w:t>市基本医疗保险定点医药机构协议管理经办规程》印发给你们，请遵照执行。</w:t>
      </w:r>
    </w:p>
    <w:p w14:paraId="7CA9B56B">
      <w:pPr>
        <w:spacing w:line="56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14:paraId="48E08B2E">
      <w:pPr>
        <w:pStyle w:val="2"/>
        <w:rPr>
          <w:rFonts w:hint="eastAsia"/>
        </w:rPr>
      </w:pPr>
    </w:p>
    <w:p w14:paraId="544C9B84">
      <w:pPr>
        <w:rPr>
          <w:rFonts w:hint="eastAsia"/>
        </w:rPr>
      </w:pPr>
    </w:p>
    <w:p w14:paraId="62916525">
      <w:pPr>
        <w:pStyle w:val="2"/>
        <w:rPr>
          <w:rFonts w:hint="eastAsia"/>
        </w:rPr>
      </w:pPr>
    </w:p>
    <w:p w14:paraId="6D50FF03">
      <w:pPr>
        <w:rPr>
          <w:rFonts w:hint="eastAsia"/>
        </w:rPr>
      </w:pPr>
    </w:p>
    <w:p w14:paraId="36A8F07B">
      <w:pPr>
        <w:pStyle w:val="2"/>
        <w:rPr>
          <w:rFonts w:hint="eastAsia"/>
        </w:rPr>
      </w:pPr>
    </w:p>
    <w:p w14:paraId="389048C8">
      <w:pPr>
        <w:rPr>
          <w:rFonts w:hint="eastAsia"/>
        </w:rPr>
      </w:pPr>
    </w:p>
    <w:p w14:paraId="3EC4BC52">
      <w:pPr>
        <w:pStyle w:val="2"/>
        <w:wordWrap w:val="0"/>
        <w:jc w:val="right"/>
        <w:rPr>
          <w:rFonts w:hint="eastAsia" w:hAnsi="仿宋_GB2312" w:cs="仿宋_GB2312"/>
          <w:color w:val="000000"/>
          <w:kern w:val="0"/>
          <w:sz w:val="32"/>
          <w:szCs w:val="32"/>
          <w:lang w:val="en-US" w:eastAsia="zh-CN"/>
        </w:rPr>
      </w:pPr>
      <w:r>
        <w:rPr>
          <w:rFonts w:hint="eastAsia" w:hAnsi="仿宋_GB2312" w:cs="仿宋_GB2312"/>
          <w:color w:val="000000"/>
          <w:kern w:val="0"/>
          <w:sz w:val="32"/>
          <w:szCs w:val="32"/>
          <w:lang w:val="en-US" w:eastAsia="zh-CN"/>
        </w:rPr>
        <w:t xml:space="preserve">济宁市医疗保险事业中心   </w:t>
      </w:r>
    </w:p>
    <w:p w14:paraId="2BDCF6E8">
      <w:pPr>
        <w:pStyle w:val="2"/>
        <w:wordWrap w:val="0"/>
        <w:jc w:val="right"/>
        <w:rPr>
          <w:rFonts w:hint="default" w:eastAsia="仿宋_GB2312"/>
          <w:lang w:val="en-US" w:eastAsia="zh-CN"/>
        </w:rPr>
      </w:pPr>
      <w:r>
        <w:rPr>
          <w:rFonts w:hint="eastAsia" w:ascii="仿宋_GB2312" w:hAnsi="仿宋_GB2312" w:eastAsia="仿宋_GB2312" w:cs="仿宋_GB2312"/>
          <w:color w:val="000000"/>
          <w:kern w:val="0"/>
          <w:sz w:val="32"/>
          <w:szCs w:val="32"/>
        </w:rPr>
        <w:t>202</w:t>
      </w:r>
      <w:r>
        <w:rPr>
          <w:rFonts w:hint="eastAsia" w:hAnsi="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w:t>
      </w:r>
      <w:r>
        <w:rPr>
          <w:rFonts w:hint="eastAsia" w:hAnsi="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月</w:t>
      </w:r>
      <w:r>
        <w:rPr>
          <w:rFonts w:hint="eastAsia" w:hAnsi="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日</w:t>
      </w:r>
      <w:r>
        <w:rPr>
          <w:rFonts w:hint="eastAsia" w:hAnsi="仿宋_GB2312" w:cs="仿宋_GB2312"/>
          <w:color w:val="000000"/>
          <w:kern w:val="0"/>
          <w:sz w:val="32"/>
          <w:szCs w:val="32"/>
          <w:lang w:val="en-US" w:eastAsia="zh-CN"/>
        </w:rPr>
        <w:t xml:space="preserve">      </w:t>
      </w:r>
    </w:p>
    <w:p w14:paraId="770A7CB4">
      <w:pPr>
        <w:spacing w:line="56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w:t>
      </w:r>
    </w:p>
    <w:p w14:paraId="6DD36E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44"/>
          <w:szCs w:val="44"/>
        </w:rPr>
      </w:pPr>
      <w:r>
        <w:rPr>
          <w:rFonts w:hint="eastAsia" w:ascii="仿宋_GB2312" w:hAnsi="仿宋_GB2312" w:eastAsia="仿宋_GB2312" w:cs="仿宋_GB2312"/>
          <w:color w:val="000000"/>
          <w:kern w:val="0"/>
          <w:sz w:val="32"/>
          <w:szCs w:val="32"/>
        </w:rPr>
        <w:br w:type="page"/>
      </w:r>
      <w:r>
        <w:rPr>
          <w:rFonts w:hint="eastAsia" w:ascii="方正小标宋简体" w:hAnsi="方正小标宋简体" w:eastAsia="方正小标宋简体" w:cs="方正小标宋简体"/>
          <w:color w:val="000000"/>
          <w:kern w:val="0"/>
          <w:sz w:val="44"/>
          <w:szCs w:val="44"/>
          <w:lang w:eastAsia="zh-CN"/>
        </w:rPr>
        <w:t>济宁</w:t>
      </w:r>
      <w:r>
        <w:rPr>
          <w:rFonts w:hint="eastAsia" w:ascii="方正小标宋简体" w:hAnsi="方正小标宋简体" w:eastAsia="方正小标宋简体" w:cs="方正小标宋简体"/>
          <w:color w:val="000000"/>
          <w:kern w:val="0"/>
          <w:sz w:val="44"/>
          <w:szCs w:val="44"/>
        </w:rPr>
        <w:t>市基本医疗保险定点医药机构</w:t>
      </w:r>
    </w:p>
    <w:p w14:paraId="2D4572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kern w:val="0"/>
          <w:sz w:val="44"/>
          <w:szCs w:val="44"/>
        </w:rPr>
        <w:t>协议管理经办规程</w:t>
      </w:r>
    </w:p>
    <w:p w14:paraId="74227D7E">
      <w:pPr>
        <w:pStyle w:val="8"/>
        <w:keepNext w:val="0"/>
        <w:keepLines w:val="0"/>
        <w:pageBreakBefore w:val="0"/>
        <w:kinsoku/>
        <w:wordWrap/>
        <w:overflowPunct/>
        <w:topLinePunct w:val="0"/>
        <w:autoSpaceDE/>
        <w:autoSpaceDN/>
        <w:bidi w:val="0"/>
        <w:adjustRightInd/>
        <w:spacing w:line="600" w:lineRule="exact"/>
        <w:ind w:firstLine="400"/>
        <w:textAlignment w:val="auto"/>
        <w:rPr>
          <w:rFonts w:hint="eastAsia" w:ascii="仿宋_GB2312" w:eastAsia="仿宋_GB2312"/>
          <w:color w:val="000000"/>
          <w:sz w:val="32"/>
          <w:szCs w:val="32"/>
        </w:rPr>
      </w:pPr>
      <w:r>
        <w:rPr>
          <w:rFonts w:hint="eastAsia" w:eastAsia="仿宋_GB2312"/>
          <w:color w:val="000000"/>
        </w:rPr>
        <w:t xml:space="preserve">                     </w:t>
      </w:r>
      <w:r>
        <w:rPr>
          <w:rFonts w:hint="eastAsia" w:ascii="仿宋_GB2312" w:eastAsia="仿宋_GB2312"/>
          <w:color w:val="000000"/>
          <w:sz w:val="32"/>
          <w:szCs w:val="32"/>
        </w:rPr>
        <w:t xml:space="preserve">   </w:t>
      </w:r>
    </w:p>
    <w:p w14:paraId="5A31A537">
      <w:pPr>
        <w:keepNext w:val="0"/>
        <w:keepLines w:val="0"/>
        <w:pageBreakBefore w:val="0"/>
        <w:numPr>
          <w:ilvl w:val="0"/>
          <w:numId w:val="0"/>
        </w:numPr>
        <w:kinsoku/>
        <w:wordWrap/>
        <w:overflowPunct/>
        <w:topLinePunct w:val="0"/>
        <w:autoSpaceDE/>
        <w:autoSpaceDN/>
        <w:bidi w:val="0"/>
        <w:adjustRightInd/>
        <w:spacing w:line="600" w:lineRule="exact"/>
        <w:jc w:val="center"/>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 xml:space="preserve">第一章 </w:t>
      </w:r>
      <w:r>
        <w:rPr>
          <w:rFonts w:hint="eastAsia" w:ascii="黑体" w:hAnsi="黑体" w:eastAsia="黑体" w:cs="黑体"/>
          <w:color w:val="auto"/>
          <w:kern w:val="0"/>
          <w:sz w:val="32"/>
          <w:szCs w:val="32"/>
        </w:rPr>
        <w:t>总则</w:t>
      </w:r>
    </w:p>
    <w:p w14:paraId="5157954D">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宋体" w:eastAsia="仿宋_GB2312" w:cs="宋体"/>
          <w:color w:val="auto"/>
          <w:kern w:val="0"/>
          <w:sz w:val="32"/>
          <w:szCs w:val="32"/>
        </w:rPr>
      </w:pPr>
      <w:r>
        <w:rPr>
          <w:rFonts w:hint="eastAsia" w:ascii="楷体_GB2312" w:hAnsi="楷体_GB2312" w:eastAsia="楷体_GB2312" w:cs="楷体_GB2312"/>
          <w:color w:val="auto"/>
          <w:kern w:val="0"/>
          <w:sz w:val="32"/>
          <w:szCs w:val="32"/>
        </w:rPr>
        <w:t>第一条</w:t>
      </w:r>
      <w:r>
        <w:rPr>
          <w:rFonts w:hint="eastAsia" w:ascii="仿宋_GB2312" w:hAnsi="宋体" w:eastAsia="仿宋_GB2312" w:cs="宋体"/>
          <w:color w:val="auto"/>
          <w:kern w:val="0"/>
          <w:sz w:val="32"/>
          <w:szCs w:val="32"/>
        </w:rPr>
        <w:t xml:space="preserve"> 为加强</w:t>
      </w:r>
      <w:r>
        <w:rPr>
          <w:rFonts w:hint="eastAsia" w:ascii="仿宋_GB2312" w:hAnsi="宋体" w:eastAsia="仿宋_GB2312" w:cs="宋体"/>
          <w:color w:val="auto"/>
          <w:kern w:val="0"/>
          <w:sz w:val="32"/>
          <w:szCs w:val="32"/>
          <w:lang w:eastAsia="zh-CN"/>
        </w:rPr>
        <w:t>我市</w:t>
      </w:r>
      <w:r>
        <w:rPr>
          <w:rFonts w:hint="eastAsia" w:ascii="仿宋_GB2312" w:hAnsi="宋体" w:eastAsia="仿宋_GB2312" w:cs="宋体"/>
          <w:color w:val="auto"/>
          <w:kern w:val="0"/>
          <w:sz w:val="32"/>
          <w:szCs w:val="32"/>
        </w:rPr>
        <w:t>基本医疗保险</w:t>
      </w:r>
      <w:r>
        <w:rPr>
          <w:rFonts w:hint="eastAsia" w:ascii="仿宋_GB2312" w:hAnsi="宋体" w:eastAsia="仿宋_GB2312" w:cs="宋体"/>
          <w:color w:val="auto"/>
          <w:kern w:val="0"/>
          <w:sz w:val="32"/>
          <w:szCs w:val="32"/>
          <w:lang w:eastAsia="zh-CN"/>
        </w:rPr>
        <w:t>（城镇职工和居民基本医疗保险）</w:t>
      </w:r>
      <w:r>
        <w:rPr>
          <w:rFonts w:hint="eastAsia" w:ascii="仿宋_GB2312" w:hAnsi="宋体" w:eastAsia="仿宋_GB2312" w:cs="宋体"/>
          <w:color w:val="auto"/>
          <w:kern w:val="0"/>
          <w:sz w:val="32"/>
          <w:szCs w:val="32"/>
        </w:rPr>
        <w:t>定点医药机构</w:t>
      </w:r>
      <w:r>
        <w:rPr>
          <w:rFonts w:hint="eastAsia" w:ascii="仿宋_GB2312" w:hAnsi="宋体" w:eastAsia="仿宋_GB2312" w:cs="宋体"/>
          <w:color w:val="auto"/>
          <w:kern w:val="0"/>
          <w:sz w:val="32"/>
          <w:szCs w:val="32"/>
          <w:lang w:eastAsia="zh-CN"/>
        </w:rPr>
        <w:t>（以下简称“定点医药机构）</w:t>
      </w:r>
      <w:r>
        <w:rPr>
          <w:rFonts w:hint="eastAsia" w:ascii="仿宋_GB2312" w:hAnsi="宋体" w:eastAsia="仿宋_GB2312" w:cs="宋体"/>
          <w:color w:val="auto"/>
          <w:kern w:val="0"/>
          <w:sz w:val="32"/>
          <w:szCs w:val="32"/>
        </w:rPr>
        <w:t>协议管理工作，规范相关业务流程，根据国家医保局《医疗机构医疗保障定点管理暂行办法》（国家医疗保障局令第2号）、《零售药店医疗保障定点管理暂行办法》（国家医疗保障局令第3号）、山东省</w:t>
      </w:r>
      <w:r>
        <w:rPr>
          <w:rFonts w:hint="eastAsia" w:ascii="仿宋_GB2312" w:hAnsi="宋体" w:eastAsia="仿宋_GB2312" w:cs="宋体"/>
          <w:color w:val="auto"/>
          <w:kern w:val="0"/>
          <w:sz w:val="32"/>
          <w:szCs w:val="32"/>
          <w:lang w:val="en-US" w:eastAsia="zh-CN"/>
        </w:rPr>
        <w:t>医疗保障</w:t>
      </w:r>
      <w:r>
        <w:rPr>
          <w:rFonts w:hint="eastAsia" w:ascii="仿宋_GB2312" w:hAnsi="宋体" w:eastAsia="仿宋_GB2312" w:cs="宋体"/>
          <w:color w:val="auto"/>
          <w:kern w:val="0"/>
          <w:sz w:val="32"/>
          <w:szCs w:val="32"/>
        </w:rPr>
        <w:t>局相关文件要求，结合我市基本医疗保险经办实际情况，修订本规程。</w:t>
      </w:r>
    </w:p>
    <w:p w14:paraId="2D807689">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宋体" w:eastAsia="仿宋_GB2312" w:cs="宋体"/>
          <w:color w:val="auto"/>
          <w:kern w:val="0"/>
          <w:sz w:val="32"/>
          <w:szCs w:val="32"/>
        </w:rPr>
      </w:pPr>
      <w:r>
        <w:rPr>
          <w:rFonts w:hint="eastAsia" w:ascii="楷体_GB2312" w:hAnsi="楷体_GB2312" w:eastAsia="楷体_GB2312" w:cs="楷体_GB2312"/>
          <w:color w:val="auto"/>
          <w:kern w:val="0"/>
          <w:sz w:val="32"/>
          <w:szCs w:val="32"/>
        </w:rPr>
        <w:t>第二条</w:t>
      </w:r>
      <w:r>
        <w:rPr>
          <w:rFonts w:hint="eastAsia" w:ascii="楷体" w:hAnsi="楷体" w:eastAsia="楷体" w:cs="楷体"/>
          <w:color w:val="auto"/>
          <w:kern w:val="0"/>
          <w:sz w:val="32"/>
          <w:szCs w:val="32"/>
        </w:rPr>
        <w:t xml:space="preserve"> </w:t>
      </w:r>
      <w:r>
        <w:rPr>
          <w:rFonts w:hint="eastAsia" w:ascii="仿宋_GB2312" w:hAnsi="宋体" w:eastAsia="仿宋_GB2312" w:cs="宋体"/>
          <w:color w:val="auto"/>
          <w:kern w:val="0"/>
          <w:sz w:val="32"/>
          <w:szCs w:val="32"/>
        </w:rPr>
        <w:t>本规程所指定点医药机构，是指</w:t>
      </w:r>
      <w:r>
        <w:rPr>
          <w:rFonts w:hint="eastAsia" w:ascii="仿宋_GB2312" w:hAnsi="宋体" w:eastAsia="仿宋_GB2312" w:cs="宋体"/>
          <w:color w:val="auto"/>
          <w:kern w:val="0"/>
          <w:sz w:val="32"/>
          <w:szCs w:val="32"/>
          <w:lang w:val="en-US" w:eastAsia="zh-CN"/>
        </w:rPr>
        <w:t>经医疗保险经办机构确定的，</w:t>
      </w:r>
      <w:r>
        <w:rPr>
          <w:rFonts w:hint="eastAsia" w:ascii="仿宋_GB2312" w:hAnsi="宋体" w:eastAsia="仿宋_GB2312" w:cs="宋体"/>
          <w:color w:val="auto"/>
          <w:kern w:val="0"/>
          <w:sz w:val="32"/>
          <w:szCs w:val="32"/>
        </w:rPr>
        <w:t>自愿和我市医疗保险经办机构（以下简称经办机构）签订医保协议，为基本医疗保险参保人员提供医药服务的医疗机构和零售药店。</w:t>
      </w:r>
    </w:p>
    <w:p w14:paraId="65A74EF4">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宋体" w:eastAsia="仿宋_GB2312" w:cs="宋体"/>
          <w:color w:val="auto"/>
          <w:kern w:val="0"/>
          <w:sz w:val="32"/>
          <w:szCs w:val="32"/>
        </w:rPr>
      </w:pPr>
      <w:r>
        <w:rPr>
          <w:rFonts w:hint="eastAsia" w:ascii="楷体_GB2312" w:hAnsi="楷体_GB2312" w:eastAsia="楷体_GB2312" w:cs="楷体_GB2312"/>
          <w:color w:val="auto"/>
          <w:kern w:val="0"/>
          <w:sz w:val="32"/>
          <w:szCs w:val="32"/>
        </w:rPr>
        <w:t>第三条</w:t>
      </w:r>
      <w:r>
        <w:rPr>
          <w:rFonts w:hint="eastAsia" w:ascii="楷体" w:hAnsi="楷体" w:eastAsia="楷体" w:cs="楷体"/>
          <w:color w:val="auto"/>
          <w:kern w:val="0"/>
          <w:sz w:val="32"/>
          <w:szCs w:val="32"/>
        </w:rPr>
        <w:t xml:space="preserve"> </w:t>
      </w:r>
      <w:r>
        <w:rPr>
          <w:rFonts w:hint="eastAsia" w:ascii="仿宋_GB2312" w:hAnsi="宋体" w:eastAsia="仿宋_GB2312" w:cs="宋体"/>
          <w:color w:val="auto"/>
          <w:kern w:val="0"/>
          <w:sz w:val="32"/>
          <w:szCs w:val="32"/>
        </w:rPr>
        <w:t>经办机构应当配备专门负责的工作人员，建立相应的岗位职责。在确定定点医药机构和协议管理过程中要按照公平公开、强化监管、优化服务的要求，遵循供需平衡、择优选择、鼓励竞争、动态管理的原则。</w:t>
      </w:r>
    </w:p>
    <w:p w14:paraId="1277BD44">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color w:val="auto"/>
          <w:kern w:val="0"/>
          <w:sz w:val="32"/>
          <w:szCs w:val="32"/>
        </w:rPr>
      </w:pPr>
      <w:r>
        <w:rPr>
          <w:rFonts w:hint="eastAsia" w:ascii="楷体_GB2312" w:hAnsi="楷体_GB2312" w:eastAsia="楷体_GB2312" w:cs="楷体_GB2312"/>
          <w:color w:val="auto"/>
          <w:kern w:val="0"/>
          <w:sz w:val="32"/>
          <w:szCs w:val="32"/>
        </w:rPr>
        <w:t>第四条</w:t>
      </w:r>
      <w:r>
        <w:rPr>
          <w:rFonts w:hint="eastAsia" w:ascii="楷体" w:hAnsi="楷体" w:eastAsia="楷体" w:cs="楷体"/>
          <w:color w:val="auto"/>
          <w:kern w:val="0"/>
          <w:sz w:val="32"/>
          <w:szCs w:val="32"/>
        </w:rPr>
        <w:t xml:space="preserve"> </w:t>
      </w:r>
      <w:r>
        <w:rPr>
          <w:rFonts w:hint="eastAsia" w:ascii="仿宋_GB2312" w:hAnsi="宋体" w:eastAsia="仿宋_GB2312" w:cs="宋体"/>
          <w:color w:val="auto"/>
          <w:kern w:val="0"/>
          <w:sz w:val="32"/>
          <w:szCs w:val="32"/>
        </w:rPr>
        <w:t>定点医药机构服务协议管理经办的流程包括</w:t>
      </w:r>
      <w:r>
        <w:rPr>
          <w:rFonts w:hint="eastAsia" w:ascii="仿宋_GB2312" w:hAnsi="宋体" w:eastAsia="仿宋_GB2312" w:cs="宋体"/>
          <w:color w:val="auto"/>
          <w:kern w:val="0"/>
          <w:sz w:val="32"/>
          <w:szCs w:val="32"/>
          <w:lang w:val="en-US" w:eastAsia="zh-CN"/>
        </w:rPr>
        <w:t>定点申请</w:t>
      </w:r>
      <w:r>
        <w:rPr>
          <w:rFonts w:hint="eastAsia" w:ascii="仿宋_GB2312" w:hAnsi="宋体" w:eastAsia="仿宋_GB2312" w:cs="宋体"/>
          <w:color w:val="auto"/>
          <w:kern w:val="0"/>
          <w:sz w:val="32"/>
          <w:szCs w:val="32"/>
        </w:rPr>
        <w:t>、审核评估、结果公示、协商谈判、协议签订、社会公布等主要环节。</w:t>
      </w:r>
    </w:p>
    <w:p w14:paraId="152430EF">
      <w:pPr>
        <w:keepNext w:val="0"/>
        <w:keepLines w:val="0"/>
        <w:pageBreakBefore w:val="0"/>
        <w:kinsoku/>
        <w:wordWrap/>
        <w:overflowPunct/>
        <w:topLinePunct w:val="0"/>
        <w:autoSpaceDE/>
        <w:autoSpaceDN/>
        <w:bidi w:val="0"/>
        <w:adjustRightInd/>
        <w:spacing w:line="600" w:lineRule="exact"/>
        <w:ind w:firstLine="640" w:firstLineChars="200"/>
        <w:jc w:val="center"/>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第二章 申请条件</w:t>
      </w:r>
    </w:p>
    <w:p w14:paraId="52E8DA22">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olor w:val="auto"/>
          <w:sz w:val="32"/>
          <w:szCs w:val="32"/>
        </w:rPr>
      </w:pPr>
      <w:r>
        <w:rPr>
          <w:rFonts w:hint="eastAsia" w:ascii="楷体_GB2312" w:hAnsi="楷体_GB2312" w:eastAsia="楷体_GB2312" w:cs="楷体_GB2312"/>
          <w:color w:val="auto"/>
          <w:kern w:val="0"/>
          <w:sz w:val="32"/>
          <w:szCs w:val="32"/>
        </w:rPr>
        <w:t>第五条</w:t>
      </w:r>
      <w:r>
        <w:rPr>
          <w:rFonts w:hint="eastAsia" w:ascii="楷体" w:hAnsi="楷体" w:eastAsia="楷体" w:cs="楷体"/>
          <w:color w:val="auto"/>
          <w:kern w:val="0"/>
          <w:sz w:val="32"/>
          <w:szCs w:val="32"/>
        </w:rPr>
        <w:t xml:space="preserve"> </w:t>
      </w:r>
      <w:r>
        <w:rPr>
          <w:rFonts w:ascii="Times New Roman" w:hAnsi="Times New Roman" w:eastAsia="仿宋_GB2312"/>
          <w:color w:val="auto"/>
          <w:sz w:val="32"/>
          <w:szCs w:val="32"/>
        </w:rPr>
        <w:t>以下取得医疗机构执业许可证或中医诊所备案证的医疗机构，以及经军队主管部门批准有为民服务资质的军队医疗机构可申请医保定点：</w:t>
      </w:r>
    </w:p>
    <w:p w14:paraId="38FAA4BD">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(一)综合医院、中医医院、中西医结合医院、民族医医院、专科医院、康复医院;</w:t>
      </w:r>
    </w:p>
    <w:p w14:paraId="502E7C4A">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(二)专科疾病防治院（所、站）、妇幼保健院;</w:t>
      </w:r>
    </w:p>
    <w:p w14:paraId="35934543">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(三)社区卫生服务中心（站）、中心卫生院、乡镇卫生院、街道卫生院、门诊部、诊所、卫生所（站）、村卫生室（所）;</w:t>
      </w:r>
    </w:p>
    <w:p w14:paraId="1FD5E645">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(四)独立设置的急救中心;</w:t>
      </w:r>
    </w:p>
    <w:p w14:paraId="44FA229D">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(五)安宁疗护中心、血液透析中心、护理院;</w:t>
      </w:r>
    </w:p>
    <w:p w14:paraId="085CB732">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(六)养老机构内设的医疗机构。</w:t>
      </w:r>
    </w:p>
    <w:p w14:paraId="1E930440">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olor w:val="auto"/>
          <w:sz w:val="32"/>
          <w:szCs w:val="32"/>
        </w:rPr>
      </w:pPr>
      <w:r>
        <w:rPr>
          <w:rFonts w:hint="eastAsia" w:ascii="楷体_GB2312" w:hAnsi="楷体_GB2312" w:eastAsia="楷体_GB2312" w:cs="楷体_GB2312"/>
          <w:color w:val="auto"/>
          <w:kern w:val="0"/>
          <w:sz w:val="32"/>
          <w:szCs w:val="32"/>
        </w:rPr>
        <w:t>第六条</w:t>
      </w:r>
      <w:r>
        <w:rPr>
          <w:rFonts w:hint="eastAsia" w:ascii="楷体" w:hAnsi="楷体" w:eastAsia="楷体" w:cs="楷体"/>
          <w:color w:val="auto"/>
          <w:kern w:val="0"/>
          <w:sz w:val="32"/>
          <w:szCs w:val="32"/>
        </w:rPr>
        <w:t xml:space="preserve"> </w:t>
      </w:r>
      <w:r>
        <w:rPr>
          <w:rFonts w:hint="eastAsia" w:ascii="Times New Roman" w:hAnsi="Times New Roman" w:eastAsia="仿宋_GB2312"/>
          <w:color w:val="auto"/>
          <w:sz w:val="32"/>
          <w:szCs w:val="32"/>
        </w:rPr>
        <w:t>申请医保定点的医疗机构应当同时具备以下基本条件：</w:t>
      </w:r>
    </w:p>
    <w:p w14:paraId="6343A9C3">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（一）正式运营至少</w:t>
      </w:r>
      <w:r>
        <w:rPr>
          <w:rFonts w:hint="eastAsia" w:ascii="仿宋_GB2312" w:hAnsi="Times New Roman" w:eastAsia="仿宋_GB2312"/>
          <w:color w:val="auto"/>
          <w:sz w:val="32"/>
          <w:szCs w:val="32"/>
        </w:rPr>
        <w:t>3</w:t>
      </w:r>
      <w:r>
        <w:rPr>
          <w:rFonts w:ascii="Times New Roman" w:hAnsi="Times New Roman" w:eastAsia="仿宋_GB2312"/>
          <w:color w:val="auto"/>
          <w:sz w:val="32"/>
          <w:szCs w:val="32"/>
        </w:rPr>
        <w:t>个月；</w:t>
      </w:r>
    </w:p>
    <w:p w14:paraId="2648EAB9">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olor w:val="auto"/>
          <w:sz w:val="32"/>
          <w:szCs w:val="32"/>
        </w:rPr>
      </w:pPr>
      <w:r>
        <w:rPr>
          <w:rFonts w:ascii="Times New Roman" w:hAnsi="Times New Roman" w:eastAsia="仿宋_GB2312"/>
          <w:color w:val="auto"/>
          <w:sz w:val="32"/>
          <w:szCs w:val="32"/>
        </w:rPr>
        <w:t>（二）至少</w:t>
      </w:r>
      <w:r>
        <w:rPr>
          <w:rFonts w:hint="eastAsia" w:ascii="仿宋_GB2312" w:hAnsi="Times New Roman" w:eastAsia="仿宋_GB2312"/>
          <w:color w:val="auto"/>
          <w:sz w:val="32"/>
          <w:szCs w:val="32"/>
        </w:rPr>
        <w:t>有1名取得医师执业证书、乡村医生执业证书或中医（专长）医师资格证书且第一注册地在该医疗机构的医师；</w:t>
      </w:r>
    </w:p>
    <w:p w14:paraId="21DAF2D5">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olor w:val="auto"/>
          <w:sz w:val="32"/>
          <w:szCs w:val="32"/>
        </w:rPr>
      </w:pPr>
      <w:r>
        <w:rPr>
          <w:rFonts w:hint="eastAsia" w:ascii="仿宋_GB2312" w:hAnsi="Times New Roman" w:eastAsia="仿宋_GB2312"/>
          <w:color w:val="auto"/>
          <w:sz w:val="32"/>
          <w:szCs w:val="32"/>
        </w:rPr>
        <w:t>（三）主要负责人负责医保工作，配备专（兼）职医保管理人员；100张床位以</w:t>
      </w:r>
      <w:r>
        <w:rPr>
          <w:rFonts w:ascii="Times New Roman" w:hAnsi="Times New Roman" w:eastAsia="仿宋_GB2312"/>
          <w:color w:val="auto"/>
          <w:sz w:val="32"/>
          <w:szCs w:val="32"/>
        </w:rPr>
        <w:t>上的医疗机构应设内部医保管理部门，安排专职工作人员；</w:t>
      </w:r>
    </w:p>
    <w:p w14:paraId="2AAB2B6C">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（四）具有符合医保协议管理要求的医保管理制度、财务制度、统计信息管理制度、医疗质量安全核心制度等；</w:t>
      </w:r>
    </w:p>
    <w:p w14:paraId="50666041">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五）具有符合医保协议管理要求的医院信息系统技术和接口标准，实现与医保信息系统有效对接，按要求向医保信息系统传送全部就诊人员相关信息，为参保人员提供直接联网结算。设立医保药品、诊疗项目、医疗服务设施、医用耗材、疾病病种等基础数据库，按规定使用国家统一的医保编码；</w:t>
      </w:r>
    </w:p>
    <w:p w14:paraId="216BCC55">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olor w:val="auto"/>
          <w:sz w:val="32"/>
          <w:szCs w:val="32"/>
        </w:rPr>
      </w:pPr>
      <w:r>
        <w:rPr>
          <w:rFonts w:hint="eastAsia" w:ascii="仿宋_GB2312" w:hAnsi="仿宋_GB2312" w:eastAsia="仿宋_GB2312" w:cs="仿宋_GB2312"/>
          <w:color w:val="auto"/>
          <w:kern w:val="0"/>
          <w:sz w:val="32"/>
          <w:szCs w:val="32"/>
        </w:rPr>
        <w:t>（六）</w:t>
      </w:r>
      <w:r>
        <w:rPr>
          <w:rFonts w:ascii="Times New Roman" w:hAnsi="Times New Roman" w:eastAsia="仿宋_GB2312"/>
          <w:color w:val="auto"/>
          <w:sz w:val="32"/>
          <w:szCs w:val="32"/>
        </w:rPr>
        <w:t>符合法律法规和市级及以上医疗保障行政部门规定的其他条件。</w:t>
      </w:r>
    </w:p>
    <w:p w14:paraId="094C09B3">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olor w:val="auto"/>
          <w:sz w:val="32"/>
          <w:szCs w:val="32"/>
        </w:rPr>
      </w:pPr>
      <w:r>
        <w:rPr>
          <w:rFonts w:hint="eastAsia" w:ascii="楷体_GB2312" w:hAnsi="楷体_GB2312" w:eastAsia="楷体_GB2312" w:cs="楷体_GB2312"/>
          <w:color w:val="auto"/>
          <w:kern w:val="0"/>
          <w:sz w:val="32"/>
          <w:szCs w:val="32"/>
        </w:rPr>
        <w:t>第七条</w:t>
      </w:r>
      <w:r>
        <w:rPr>
          <w:rFonts w:hint="eastAsia" w:ascii="楷体" w:hAnsi="楷体" w:eastAsia="楷体" w:cs="楷体"/>
          <w:color w:val="auto"/>
          <w:kern w:val="0"/>
          <w:sz w:val="32"/>
          <w:szCs w:val="32"/>
        </w:rPr>
        <w:t xml:space="preserve"> </w:t>
      </w:r>
      <w:r>
        <w:rPr>
          <w:rFonts w:hint="eastAsia" w:ascii="Times New Roman" w:hAnsi="Times New Roman" w:eastAsia="仿宋_GB2312"/>
          <w:color w:val="auto"/>
          <w:sz w:val="32"/>
          <w:szCs w:val="32"/>
        </w:rPr>
        <w:t>取得药品经营许可证，并同时符合以下条件的零售药店均可申请医保定点：</w:t>
      </w:r>
    </w:p>
    <w:p w14:paraId="61194EF4">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（一）在注册地址正式经营至少3个月；</w:t>
      </w:r>
    </w:p>
    <w:p w14:paraId="6DB78448">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（二）至少有1名取得执业药师资格证书或具有药学、临床药学、中药学专业技术资格证书的药师，且注册地在该零售药店所在地，药师须签订1年以上劳动合同且在合同期内；</w:t>
      </w:r>
    </w:p>
    <w:p w14:paraId="36EFA034">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（三）至少有2名熟悉医疗保障法律法规和相关制度规定的专（兼）职医保管理人员负责管理医保费用，并签订1年以上劳动合同且在合同期内；</w:t>
      </w:r>
    </w:p>
    <w:p w14:paraId="3C09E5D6">
      <w:pPr>
        <w:keepNext w:val="0"/>
        <w:keepLines w:val="0"/>
        <w:pageBreakBefore w:val="0"/>
        <w:kinsoku/>
        <w:wordWrap/>
        <w:overflowPunct/>
        <w:topLinePunct w:val="0"/>
        <w:autoSpaceDE/>
        <w:autoSpaceDN/>
        <w:bidi w:val="0"/>
        <w:adjustRightInd/>
        <w:spacing w:line="600" w:lineRule="exact"/>
        <w:ind w:firstLine="640" w:firstLineChars="200"/>
        <w:textAlignment w:val="auto"/>
        <w:rPr>
          <w:color w:val="auto"/>
        </w:rPr>
      </w:pPr>
      <w:r>
        <w:rPr>
          <w:rFonts w:hint="eastAsia" w:ascii="仿宋_GB2312" w:hAnsi="仿宋_GB2312" w:eastAsia="仿宋_GB2312" w:cs="仿宋_GB2312"/>
          <w:color w:val="auto"/>
          <w:kern w:val="0"/>
          <w:sz w:val="32"/>
          <w:szCs w:val="32"/>
        </w:rPr>
        <w:t>（四）按药品经营质量管理规范要求，开展药品分类分区管理，并对所售药品设立明确的医保用药标识；</w:t>
      </w:r>
    </w:p>
    <w:p w14:paraId="3AA654EA">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w:t>
      </w:r>
      <w:r>
        <w:rPr>
          <w:rFonts w:ascii="仿宋_GB2312" w:hAnsi="仿宋_GB2312" w:eastAsia="仿宋_GB2312" w:cs="仿宋_GB2312"/>
          <w:color w:val="auto"/>
          <w:kern w:val="0"/>
          <w:sz w:val="32"/>
          <w:szCs w:val="32"/>
        </w:rPr>
        <w:t>具有符合医保协议管理要求的医保</w:t>
      </w:r>
      <w:r>
        <w:rPr>
          <w:rFonts w:hint="eastAsia" w:ascii="仿宋_GB2312" w:hAnsi="仿宋_GB2312" w:eastAsia="仿宋_GB2312" w:cs="仿宋_GB2312"/>
          <w:color w:val="auto"/>
          <w:kern w:val="0"/>
          <w:sz w:val="32"/>
          <w:szCs w:val="32"/>
          <w:lang w:eastAsia="zh-CN"/>
        </w:rPr>
        <w:t>药品</w:t>
      </w:r>
      <w:r>
        <w:rPr>
          <w:rFonts w:ascii="仿宋_GB2312" w:hAnsi="仿宋_GB2312" w:eastAsia="仿宋_GB2312" w:cs="仿宋_GB2312"/>
          <w:color w:val="auto"/>
          <w:kern w:val="0"/>
          <w:sz w:val="32"/>
          <w:szCs w:val="32"/>
        </w:rPr>
        <w:t>管理制度、财务</w:t>
      </w:r>
      <w:r>
        <w:rPr>
          <w:rFonts w:hint="eastAsia" w:ascii="仿宋_GB2312" w:hAnsi="仿宋_GB2312" w:eastAsia="仿宋_GB2312" w:cs="仿宋_GB2312"/>
          <w:color w:val="auto"/>
          <w:kern w:val="0"/>
          <w:sz w:val="32"/>
          <w:szCs w:val="32"/>
          <w:lang w:eastAsia="zh-CN"/>
        </w:rPr>
        <w:t>管理</w:t>
      </w:r>
      <w:r>
        <w:rPr>
          <w:rFonts w:ascii="仿宋_GB2312" w:hAnsi="仿宋_GB2312" w:eastAsia="仿宋_GB2312" w:cs="仿宋_GB2312"/>
          <w:color w:val="auto"/>
          <w:kern w:val="0"/>
          <w:sz w:val="32"/>
          <w:szCs w:val="32"/>
        </w:rPr>
        <w:t>制度、医保人员管理制度、统计信息管理制度</w:t>
      </w:r>
      <w:r>
        <w:rPr>
          <w:rFonts w:hint="eastAsia" w:ascii="仿宋_GB2312" w:hAnsi="仿宋_GB2312" w:eastAsia="仿宋_GB2312" w:cs="仿宋_GB2312"/>
          <w:color w:val="auto"/>
          <w:kern w:val="0"/>
          <w:sz w:val="32"/>
          <w:szCs w:val="32"/>
          <w:lang w:eastAsia="zh-CN"/>
        </w:rPr>
        <w:t>和</w:t>
      </w:r>
      <w:r>
        <w:rPr>
          <w:rFonts w:ascii="仿宋_GB2312" w:hAnsi="仿宋_GB2312" w:eastAsia="仿宋_GB2312" w:cs="仿宋_GB2312"/>
          <w:color w:val="auto"/>
          <w:kern w:val="0"/>
          <w:sz w:val="32"/>
          <w:szCs w:val="32"/>
        </w:rPr>
        <w:t>医保费用结算制度；</w:t>
      </w:r>
    </w:p>
    <w:p w14:paraId="29EA055F">
      <w:pPr>
        <w:keepNext w:val="0"/>
        <w:keepLines w:val="0"/>
        <w:pageBreakBefore w:val="0"/>
        <w:kinsoku/>
        <w:wordWrap/>
        <w:overflowPunct/>
        <w:topLinePunct w:val="0"/>
        <w:autoSpaceDE/>
        <w:autoSpaceDN/>
        <w:bidi w:val="0"/>
        <w:adjustRightInd/>
        <w:spacing w:line="600" w:lineRule="exact"/>
        <w:ind w:firstLine="640" w:firstLineChars="200"/>
        <w:textAlignment w:val="auto"/>
        <w:rPr>
          <w:color w:val="auto"/>
        </w:rPr>
      </w:pPr>
      <w:r>
        <w:rPr>
          <w:rFonts w:hint="eastAsia" w:ascii="仿宋_GB2312" w:hAnsi="仿宋_GB2312" w:eastAsia="仿宋_GB2312" w:cs="仿宋_GB2312"/>
          <w:color w:val="auto"/>
          <w:kern w:val="0"/>
          <w:sz w:val="32"/>
          <w:szCs w:val="32"/>
        </w:rPr>
        <w:t>（六）</w:t>
      </w:r>
      <w:r>
        <w:rPr>
          <w:rFonts w:ascii="Times New Roman" w:hAnsi="Times New Roman" w:eastAsia="仿宋_GB2312"/>
          <w:color w:val="auto"/>
          <w:sz w:val="32"/>
          <w:szCs w:val="32"/>
        </w:rPr>
        <w:t>具备符合医保协议管理要求的信息系统技术和接口标准，实现与医保信息系统有效对接，为参保人员提供直接联网结算，建立医保药品等基础数据库，按规定使用国家统一医保编码；</w:t>
      </w:r>
    </w:p>
    <w:p w14:paraId="71272872">
      <w:pPr>
        <w:keepNext w:val="0"/>
        <w:keepLines w:val="0"/>
        <w:pageBreakBefore w:val="0"/>
        <w:kinsoku/>
        <w:wordWrap/>
        <w:overflowPunct/>
        <w:topLinePunct w:val="0"/>
        <w:autoSpaceDE/>
        <w:autoSpaceDN/>
        <w:bidi w:val="0"/>
        <w:adjustRightInd/>
        <w:spacing w:line="600" w:lineRule="exact"/>
        <w:ind w:firstLine="640"/>
        <w:textAlignment w:val="auto"/>
        <w:rPr>
          <w:rFonts w:ascii="Times New Roman" w:hAnsi="Times New Roman" w:eastAsia="仿宋_GB2312"/>
          <w:color w:val="auto"/>
          <w:sz w:val="32"/>
          <w:szCs w:val="32"/>
        </w:rPr>
      </w:pPr>
      <w:r>
        <w:rPr>
          <w:rFonts w:hint="eastAsia" w:ascii="仿宋_GB2312" w:hAnsi="仿宋_GB2312" w:eastAsia="仿宋_GB2312" w:cs="仿宋_GB2312"/>
          <w:color w:val="auto"/>
          <w:kern w:val="0"/>
          <w:sz w:val="32"/>
          <w:szCs w:val="32"/>
        </w:rPr>
        <w:t>（七）</w:t>
      </w:r>
      <w:r>
        <w:rPr>
          <w:rFonts w:hint="eastAsia" w:ascii="仿宋_GB2312" w:hAnsi="仿宋_GB2312" w:eastAsia="仿宋_GB2312" w:cs="仿宋_GB2312"/>
          <w:color w:val="auto"/>
          <w:sz w:val="32"/>
          <w:szCs w:val="32"/>
        </w:rPr>
        <w:t>符合法律法规和市级及以上医疗保障行政部门规定的其他条件。</w:t>
      </w:r>
    </w:p>
    <w:p w14:paraId="776A2374">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第</w:t>
      </w:r>
      <w:r>
        <w:rPr>
          <w:rFonts w:hint="eastAsia" w:ascii="楷体_GB2312" w:hAnsi="楷体_GB2312" w:eastAsia="楷体_GB2312" w:cs="楷体_GB2312"/>
          <w:color w:val="auto"/>
          <w:kern w:val="0"/>
          <w:sz w:val="32"/>
          <w:szCs w:val="32"/>
          <w:lang w:val="en-US" w:eastAsia="zh-CN"/>
        </w:rPr>
        <w:t>八</w:t>
      </w:r>
      <w:r>
        <w:rPr>
          <w:rFonts w:hint="eastAsia" w:ascii="楷体_GB2312" w:hAnsi="楷体_GB2312" w:eastAsia="楷体_GB2312" w:cs="楷体_GB2312"/>
          <w:color w:val="auto"/>
          <w:kern w:val="0"/>
          <w:sz w:val="32"/>
          <w:szCs w:val="32"/>
        </w:rPr>
        <w:t>条</w:t>
      </w:r>
      <w:r>
        <w:rPr>
          <w:rFonts w:hint="eastAsia" w:ascii="楷体" w:hAnsi="楷体" w:eastAsia="楷体" w:cs="楷体"/>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医疗</w:t>
      </w:r>
      <w:r>
        <w:rPr>
          <w:rFonts w:ascii="仿宋_GB2312" w:hAnsi="仿宋_GB2312" w:eastAsia="仿宋_GB2312" w:cs="仿宋_GB2312"/>
          <w:color w:val="auto"/>
          <w:kern w:val="0"/>
          <w:sz w:val="32"/>
          <w:szCs w:val="32"/>
        </w:rPr>
        <w:t>机构</w:t>
      </w:r>
      <w:r>
        <w:rPr>
          <w:rFonts w:hint="eastAsia" w:ascii="仿宋_GB2312" w:hAnsi="仿宋_GB2312" w:eastAsia="仿宋_GB2312" w:cs="仿宋_GB2312"/>
          <w:color w:val="auto"/>
          <w:kern w:val="0"/>
          <w:sz w:val="32"/>
          <w:szCs w:val="32"/>
          <w:lang w:val="en-US" w:eastAsia="zh-CN"/>
        </w:rPr>
        <w:t>提出医保定点申请</w:t>
      </w:r>
      <w:r>
        <w:rPr>
          <w:rFonts w:ascii="仿宋_GB2312" w:hAnsi="仿宋_GB2312" w:eastAsia="仿宋_GB2312" w:cs="仿宋_GB2312"/>
          <w:color w:val="auto"/>
          <w:kern w:val="0"/>
          <w:sz w:val="32"/>
          <w:szCs w:val="32"/>
        </w:rPr>
        <w:t>，需提供以下</w:t>
      </w:r>
      <w:r>
        <w:rPr>
          <w:rFonts w:hint="eastAsia" w:ascii="仿宋_GB2312" w:hAnsi="仿宋_GB2312" w:eastAsia="仿宋_GB2312" w:cs="仿宋_GB2312"/>
          <w:color w:val="auto"/>
          <w:kern w:val="0"/>
          <w:sz w:val="32"/>
          <w:szCs w:val="32"/>
        </w:rPr>
        <w:t>资料：</w:t>
      </w:r>
    </w:p>
    <w:p w14:paraId="1A0530A0">
      <w:pPr>
        <w:keepNext w:val="0"/>
        <w:keepLines w:val="0"/>
        <w:pageBreakBefore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济宁</w:t>
      </w:r>
      <w:r>
        <w:rPr>
          <w:rFonts w:ascii="仿宋_GB2312" w:hAnsi="仿宋_GB2312" w:eastAsia="仿宋_GB2312" w:cs="仿宋_GB2312"/>
          <w:color w:val="auto"/>
          <w:kern w:val="0"/>
          <w:sz w:val="32"/>
          <w:szCs w:val="32"/>
        </w:rPr>
        <w:t>市医疗保险</w:t>
      </w:r>
      <w:r>
        <w:rPr>
          <w:rFonts w:hint="eastAsia" w:ascii="仿宋_GB2312" w:hAnsi="仿宋_GB2312" w:eastAsia="仿宋_GB2312" w:cs="仿宋_GB2312"/>
          <w:color w:val="auto"/>
          <w:kern w:val="0"/>
          <w:sz w:val="32"/>
          <w:szCs w:val="32"/>
        </w:rPr>
        <w:t>协议定点</w:t>
      </w:r>
      <w:r>
        <w:rPr>
          <w:rFonts w:ascii="仿宋_GB2312" w:hAnsi="仿宋_GB2312" w:eastAsia="仿宋_GB2312" w:cs="仿宋_GB2312"/>
          <w:color w:val="auto"/>
          <w:kern w:val="0"/>
          <w:sz w:val="32"/>
          <w:szCs w:val="32"/>
        </w:rPr>
        <w:t>医</w:t>
      </w:r>
      <w:r>
        <w:rPr>
          <w:rFonts w:hint="eastAsia" w:ascii="仿宋_GB2312" w:hAnsi="仿宋_GB2312" w:eastAsia="仿宋_GB2312" w:cs="仿宋_GB2312"/>
          <w:color w:val="auto"/>
          <w:kern w:val="0"/>
          <w:sz w:val="32"/>
          <w:szCs w:val="32"/>
        </w:rPr>
        <w:t>疗</w:t>
      </w:r>
      <w:r>
        <w:rPr>
          <w:rFonts w:ascii="仿宋_GB2312" w:hAnsi="仿宋_GB2312" w:eastAsia="仿宋_GB2312" w:cs="仿宋_GB2312"/>
          <w:color w:val="auto"/>
          <w:kern w:val="0"/>
          <w:sz w:val="32"/>
          <w:szCs w:val="32"/>
        </w:rPr>
        <w:t>机构申请表》；</w:t>
      </w:r>
    </w:p>
    <w:p w14:paraId="241D0C33">
      <w:pPr>
        <w:pStyle w:val="2"/>
        <w:keepNext w:val="0"/>
        <w:keepLines w:val="0"/>
        <w:pageBreakBefore w:val="0"/>
        <w:numPr>
          <w:ilvl w:val="0"/>
          <w:numId w:val="1"/>
        </w:numPr>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医疗机构</w:t>
      </w:r>
      <w:r>
        <w:rPr>
          <w:rFonts w:hint="eastAsia" w:ascii="仿宋_GB2312" w:hAnsi="仿宋_GB2312" w:eastAsia="仿宋_GB2312" w:cs="仿宋_GB2312"/>
          <w:color w:val="auto"/>
          <w:kern w:val="0"/>
          <w:sz w:val="32"/>
          <w:szCs w:val="32"/>
          <w:lang w:eastAsia="zh-CN"/>
        </w:rPr>
        <w:t>设置批复文件</w:t>
      </w:r>
      <w:r>
        <w:rPr>
          <w:rFonts w:hint="eastAsia" w:hAnsi="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医疗机构执业许可证或中医诊所备案证或军队医疗机构为民服务许可证</w:t>
      </w:r>
      <w:r>
        <w:rPr>
          <w:rFonts w:hint="eastAsia" w:ascii="仿宋_GB2312" w:hAnsi="仿宋_GB2312" w:eastAsia="仿宋_GB2312" w:cs="仿宋_GB2312"/>
          <w:color w:val="auto"/>
          <w:kern w:val="0"/>
          <w:sz w:val="32"/>
          <w:szCs w:val="32"/>
          <w:lang w:eastAsia="zh-CN"/>
        </w:rPr>
        <w:t>照</w:t>
      </w:r>
      <w:r>
        <w:rPr>
          <w:rFonts w:hint="eastAsia" w:ascii="仿宋_GB2312" w:hAnsi="仿宋_GB2312" w:eastAsia="仿宋_GB2312" w:cs="仿宋_GB2312"/>
          <w:color w:val="auto"/>
          <w:kern w:val="0"/>
          <w:sz w:val="32"/>
          <w:szCs w:val="32"/>
        </w:rPr>
        <w:t>复印件</w:t>
      </w:r>
      <w:r>
        <w:rPr>
          <w:rFonts w:hint="eastAsia" w:hAnsi="仿宋_GB2312" w:cs="仿宋_GB2312"/>
          <w:color w:val="auto"/>
          <w:kern w:val="0"/>
          <w:sz w:val="32"/>
          <w:szCs w:val="32"/>
          <w:lang w:eastAsia="zh-CN"/>
        </w:rPr>
        <w:t>；</w:t>
      </w:r>
    </w:p>
    <w:p w14:paraId="34D7B6FF">
      <w:pPr>
        <w:pStyle w:val="2"/>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hAnsi="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医疗机构从业人员花名册</w:t>
      </w:r>
      <w:r>
        <w:rPr>
          <w:rFonts w:hint="eastAsia" w:hAnsi="仿宋_GB2312" w:cs="仿宋_GB2312"/>
          <w:color w:val="auto"/>
          <w:kern w:val="0"/>
          <w:sz w:val="32"/>
          <w:szCs w:val="32"/>
          <w:lang w:eastAsia="zh-CN"/>
        </w:rPr>
        <w:t>；</w:t>
      </w:r>
    </w:p>
    <w:p w14:paraId="10B2E329">
      <w:pPr>
        <w:pStyle w:val="2"/>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hAnsi="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4、执业医师、护士的执业证书</w:t>
      </w:r>
      <w:r>
        <w:rPr>
          <w:rFonts w:hint="eastAsia" w:hAnsi="仿宋_GB2312" w:cs="仿宋_GB2312"/>
          <w:color w:val="auto"/>
          <w:kern w:val="0"/>
          <w:sz w:val="32"/>
          <w:szCs w:val="32"/>
          <w:lang w:val="en-US" w:eastAsia="zh-CN"/>
        </w:rPr>
        <w:t>；</w:t>
      </w:r>
    </w:p>
    <w:p w14:paraId="102D321B">
      <w:pPr>
        <w:pStyle w:val="2"/>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hAnsi="仿宋_GB2312" w:cs="仿宋_GB2312"/>
          <w:color w:val="auto"/>
          <w:kern w:val="0"/>
          <w:sz w:val="32"/>
          <w:szCs w:val="32"/>
          <w:lang w:eastAsia="zh-CN"/>
        </w:rPr>
      </w:pPr>
      <w:r>
        <w:rPr>
          <w:rFonts w:hint="eastAsia" w:hAnsi="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经营场所的房产证明或租赁协议</w:t>
      </w:r>
      <w:r>
        <w:rPr>
          <w:rFonts w:hint="eastAsia" w:hAnsi="仿宋_GB2312" w:cs="仿宋_GB2312"/>
          <w:color w:val="auto"/>
          <w:kern w:val="0"/>
          <w:sz w:val="32"/>
          <w:szCs w:val="32"/>
          <w:lang w:eastAsia="zh-CN"/>
        </w:rPr>
        <w:t>；</w:t>
      </w:r>
    </w:p>
    <w:p w14:paraId="22F178C0">
      <w:pPr>
        <w:pStyle w:val="2"/>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hAnsi="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val="en-US" w:eastAsia="zh-CN"/>
        </w:rPr>
        <w:t>大型医疗仪器设备清单及配置许可证</w:t>
      </w:r>
      <w:r>
        <w:rPr>
          <w:rFonts w:hint="eastAsia" w:hAnsi="仿宋_GB2312" w:cs="仿宋_GB2312"/>
          <w:color w:val="auto"/>
          <w:kern w:val="0"/>
          <w:sz w:val="32"/>
          <w:szCs w:val="32"/>
          <w:lang w:val="en-US" w:eastAsia="zh-CN"/>
        </w:rPr>
        <w:t>；</w:t>
      </w:r>
    </w:p>
    <w:p w14:paraId="71A16860">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、与医保政策对应的内部管理制度和财务制度文本；</w:t>
      </w:r>
    </w:p>
    <w:p w14:paraId="0AB195AA">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、与医保有关的医疗机构信息系统相关材料；</w:t>
      </w:r>
    </w:p>
    <w:p w14:paraId="579310F9">
      <w:pPr>
        <w:pStyle w:val="8"/>
        <w:keepNext w:val="0"/>
        <w:keepLines w:val="0"/>
        <w:pageBreakBefore w:val="0"/>
        <w:kinsoku/>
        <w:wordWrap/>
        <w:overflowPunct/>
        <w:topLinePunct w:val="0"/>
        <w:autoSpaceDE/>
        <w:autoSpaceDN/>
        <w:bidi w:val="0"/>
        <w:adjustRightInd/>
        <w:spacing w:line="60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、纳入定点后使用医疗保障基金的预测性分析报告</w:t>
      </w:r>
      <w:r>
        <w:rPr>
          <w:rFonts w:hint="eastAsia" w:ascii="仿宋_GB2312" w:hAnsi="仿宋_GB2312" w:eastAsia="仿宋_GB2312" w:cs="仿宋_GB2312"/>
          <w:color w:val="auto"/>
          <w:sz w:val="32"/>
          <w:szCs w:val="32"/>
          <w:lang w:eastAsia="zh-CN"/>
        </w:rPr>
        <w:t>；</w:t>
      </w:r>
    </w:p>
    <w:p w14:paraId="5227143D">
      <w:pPr>
        <w:pStyle w:val="8"/>
        <w:keepNext w:val="0"/>
        <w:keepLines w:val="0"/>
        <w:pageBreakBefore w:val="0"/>
        <w:kinsoku/>
        <w:wordWrap/>
        <w:overflowPunct/>
        <w:topLinePunct w:val="0"/>
        <w:autoSpaceDE/>
        <w:autoSpaceDN/>
        <w:bidi w:val="0"/>
        <w:adjustRightInd/>
        <w:spacing w:line="60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val="en-US" w:eastAsia="zh-CN" w:bidi="ar-SA"/>
        </w:rPr>
        <w:t>10、市级及以上医疗保障行政部门按相关规定要求提供的其他材料。</w:t>
      </w:r>
    </w:p>
    <w:p w14:paraId="31AE8110">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第</w:t>
      </w:r>
      <w:r>
        <w:rPr>
          <w:rFonts w:hint="eastAsia" w:ascii="楷体_GB2312" w:hAnsi="楷体_GB2312" w:eastAsia="楷体_GB2312" w:cs="楷体_GB2312"/>
          <w:color w:val="auto"/>
          <w:kern w:val="0"/>
          <w:sz w:val="32"/>
          <w:szCs w:val="32"/>
          <w:lang w:val="en-US" w:eastAsia="zh-CN"/>
        </w:rPr>
        <w:t>九</w:t>
      </w:r>
      <w:r>
        <w:rPr>
          <w:rFonts w:hint="eastAsia" w:ascii="楷体_GB2312" w:hAnsi="楷体_GB2312" w:eastAsia="楷体_GB2312" w:cs="楷体_GB2312"/>
          <w:color w:val="auto"/>
          <w:kern w:val="0"/>
          <w:sz w:val="32"/>
          <w:szCs w:val="32"/>
        </w:rPr>
        <w:t>条</w:t>
      </w:r>
      <w:r>
        <w:rPr>
          <w:rFonts w:hint="eastAsia" w:ascii="楷体" w:hAnsi="楷体" w:eastAsia="楷体" w:cs="楷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零售药店</w:t>
      </w:r>
      <w:r>
        <w:rPr>
          <w:rFonts w:hint="eastAsia" w:ascii="仿宋_GB2312" w:hAnsi="仿宋_GB2312" w:eastAsia="仿宋_GB2312" w:cs="仿宋_GB2312"/>
          <w:color w:val="auto"/>
          <w:kern w:val="0"/>
          <w:sz w:val="32"/>
          <w:szCs w:val="32"/>
          <w:lang w:val="en-US" w:eastAsia="zh-CN"/>
        </w:rPr>
        <w:t>提出医保定点申请</w:t>
      </w:r>
      <w:r>
        <w:rPr>
          <w:rFonts w:ascii="仿宋_GB2312" w:hAnsi="仿宋_GB2312" w:eastAsia="仿宋_GB2312" w:cs="仿宋_GB2312"/>
          <w:color w:val="auto"/>
          <w:kern w:val="0"/>
          <w:sz w:val="32"/>
          <w:szCs w:val="32"/>
        </w:rPr>
        <w:t>，需提供以下</w:t>
      </w:r>
      <w:r>
        <w:rPr>
          <w:rFonts w:hint="eastAsia" w:ascii="仿宋_GB2312" w:hAnsi="仿宋_GB2312" w:eastAsia="仿宋_GB2312" w:cs="仿宋_GB2312"/>
          <w:color w:val="auto"/>
          <w:kern w:val="0"/>
          <w:sz w:val="32"/>
          <w:szCs w:val="32"/>
        </w:rPr>
        <w:t>资料：</w:t>
      </w:r>
    </w:p>
    <w:p w14:paraId="6F054726">
      <w:pPr>
        <w:keepNext w:val="0"/>
        <w:keepLines w:val="0"/>
        <w:pageBreakBefore w:val="0"/>
        <w:numPr>
          <w:ilvl w:val="0"/>
          <w:numId w:val="2"/>
        </w:numPr>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济宁</w:t>
      </w:r>
      <w:r>
        <w:rPr>
          <w:rFonts w:ascii="仿宋_GB2312" w:hAnsi="仿宋_GB2312" w:eastAsia="仿宋_GB2312" w:cs="仿宋_GB2312"/>
          <w:color w:val="auto"/>
          <w:kern w:val="0"/>
          <w:sz w:val="32"/>
          <w:szCs w:val="32"/>
        </w:rPr>
        <w:t>市医疗保险</w:t>
      </w:r>
      <w:r>
        <w:rPr>
          <w:rFonts w:hint="eastAsia" w:ascii="仿宋_GB2312" w:hAnsi="仿宋_GB2312" w:eastAsia="仿宋_GB2312" w:cs="仿宋_GB2312"/>
          <w:color w:val="auto"/>
          <w:kern w:val="0"/>
          <w:sz w:val="32"/>
          <w:szCs w:val="32"/>
        </w:rPr>
        <w:t>协议定点零售药店</w:t>
      </w:r>
      <w:r>
        <w:rPr>
          <w:rFonts w:ascii="仿宋_GB2312" w:hAnsi="仿宋_GB2312" w:eastAsia="仿宋_GB2312" w:cs="仿宋_GB2312"/>
          <w:color w:val="auto"/>
          <w:kern w:val="0"/>
          <w:sz w:val="32"/>
          <w:szCs w:val="32"/>
        </w:rPr>
        <w:t>申请表》</w:t>
      </w:r>
      <w:r>
        <w:rPr>
          <w:rFonts w:hint="eastAsia" w:ascii="仿宋_GB2312" w:hAnsi="仿宋_GB2312" w:eastAsia="仿宋_GB2312" w:cs="仿宋_GB2312"/>
          <w:color w:val="auto"/>
          <w:kern w:val="0"/>
          <w:sz w:val="32"/>
          <w:szCs w:val="32"/>
          <w:lang w:eastAsia="zh-CN"/>
        </w:rPr>
        <w:t>；</w:t>
      </w:r>
    </w:p>
    <w:p w14:paraId="2489F847">
      <w:pPr>
        <w:pStyle w:val="3"/>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2、药品经营许可证、营业执照和法定代表人、主要负责人或实际控制人身份证复印件；</w:t>
      </w:r>
    </w:p>
    <w:p w14:paraId="56D77BA4">
      <w:pPr>
        <w:pStyle w:val="2"/>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hAnsi="仿宋_GB2312" w:cs="仿宋_GB2312"/>
          <w:color w:val="auto"/>
          <w:kern w:val="0"/>
          <w:sz w:val="32"/>
          <w:szCs w:val="32"/>
          <w:lang w:val="en-US" w:eastAsia="zh-CN" w:bidi="ar-SA"/>
        </w:rPr>
        <w:t>3、</w:t>
      </w:r>
      <w:r>
        <w:rPr>
          <w:rFonts w:hint="eastAsia" w:ascii="仿宋_GB2312" w:hAnsi="仿宋_GB2312" w:eastAsia="仿宋_GB2312" w:cs="仿宋_GB2312"/>
          <w:color w:val="auto"/>
          <w:kern w:val="0"/>
          <w:sz w:val="32"/>
          <w:szCs w:val="32"/>
          <w:lang w:val="en-US" w:eastAsia="zh-CN" w:bidi="ar-SA"/>
        </w:rPr>
        <w:t>药店从业人员花名册；</w:t>
      </w:r>
    </w:p>
    <w:p w14:paraId="3BC3DC89">
      <w:pPr>
        <w:pStyle w:val="3"/>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4、执业药师资格证书或药学技术人员相关证书及其劳动合同复印件；</w:t>
      </w:r>
    </w:p>
    <w:p w14:paraId="649C6D42">
      <w:pPr>
        <w:pStyle w:val="2"/>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hAnsi="仿宋_GB2312" w:cs="仿宋_GB2312"/>
          <w:color w:val="auto"/>
          <w:kern w:val="0"/>
          <w:sz w:val="32"/>
          <w:szCs w:val="32"/>
          <w:lang w:val="en-US" w:eastAsia="zh-CN" w:bidi="ar-SA"/>
        </w:rPr>
        <w:t>5</w:t>
      </w:r>
      <w:r>
        <w:rPr>
          <w:rFonts w:hint="eastAsia" w:ascii="仿宋_GB2312" w:hAnsi="仿宋_GB2312" w:eastAsia="仿宋_GB2312" w:cs="仿宋_GB2312"/>
          <w:color w:val="auto"/>
          <w:kern w:val="0"/>
          <w:sz w:val="32"/>
          <w:szCs w:val="32"/>
          <w:lang w:val="en-US" w:eastAsia="zh-CN" w:bidi="ar-SA"/>
        </w:rPr>
        <w:t>、经营场所的房产证明或租赁协议；</w:t>
      </w:r>
    </w:p>
    <w:p w14:paraId="2E8429E5">
      <w:pPr>
        <w:pStyle w:val="3"/>
        <w:keepNext w:val="0"/>
        <w:keepLines w:val="0"/>
        <w:pageBreakBefore w:val="0"/>
        <w:kinsoku/>
        <w:wordWrap/>
        <w:overflowPunct/>
        <w:topLinePunct w:val="0"/>
        <w:autoSpaceDE/>
        <w:autoSpaceDN/>
        <w:bidi w:val="0"/>
        <w:adjustRightInd/>
        <w:spacing w:line="600" w:lineRule="exact"/>
        <w:ind w:left="63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6、医保专（兼）职管理人员的劳动合同复印件；</w:t>
      </w:r>
    </w:p>
    <w:p w14:paraId="449D53BC">
      <w:pPr>
        <w:pStyle w:val="3"/>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7、与医疗保障政策对应的内部管理制度和财务制度文本;</w:t>
      </w:r>
    </w:p>
    <w:p w14:paraId="40DD6CE5">
      <w:pPr>
        <w:pStyle w:val="3"/>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8、与医保有关的信息系统相关材料；</w:t>
      </w:r>
    </w:p>
    <w:p w14:paraId="20D7BC38">
      <w:pPr>
        <w:pStyle w:val="3"/>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9、纳入定点后使用医疗保障基金的预测性分析报告；</w:t>
      </w:r>
    </w:p>
    <w:p w14:paraId="75324B2E">
      <w:pPr>
        <w:pStyle w:val="8"/>
        <w:keepNext w:val="0"/>
        <w:keepLines w:val="0"/>
        <w:pageBreakBefore w:val="0"/>
        <w:kinsoku/>
        <w:wordWrap/>
        <w:overflowPunct/>
        <w:topLinePunct w:val="0"/>
        <w:autoSpaceDE/>
        <w:autoSpaceDN/>
        <w:bidi w:val="0"/>
        <w:adjustRightInd/>
        <w:spacing w:line="600" w:lineRule="exact"/>
        <w:ind w:firstLine="64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10、市级及以上医疗保障行政部门按相关规定要求提供的其他材料。</w:t>
      </w:r>
    </w:p>
    <w:p w14:paraId="42662B5E">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kern w:val="0"/>
          <w:sz w:val="32"/>
          <w:szCs w:val="32"/>
          <w:lang w:val="en-US" w:eastAsia="zh-CN" w:bidi="ar-SA"/>
        </w:rPr>
        <w:t>第十条</w:t>
      </w:r>
      <w:r>
        <w:rPr>
          <w:rFonts w:hint="eastAsia" w:ascii="仿宋_GB2312" w:hAnsi="仿宋_GB2312" w:eastAsia="仿宋_GB2312" w:cs="仿宋_GB2312"/>
          <w:color w:val="auto"/>
          <w:sz w:val="32"/>
          <w:szCs w:val="32"/>
        </w:rPr>
        <w:t xml:space="preserve"> 医疗机构有下列情形之一的，不予受理定点申请：</w:t>
      </w:r>
    </w:p>
    <w:p w14:paraId="40FE4D09">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（一）以医疗美容、生活照护、种植牙等非基本医疗服务为主要执业范围的；</w:t>
      </w:r>
    </w:p>
    <w:p w14:paraId="470A6464">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（二）基本医疗服务未执行医疗保障行政部门制定的医药价格政策的；</w:t>
      </w:r>
    </w:p>
    <w:p w14:paraId="052D02E2">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（三）未依法履行行政处罚责任的；</w:t>
      </w:r>
    </w:p>
    <w:p w14:paraId="3DCE5CAE">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（四）以弄虚作假等不正当手段申请定点，自发现之日起未满3年的；</w:t>
      </w:r>
    </w:p>
    <w:p w14:paraId="0D9B2BB0">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（五）因违法违规被解除医保协议未满3年或已满3年但未完全履行行政处罚法律责任的；</w:t>
      </w:r>
    </w:p>
    <w:p w14:paraId="31B87259">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（六）因严重违反医保协议约定而被解除协议未满1年或已满1年但未完全履行违约责任的；</w:t>
      </w:r>
    </w:p>
    <w:p w14:paraId="3CB2D211">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（七）法定代表人、主要负责人或实际控制人曾因严重违法违规导致原定点医疗机构被解除医保协议，未满5年的；</w:t>
      </w:r>
    </w:p>
    <w:p w14:paraId="20E9C2A2">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（八）法定代表人、主要负责人或实际控制人被列入失信人名单的；</w:t>
      </w:r>
    </w:p>
    <w:p w14:paraId="057CF4D1">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（九）法律法规规定的其他不予受理的情形。</w:t>
      </w:r>
    </w:p>
    <w:p w14:paraId="288B97ED">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kern w:val="0"/>
          <w:sz w:val="32"/>
          <w:szCs w:val="32"/>
          <w:lang w:val="en-US" w:eastAsia="zh-CN" w:bidi="ar-SA"/>
        </w:rPr>
        <w:t>第十一条</w:t>
      </w:r>
      <w:r>
        <w:rPr>
          <w:rFonts w:hint="eastAsia" w:ascii="楷体" w:hAnsi="楷体" w:eastAsia="楷体" w:cs="楷体"/>
          <w:color w:val="auto"/>
          <w:sz w:val="32"/>
          <w:szCs w:val="32"/>
        </w:rPr>
        <w:t xml:space="preserve"> </w:t>
      </w:r>
      <w:r>
        <w:rPr>
          <w:rFonts w:hint="eastAsia" w:ascii="仿宋_GB2312" w:hAnsi="仿宋_GB2312" w:eastAsia="仿宋_GB2312" w:cs="仿宋_GB2312"/>
          <w:color w:val="auto"/>
          <w:sz w:val="32"/>
          <w:szCs w:val="32"/>
        </w:rPr>
        <w:t>零售药店有下列情形之一的，不予受理定点申请：</w:t>
      </w:r>
    </w:p>
    <w:p w14:paraId="6301BBBF">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（一）未依法履行行政处罚责任的；</w:t>
      </w:r>
    </w:p>
    <w:p w14:paraId="00DE4A0A">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（二）以弄虚作假等不正当手段申请定点，自发现之日起未满3年的；</w:t>
      </w:r>
    </w:p>
    <w:p w14:paraId="36E094FE">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（三）因违法违规被解除医保协议未满3年或已满3年但未完全履行行政处罚法律责任的；</w:t>
      </w:r>
    </w:p>
    <w:p w14:paraId="14B76065">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（四）因严重违反医保协议约定而被解除医保协议未满1年或已满1年但未完全履行违约责任的；</w:t>
      </w:r>
    </w:p>
    <w:p w14:paraId="3C229334">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（五）法定代表人、企业负责人或实际控制人曾因严重违法违规导致原定点零售药店被解除医保协议，未满5年的；</w:t>
      </w:r>
    </w:p>
    <w:p w14:paraId="799DABFD">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（六）法定代表人、企业负责人或实际控制人被列入失信人名单的；</w:t>
      </w:r>
    </w:p>
    <w:p w14:paraId="1E9A92FE">
      <w:pPr>
        <w:pStyle w:val="8"/>
        <w:keepNext w:val="0"/>
        <w:keepLines w:val="0"/>
        <w:pageBreakBefore w:val="0"/>
        <w:kinsoku/>
        <w:wordWrap/>
        <w:overflowPunct/>
        <w:topLinePunct w:val="0"/>
        <w:autoSpaceDE/>
        <w:autoSpaceDN/>
        <w:bidi w:val="0"/>
        <w:adjustRightInd/>
        <w:spacing w:line="600" w:lineRule="exact"/>
        <w:ind w:firstLine="640"/>
        <w:textAlignment w:val="auto"/>
        <w:rPr>
          <w:rFonts w:eastAsia="宋体"/>
          <w:color w:val="auto"/>
        </w:rPr>
      </w:pPr>
      <w:r>
        <w:rPr>
          <w:rFonts w:hint="eastAsia" w:ascii="仿宋_GB2312" w:hAnsi="仿宋_GB2312" w:eastAsia="仿宋_GB2312" w:cs="仿宋_GB2312"/>
          <w:color w:val="auto"/>
          <w:sz w:val="32"/>
          <w:szCs w:val="32"/>
        </w:rPr>
        <w:t>（七）法律法规规定的其他不予受理的情形。</w:t>
      </w:r>
    </w:p>
    <w:p w14:paraId="76D9FD7D">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rPr>
        <w:t>第十</w:t>
      </w:r>
      <w:r>
        <w:rPr>
          <w:rFonts w:hint="eastAsia" w:ascii="楷体_GB2312" w:hAnsi="楷体_GB2312" w:eastAsia="楷体_GB2312" w:cs="楷体_GB2312"/>
          <w:color w:val="auto"/>
          <w:kern w:val="0"/>
          <w:sz w:val="32"/>
          <w:szCs w:val="32"/>
          <w:highlight w:val="none"/>
          <w:lang w:val="en-US" w:eastAsia="zh-CN"/>
        </w:rPr>
        <w:t>二</w:t>
      </w:r>
      <w:r>
        <w:rPr>
          <w:rFonts w:hint="eastAsia" w:ascii="楷体_GB2312" w:hAnsi="楷体_GB2312" w:eastAsia="楷体_GB2312" w:cs="楷体_GB2312"/>
          <w:color w:val="auto"/>
          <w:kern w:val="0"/>
          <w:sz w:val="32"/>
          <w:szCs w:val="32"/>
          <w:highlight w:val="none"/>
        </w:rPr>
        <w:t>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rPr>
        <w:t>即时受理，限时办理。按照属地管理原则，医药机构通过山东省定点医药机构动态管理系统向所属医保经办机构提出申请，对申请材料内容不全的，经办机构自收到申请之日起5个工作日内一次性告知医药机构补充。所属医保经办机构应对提出申请且符合条件的医药机构即时受理、即时评审，自受理申请材料之日起，受理时限不超过45个工作日，医药机构补充材料时间不计入办理时限。</w:t>
      </w:r>
    </w:p>
    <w:p w14:paraId="7E982F42">
      <w:pPr>
        <w:pStyle w:val="2"/>
        <w:rPr>
          <w:color w:val="auto"/>
        </w:rPr>
      </w:pPr>
    </w:p>
    <w:p w14:paraId="73223EE4">
      <w:pPr>
        <w:keepNext w:val="0"/>
        <w:keepLines w:val="0"/>
        <w:pageBreakBefore w:val="0"/>
        <w:kinsoku/>
        <w:wordWrap/>
        <w:overflowPunct/>
        <w:topLinePunct w:val="0"/>
        <w:autoSpaceDE/>
        <w:autoSpaceDN/>
        <w:bidi w:val="0"/>
        <w:adjustRightInd/>
        <w:spacing w:line="600" w:lineRule="exact"/>
        <w:ind w:firstLine="3200" w:firstLineChars="1000"/>
        <w:textAlignment w:val="auto"/>
        <w:rPr>
          <w:rFonts w:ascii="黑体" w:hAnsi="宋体" w:eastAsia="黑体" w:cs="宋体"/>
          <w:color w:val="auto"/>
          <w:kern w:val="0"/>
          <w:sz w:val="32"/>
          <w:szCs w:val="32"/>
        </w:rPr>
      </w:pPr>
      <w:r>
        <w:rPr>
          <w:rFonts w:hint="eastAsia" w:ascii="黑体" w:hAnsi="黑体" w:eastAsia="黑体" w:cs="黑体"/>
          <w:color w:val="auto"/>
          <w:kern w:val="0"/>
          <w:sz w:val="32"/>
          <w:szCs w:val="32"/>
        </w:rPr>
        <w:t>第三章 审核评估</w:t>
      </w:r>
    </w:p>
    <w:p w14:paraId="53B72085">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楷体" w:hAnsi="楷体" w:eastAsia="楷体" w:cs="楷体"/>
          <w:color w:val="auto"/>
          <w:kern w:val="0"/>
          <w:sz w:val="32"/>
          <w:szCs w:val="32"/>
        </w:rPr>
      </w:pPr>
      <w:r>
        <w:rPr>
          <w:rFonts w:hint="eastAsia" w:ascii="楷体_GB2312" w:hAnsi="楷体_GB2312" w:eastAsia="楷体_GB2312" w:cs="楷体_GB2312"/>
          <w:color w:val="auto"/>
          <w:kern w:val="0"/>
          <w:sz w:val="32"/>
          <w:szCs w:val="32"/>
        </w:rPr>
        <w:t>第十三条</w:t>
      </w:r>
      <w:r>
        <w:rPr>
          <w:rFonts w:hint="eastAsia" w:ascii="楷体" w:hAnsi="楷体" w:eastAsia="楷体" w:cs="楷体"/>
          <w:color w:val="auto"/>
          <w:kern w:val="0"/>
          <w:sz w:val="32"/>
          <w:szCs w:val="32"/>
        </w:rPr>
        <w:t xml:space="preserve"> </w:t>
      </w:r>
      <w:r>
        <w:rPr>
          <w:rFonts w:hint="eastAsia" w:ascii="仿宋_GB2312" w:hAnsi="仿宋_GB2312" w:eastAsia="仿宋_GB2312" w:cs="仿宋_GB2312"/>
          <w:color w:val="auto"/>
          <w:kern w:val="0"/>
          <w:sz w:val="32"/>
          <w:szCs w:val="32"/>
        </w:rPr>
        <w:t>材料信息审核。经办机构工作人员对医药机构</w:t>
      </w:r>
      <w:r>
        <w:rPr>
          <w:rFonts w:hint="eastAsia" w:ascii="仿宋_GB2312" w:hAnsi="仿宋_GB2312" w:eastAsia="仿宋_GB2312" w:cs="仿宋_GB2312"/>
          <w:color w:val="auto"/>
          <w:kern w:val="0"/>
          <w:sz w:val="32"/>
          <w:szCs w:val="32"/>
          <w:lang w:eastAsia="zh-CN"/>
        </w:rPr>
        <w:t>提交的</w:t>
      </w:r>
      <w:r>
        <w:rPr>
          <w:rFonts w:hint="eastAsia" w:ascii="仿宋_GB2312" w:hAnsi="仿宋_GB2312" w:eastAsia="仿宋_GB2312" w:cs="仿宋_GB2312"/>
          <w:color w:val="auto"/>
          <w:kern w:val="0"/>
          <w:sz w:val="32"/>
          <w:szCs w:val="32"/>
        </w:rPr>
        <w:t>申报材料和信息进行审核。</w:t>
      </w:r>
    </w:p>
    <w:p w14:paraId="2834CAC1">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eastAsia="仿宋_GB2312"/>
          <w:color w:val="auto"/>
          <w:sz w:val="32"/>
          <w:szCs w:val="32"/>
          <w:highlight w:val="none"/>
        </w:rPr>
      </w:pPr>
      <w:r>
        <w:rPr>
          <w:rFonts w:hint="eastAsia" w:ascii="楷体_GB2312" w:hAnsi="楷体_GB2312" w:eastAsia="楷体_GB2312" w:cs="楷体_GB2312"/>
          <w:color w:val="auto"/>
          <w:kern w:val="0"/>
          <w:sz w:val="32"/>
          <w:szCs w:val="32"/>
          <w:highlight w:val="none"/>
        </w:rPr>
        <w:t>第十四条</w:t>
      </w:r>
      <w:r>
        <w:rPr>
          <w:rFonts w:hint="eastAsia" w:ascii="仿宋_GB2312" w:hAnsi="仿宋_GB2312" w:eastAsia="仿宋_GB2312" w:cs="仿宋_GB2312"/>
          <w:color w:val="auto"/>
          <w:kern w:val="0"/>
          <w:sz w:val="32"/>
          <w:szCs w:val="32"/>
          <w:highlight w:val="none"/>
        </w:rPr>
        <w:t xml:space="preserve"> 现场考察及评估。经办机构可组织评估小组或委托第三方机构，</w:t>
      </w:r>
      <w:r>
        <w:rPr>
          <w:rFonts w:hint="eastAsia" w:ascii="仿宋_GB2312" w:hAnsi="宋体" w:eastAsia="仿宋_GB2312" w:cs="宋体"/>
          <w:color w:val="auto"/>
          <w:kern w:val="0"/>
          <w:sz w:val="32"/>
          <w:szCs w:val="32"/>
          <w:highlight w:val="none"/>
        </w:rPr>
        <w:t>以书面、现场等形式开展评估，主要针对医药机构申报的材料、医药机构内部管理、信息化建设、医疗服务能力等情况是否符合医保管理要求进行评估，具体</w:t>
      </w:r>
      <w:r>
        <w:rPr>
          <w:rFonts w:hint="eastAsia" w:ascii="仿宋_GB2312" w:eastAsia="仿宋_GB2312"/>
          <w:color w:val="auto"/>
          <w:sz w:val="32"/>
          <w:szCs w:val="32"/>
          <w:highlight w:val="none"/>
        </w:rPr>
        <w:t>评估标准详见附件。</w:t>
      </w:r>
    </w:p>
    <w:p w14:paraId="5A210B31">
      <w:pPr>
        <w:keepNext w:val="0"/>
        <w:keepLines w:val="0"/>
        <w:pageBreakBefore w:val="0"/>
        <w:widowControl/>
        <w:kinsoku/>
        <w:wordWrap/>
        <w:overflowPunct/>
        <w:topLinePunct w:val="0"/>
        <w:autoSpaceDE/>
        <w:autoSpaceDN/>
        <w:bidi w:val="0"/>
        <w:adjustRightInd/>
        <w:spacing w:line="600" w:lineRule="exact"/>
        <w:ind w:firstLine="640"/>
        <w:jc w:val="left"/>
        <w:textAlignment w:val="auto"/>
        <w:rPr>
          <w:color w:val="auto"/>
        </w:rPr>
      </w:pPr>
      <w:r>
        <w:rPr>
          <w:rFonts w:hint="eastAsia" w:ascii="仿宋_GB2312" w:hAnsi="仿宋_GB2312" w:eastAsia="仿宋_GB2312" w:cs="仿宋_GB2312"/>
          <w:color w:val="auto"/>
          <w:kern w:val="0"/>
          <w:sz w:val="32"/>
          <w:szCs w:val="32"/>
        </w:rPr>
        <w:t>评估结果分为合格和不合格，</w:t>
      </w:r>
      <w:r>
        <w:rPr>
          <w:rFonts w:hint="eastAsia" w:ascii="仿宋_GB2312" w:hAnsi="宋体" w:eastAsia="仿宋_GB2312" w:cs="宋体"/>
          <w:color w:val="auto"/>
          <w:kern w:val="0"/>
          <w:sz w:val="32"/>
          <w:szCs w:val="32"/>
        </w:rPr>
        <w:t>各经办机构应将评估结果</w:t>
      </w:r>
      <w:r>
        <w:rPr>
          <w:rFonts w:hint="eastAsia" w:ascii="仿宋_GB2312" w:hAnsi="仿宋_GB2312" w:eastAsia="仿宋_GB2312" w:cs="仿宋_GB2312"/>
          <w:color w:val="auto"/>
          <w:kern w:val="0"/>
          <w:sz w:val="32"/>
          <w:szCs w:val="32"/>
          <w:lang w:val="en-US" w:eastAsia="zh-CN"/>
        </w:rPr>
        <w:t>报同级医疗保障行政部门备案。</w:t>
      </w:r>
      <w:r>
        <w:rPr>
          <w:rFonts w:hint="eastAsia" w:ascii="仿宋_GB2312" w:hAnsi="宋体" w:eastAsia="仿宋_GB2312" w:cs="宋体"/>
          <w:color w:val="auto"/>
          <w:kern w:val="0"/>
          <w:sz w:val="32"/>
          <w:szCs w:val="32"/>
        </w:rPr>
        <w:t>评估结果为合格的，经公示无异议后，可以进行协商谈判、签订协议；对于评估不合格的，经办机构应告知其理由，提出整改建议。自评估结果告知之日起，整改3个月后可再次组织评估，评估仍不合格的，1年内不得再次申请。</w:t>
      </w:r>
    </w:p>
    <w:p w14:paraId="7380508D">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黑体" w:hAnsi="黑体" w:eastAsia="黑体" w:cs="黑体"/>
          <w:color w:val="auto"/>
          <w:kern w:val="0"/>
          <w:sz w:val="32"/>
          <w:szCs w:val="32"/>
        </w:rPr>
      </w:pPr>
    </w:p>
    <w:p w14:paraId="6EFC0BB1">
      <w:pPr>
        <w:keepNext w:val="0"/>
        <w:keepLines w:val="0"/>
        <w:pageBreakBefore w:val="0"/>
        <w:widowControl/>
        <w:kinsoku/>
        <w:wordWrap/>
        <w:overflowPunct/>
        <w:topLinePunct w:val="0"/>
        <w:autoSpaceDE/>
        <w:autoSpaceDN/>
        <w:bidi w:val="0"/>
        <w:adjustRightInd/>
        <w:spacing w:line="600" w:lineRule="exact"/>
        <w:jc w:val="center"/>
        <w:textAlignment w:val="auto"/>
        <w:rPr>
          <w:rFonts w:ascii="楷体_GB2312" w:hAnsi="宋体" w:eastAsia="黑体" w:cs="宋体"/>
          <w:color w:val="auto"/>
          <w:kern w:val="0"/>
          <w:sz w:val="32"/>
          <w:szCs w:val="32"/>
        </w:rPr>
      </w:pPr>
      <w:r>
        <w:rPr>
          <w:rFonts w:hint="eastAsia" w:ascii="黑体" w:hAnsi="黑体" w:eastAsia="黑体" w:cs="黑体"/>
          <w:color w:val="auto"/>
          <w:kern w:val="0"/>
          <w:sz w:val="32"/>
          <w:szCs w:val="32"/>
        </w:rPr>
        <w:t xml:space="preserve">第四章 </w:t>
      </w:r>
      <w:r>
        <w:rPr>
          <w:rFonts w:hint="eastAsia" w:ascii="黑体" w:hAnsi="黑体" w:eastAsia="黑体" w:cs="宋体"/>
          <w:color w:val="auto"/>
          <w:kern w:val="0"/>
          <w:sz w:val="32"/>
          <w:szCs w:val="32"/>
        </w:rPr>
        <w:t>结果公示</w:t>
      </w:r>
    </w:p>
    <w:p w14:paraId="37FEE1F4">
      <w:pPr>
        <w:keepNext w:val="0"/>
        <w:keepLines w:val="0"/>
        <w:pageBreakBefore w:val="0"/>
        <w:widowControl/>
        <w:kinsoku/>
        <w:wordWrap/>
        <w:overflowPunct/>
        <w:topLinePunct w:val="0"/>
        <w:autoSpaceDE/>
        <w:autoSpaceDN/>
        <w:bidi w:val="0"/>
        <w:adjustRightInd/>
        <w:spacing w:line="600" w:lineRule="exact"/>
        <w:ind w:firstLine="640"/>
        <w:jc w:val="left"/>
        <w:textAlignment w:val="auto"/>
        <w:rPr>
          <w:rFonts w:ascii="仿宋_GB2312" w:hAnsi="宋体" w:eastAsia="仿宋_GB2312" w:cs="宋体"/>
          <w:color w:val="auto"/>
          <w:kern w:val="0"/>
          <w:sz w:val="32"/>
          <w:szCs w:val="32"/>
        </w:rPr>
      </w:pPr>
      <w:r>
        <w:rPr>
          <w:rFonts w:hint="eastAsia" w:ascii="楷体_GB2312" w:hAnsi="楷体_GB2312" w:eastAsia="楷体_GB2312" w:cs="楷体_GB2312"/>
          <w:color w:val="auto"/>
          <w:kern w:val="0"/>
          <w:sz w:val="32"/>
          <w:szCs w:val="32"/>
        </w:rPr>
        <w:t>第十五条</w:t>
      </w:r>
      <w:r>
        <w:rPr>
          <w:rFonts w:hint="eastAsia" w:ascii="楷体" w:hAnsi="楷体" w:eastAsia="楷体" w:cs="楷体"/>
          <w:color w:val="auto"/>
          <w:kern w:val="0"/>
          <w:sz w:val="32"/>
          <w:szCs w:val="32"/>
          <w:lang w:val="en-US" w:eastAsia="zh-CN"/>
        </w:rPr>
        <w:t xml:space="preserve"> </w:t>
      </w:r>
      <w:r>
        <w:rPr>
          <w:rFonts w:hint="eastAsia" w:ascii="仿宋_GB2312" w:hAnsi="宋体" w:eastAsia="仿宋_GB2312" w:cs="宋体"/>
          <w:color w:val="auto"/>
          <w:kern w:val="0"/>
          <w:sz w:val="32"/>
          <w:szCs w:val="32"/>
        </w:rPr>
        <w:t>对于评估合格的医药机构，属地经办机构应及时将其纳入拟签订协议医药机构名单，并向社会公示，公示期为5个工作日。公示期间接受社会监督，并对接到的相关举报投诉认真进行调查核实，情况属实的，不得进行协商谈判以及签订服务协议。</w:t>
      </w:r>
    </w:p>
    <w:p w14:paraId="734E9EBD">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黑体" w:hAnsi="黑体" w:eastAsia="黑体" w:cs="宋体"/>
          <w:color w:val="auto"/>
          <w:kern w:val="0"/>
          <w:sz w:val="32"/>
          <w:szCs w:val="32"/>
        </w:rPr>
      </w:pPr>
    </w:p>
    <w:p w14:paraId="1574582E">
      <w:pPr>
        <w:keepNext w:val="0"/>
        <w:keepLines w:val="0"/>
        <w:pageBreakBefore w:val="0"/>
        <w:widowControl/>
        <w:kinsoku/>
        <w:wordWrap/>
        <w:overflowPunct/>
        <w:topLinePunct w:val="0"/>
        <w:autoSpaceDE/>
        <w:autoSpaceDN/>
        <w:bidi w:val="0"/>
        <w:adjustRightInd/>
        <w:spacing w:line="600" w:lineRule="exact"/>
        <w:jc w:val="center"/>
        <w:textAlignment w:val="auto"/>
        <w:rPr>
          <w:rFonts w:ascii="仿宋_GB2312" w:hAnsi="宋体" w:eastAsia="仿宋_GB2312" w:cs="宋体"/>
          <w:color w:val="auto"/>
          <w:kern w:val="0"/>
          <w:sz w:val="32"/>
          <w:szCs w:val="32"/>
        </w:rPr>
      </w:pPr>
      <w:r>
        <w:rPr>
          <w:rFonts w:hint="eastAsia" w:ascii="黑体" w:hAnsi="黑体" w:eastAsia="黑体" w:cs="宋体"/>
          <w:color w:val="auto"/>
          <w:kern w:val="0"/>
          <w:sz w:val="32"/>
          <w:szCs w:val="32"/>
        </w:rPr>
        <w:t>第五章</w:t>
      </w:r>
      <w:r>
        <w:rPr>
          <w:rFonts w:hint="eastAsia" w:ascii="黑体" w:hAnsi="黑体" w:eastAsia="黑体" w:cs="宋体"/>
          <w:color w:val="auto"/>
          <w:kern w:val="0"/>
          <w:sz w:val="32"/>
          <w:szCs w:val="32"/>
          <w:lang w:val="en-US" w:eastAsia="zh-CN"/>
        </w:rPr>
        <w:t xml:space="preserve"> </w:t>
      </w:r>
      <w:r>
        <w:rPr>
          <w:rFonts w:hint="eastAsia" w:ascii="黑体" w:hAnsi="黑体" w:eastAsia="黑体" w:cs="黑体"/>
          <w:color w:val="auto"/>
          <w:kern w:val="0"/>
          <w:sz w:val="32"/>
          <w:szCs w:val="32"/>
        </w:rPr>
        <w:t>协商谈判</w:t>
      </w:r>
    </w:p>
    <w:p w14:paraId="76D93466">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仿宋_GB2312" w:hAnsi="宋体" w:eastAsia="仿宋_GB2312" w:cs="宋体"/>
          <w:color w:val="auto"/>
          <w:kern w:val="0"/>
          <w:sz w:val="32"/>
          <w:szCs w:val="32"/>
        </w:rPr>
      </w:pPr>
      <w:r>
        <w:rPr>
          <w:rFonts w:hint="eastAsia" w:ascii="楷体_GB2312" w:hAnsi="楷体_GB2312" w:eastAsia="楷体_GB2312" w:cs="楷体_GB2312"/>
          <w:color w:val="auto"/>
          <w:kern w:val="0"/>
          <w:sz w:val="32"/>
          <w:szCs w:val="32"/>
        </w:rPr>
        <w:t>第十六条</w:t>
      </w:r>
      <w:r>
        <w:rPr>
          <w:rFonts w:hint="eastAsia" w:ascii="楷体" w:hAnsi="楷体" w:eastAsia="楷体" w:cs="楷体"/>
          <w:color w:val="auto"/>
          <w:kern w:val="0"/>
          <w:sz w:val="32"/>
          <w:szCs w:val="32"/>
          <w:lang w:val="en-US" w:eastAsia="zh-CN"/>
        </w:rPr>
        <w:t xml:space="preserve"> </w:t>
      </w:r>
      <w:r>
        <w:rPr>
          <w:rFonts w:hint="eastAsia" w:ascii="仿宋_GB2312" w:hAnsi="楷体" w:eastAsia="仿宋_GB2312" w:cs="楷体"/>
          <w:color w:val="auto"/>
          <w:kern w:val="0"/>
          <w:sz w:val="32"/>
          <w:szCs w:val="32"/>
        </w:rPr>
        <w:t>公示期结束后，</w:t>
      </w:r>
      <w:r>
        <w:rPr>
          <w:rFonts w:hint="eastAsia" w:ascii="仿宋_GB2312" w:hAnsi="宋体" w:eastAsia="仿宋_GB2312" w:cs="宋体"/>
          <w:color w:val="auto"/>
          <w:kern w:val="0"/>
          <w:sz w:val="32"/>
          <w:szCs w:val="32"/>
        </w:rPr>
        <w:t>属地经办机构依据评估结果与拟新增的协议管理医药机构进行协商谈判，谈判主要内容包括服务人群、服务范围、服务内容、服务质量、基金支付方式、审核结算办法、违约情形和责任、协议时效及争议处理等。</w:t>
      </w:r>
    </w:p>
    <w:p w14:paraId="239267A4">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黑体" w:hAnsi="黑体" w:eastAsia="黑体" w:cs="宋体"/>
          <w:color w:val="auto"/>
          <w:kern w:val="0"/>
          <w:sz w:val="32"/>
          <w:szCs w:val="32"/>
        </w:rPr>
      </w:pPr>
    </w:p>
    <w:p w14:paraId="6823B332">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第六章</w:t>
      </w:r>
      <w:r>
        <w:rPr>
          <w:rFonts w:hint="eastAsia" w:ascii="黑体" w:hAnsi="黑体" w:eastAsia="黑体" w:cs="宋体"/>
          <w:color w:val="auto"/>
          <w:kern w:val="0"/>
          <w:sz w:val="32"/>
          <w:szCs w:val="32"/>
          <w:lang w:val="en-US" w:eastAsia="zh-CN"/>
        </w:rPr>
        <w:t xml:space="preserve"> </w:t>
      </w:r>
      <w:r>
        <w:rPr>
          <w:rFonts w:hint="eastAsia" w:ascii="黑体" w:hAnsi="黑体" w:eastAsia="黑体" w:cs="宋体"/>
          <w:color w:val="auto"/>
          <w:kern w:val="0"/>
          <w:sz w:val="32"/>
          <w:szCs w:val="32"/>
        </w:rPr>
        <w:t>协议签订</w:t>
      </w:r>
    </w:p>
    <w:p w14:paraId="332B3F7E">
      <w:pPr>
        <w:keepNext w:val="0"/>
        <w:keepLines w:val="0"/>
        <w:pageBreakBefore w:val="0"/>
        <w:widowControl/>
        <w:kinsoku/>
        <w:wordWrap/>
        <w:overflowPunct/>
        <w:topLinePunct w:val="0"/>
        <w:autoSpaceDE/>
        <w:autoSpaceDN/>
        <w:bidi w:val="0"/>
        <w:adjustRightInd/>
        <w:spacing w:line="600" w:lineRule="exact"/>
        <w:jc w:val="left"/>
        <w:textAlignment w:val="auto"/>
        <w:rPr>
          <w:rFonts w:ascii="仿宋_GB2312" w:hAnsi="宋体" w:eastAsia="仿宋_GB2312" w:cs="宋体"/>
          <w:color w:val="auto"/>
          <w:kern w:val="0"/>
          <w:sz w:val="32"/>
          <w:szCs w:val="32"/>
        </w:rPr>
      </w:pPr>
      <w:r>
        <w:rPr>
          <w:rFonts w:hint="eastAsia" w:ascii="黑体" w:hAnsi="黑体" w:eastAsia="黑体" w:cs="宋体"/>
          <w:color w:val="auto"/>
          <w:kern w:val="0"/>
          <w:sz w:val="32"/>
          <w:szCs w:val="32"/>
          <w:lang w:val="en-US" w:eastAsia="zh-CN"/>
        </w:rPr>
        <w:t xml:space="preserve">    </w:t>
      </w:r>
      <w:r>
        <w:rPr>
          <w:rFonts w:hint="eastAsia" w:ascii="楷体_GB2312" w:hAnsi="楷体_GB2312" w:eastAsia="楷体_GB2312" w:cs="楷体_GB2312"/>
          <w:color w:val="auto"/>
          <w:kern w:val="0"/>
          <w:sz w:val="32"/>
          <w:szCs w:val="32"/>
        </w:rPr>
        <w:t>第十七条</w:t>
      </w:r>
      <w:r>
        <w:rPr>
          <w:rFonts w:hint="eastAsia" w:ascii="楷体" w:hAnsi="楷体" w:eastAsia="楷体" w:cs="楷体"/>
          <w:color w:val="auto"/>
          <w:kern w:val="0"/>
          <w:sz w:val="32"/>
          <w:szCs w:val="32"/>
          <w:lang w:val="en-US" w:eastAsia="zh-CN"/>
        </w:rPr>
        <w:t xml:space="preserve"> </w:t>
      </w:r>
      <w:r>
        <w:rPr>
          <w:rFonts w:hint="eastAsia" w:ascii="仿宋_GB2312" w:hAnsi="宋体" w:eastAsia="仿宋_GB2312" w:cs="宋体"/>
          <w:color w:val="auto"/>
          <w:kern w:val="0"/>
          <w:sz w:val="32"/>
          <w:szCs w:val="32"/>
        </w:rPr>
        <w:t>协商谈判达成一致意见的，属地经办机构应及时与新增医药机构签订全市医保服务协议。无法达成一致意见的</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不签订协议。评估结果仅供经办机构当次签订使用。</w:t>
      </w:r>
    </w:p>
    <w:p w14:paraId="40FC83B9">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黑体" w:hAnsi="黑体" w:eastAsia="黑体" w:cs="黑体"/>
          <w:color w:val="auto"/>
          <w:kern w:val="0"/>
          <w:sz w:val="32"/>
          <w:szCs w:val="32"/>
        </w:rPr>
      </w:pPr>
      <w:r>
        <w:rPr>
          <w:rFonts w:hint="eastAsia" w:ascii="楷体_GB2312" w:hAnsi="楷体_GB2312" w:eastAsia="楷体_GB2312" w:cs="楷体_GB2312"/>
          <w:color w:val="auto"/>
          <w:kern w:val="0"/>
          <w:sz w:val="32"/>
          <w:szCs w:val="32"/>
        </w:rPr>
        <w:t>第十八条</w:t>
      </w:r>
      <w:r>
        <w:rPr>
          <w:rFonts w:hint="eastAsia" w:ascii="楷体" w:hAnsi="楷体" w:eastAsia="楷体" w:cs="楷体"/>
          <w:color w:val="auto"/>
          <w:kern w:val="0"/>
          <w:sz w:val="32"/>
          <w:szCs w:val="32"/>
        </w:rPr>
        <w:t xml:space="preserve"> </w:t>
      </w:r>
      <w:r>
        <w:rPr>
          <w:rFonts w:hint="eastAsia" w:ascii="仿宋_GB2312" w:hAnsi="宋体" w:eastAsia="仿宋_GB2312" w:cs="宋体"/>
          <w:color w:val="auto"/>
          <w:kern w:val="0"/>
          <w:sz w:val="32"/>
          <w:szCs w:val="32"/>
        </w:rPr>
        <w:t>属地经办机构与医药机构签订医疗保险服务协议，</w:t>
      </w:r>
      <w:r>
        <w:rPr>
          <w:rFonts w:hint="eastAsia" w:ascii="仿宋_GB2312" w:hAnsi="仿宋_GB2312" w:eastAsia="仿宋_GB2312" w:cs="仿宋_GB2312"/>
          <w:color w:val="auto"/>
          <w:kern w:val="0"/>
          <w:sz w:val="32"/>
          <w:szCs w:val="32"/>
          <w:lang w:val="en-US" w:eastAsia="zh-CN"/>
        </w:rPr>
        <w:t>向同级医疗保障行政部门备案。</w:t>
      </w:r>
      <w:r>
        <w:rPr>
          <w:rFonts w:hint="eastAsia" w:ascii="仿宋_GB2312" w:hAnsi="宋体" w:eastAsia="仿宋_GB2312" w:cs="宋体"/>
          <w:color w:val="auto"/>
          <w:kern w:val="0"/>
          <w:sz w:val="32"/>
          <w:szCs w:val="32"/>
        </w:rPr>
        <w:t>医保协议应明确双方权利、义务和责任。协议期限一般为1年，原则上不跨年。</w:t>
      </w:r>
    </w:p>
    <w:p w14:paraId="79497863">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第十九条</w:t>
      </w:r>
      <w:r>
        <w:rPr>
          <w:rFonts w:hint="eastAsia" w:ascii="仿宋_GB2312" w:hAnsi="仿宋_GB2312" w:eastAsia="仿宋_GB2312" w:cs="仿宋_GB2312"/>
          <w:color w:val="auto"/>
          <w:kern w:val="0"/>
          <w:sz w:val="32"/>
          <w:szCs w:val="32"/>
          <w:lang w:val="en-US" w:eastAsia="zh-CN"/>
        </w:rPr>
        <w:t xml:space="preserve"> 属地经办机构应及时将新增定点医药机构备案情况表、评估结果、公示情况以及服务协议报送至市级经办机构备案，市级经办机构将新增名单报市级医疗保障行政部门备案。</w:t>
      </w:r>
    </w:p>
    <w:p w14:paraId="53CCC3BE">
      <w:pPr>
        <w:pStyle w:val="2"/>
        <w:rPr>
          <w:rFonts w:hint="eastAsia"/>
          <w:color w:val="auto"/>
        </w:rPr>
      </w:pPr>
    </w:p>
    <w:p w14:paraId="7DE045AC">
      <w:pPr>
        <w:pStyle w:val="8"/>
        <w:keepNext w:val="0"/>
        <w:keepLines w:val="0"/>
        <w:pageBreakBefore w:val="0"/>
        <w:numPr>
          <w:ilvl w:val="0"/>
          <w:numId w:val="3"/>
        </w:numPr>
        <w:kinsoku/>
        <w:wordWrap/>
        <w:overflowPunct/>
        <w:topLinePunct w:val="0"/>
        <w:autoSpaceDE/>
        <w:autoSpaceDN/>
        <w:bidi w:val="0"/>
        <w:adjustRightInd/>
        <w:spacing w:line="600" w:lineRule="exact"/>
        <w:ind w:left="0" w:leftChars="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动态管理</w:t>
      </w:r>
    </w:p>
    <w:p w14:paraId="3660E574">
      <w:pPr>
        <w:pStyle w:val="8"/>
        <w:keepNext w:val="0"/>
        <w:keepLines w:val="0"/>
        <w:pageBreakBefore w:val="0"/>
        <w:numPr>
          <w:ilvl w:val="0"/>
          <w:numId w:val="0"/>
        </w:numPr>
        <w:kinsoku/>
        <w:wordWrap/>
        <w:overflowPunct/>
        <w:topLinePunct w:val="0"/>
        <w:autoSpaceDE/>
        <w:autoSpaceDN/>
        <w:bidi w:val="0"/>
        <w:adjustRightInd/>
        <w:spacing w:line="600" w:lineRule="exact"/>
        <w:ind w:leftChars="0" w:firstLine="640" w:firstLineChars="200"/>
        <w:jc w:val="both"/>
        <w:textAlignment w:val="auto"/>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第二十条</w:t>
      </w:r>
      <w:r>
        <w:rPr>
          <w:rFonts w:hint="eastAsia" w:ascii="楷体" w:hAnsi="楷体" w:eastAsia="楷体" w:cs="楷体"/>
          <w:color w:val="auto"/>
          <w:sz w:val="32"/>
          <w:szCs w:val="32"/>
        </w:rPr>
        <w:t xml:space="preserve"> </w:t>
      </w:r>
      <w:r>
        <w:rPr>
          <w:rFonts w:hint="eastAsia" w:ascii="仿宋_GB2312" w:hAnsi="仿宋_GB2312" w:eastAsia="仿宋_GB2312" w:cs="仿宋_GB2312"/>
          <w:color w:val="auto"/>
          <w:kern w:val="0"/>
          <w:sz w:val="32"/>
          <w:szCs w:val="32"/>
        </w:rPr>
        <w:t>协议履</w:t>
      </w:r>
      <w:r>
        <w:rPr>
          <w:rFonts w:hint="eastAsia" w:ascii="仿宋_GB2312" w:hAnsi="仿宋_GB2312" w:eastAsia="仿宋_GB2312" w:cs="仿宋_GB2312"/>
          <w:color w:val="auto"/>
          <w:sz w:val="32"/>
          <w:szCs w:val="32"/>
        </w:rPr>
        <w:t>行期间，定点医药机构的名称、法定代表人、主要负责人或实际控制人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企业负责人、</w:t>
      </w:r>
      <w:r>
        <w:rPr>
          <w:rFonts w:hint="eastAsia" w:ascii="仿宋_GB2312" w:hAnsi="仿宋_GB2312" w:eastAsia="仿宋_GB2312" w:cs="仿宋_GB2312"/>
          <w:color w:val="auto"/>
          <w:kern w:val="0"/>
          <w:sz w:val="32"/>
          <w:szCs w:val="32"/>
        </w:rPr>
        <w:t>注册地址、银行账户、诊疗科目、机构规模、机构性质、等级、类别和药品经营范围等重</w:t>
      </w:r>
      <w:r>
        <w:rPr>
          <w:rFonts w:hint="eastAsia" w:ascii="仿宋_GB2312" w:hAnsi="仿宋_GB2312" w:eastAsia="仿宋_GB2312" w:cs="仿宋_GB2312"/>
          <w:color w:val="auto"/>
          <w:sz w:val="32"/>
          <w:szCs w:val="32"/>
        </w:rPr>
        <w:t>要</w:t>
      </w:r>
      <w:r>
        <w:rPr>
          <w:rFonts w:hint="eastAsia" w:ascii="仿宋_GB2312" w:hAnsi="仿宋_GB2312" w:eastAsia="仿宋_GB2312" w:cs="仿宋_GB2312"/>
          <w:color w:val="auto"/>
          <w:kern w:val="0"/>
          <w:sz w:val="32"/>
          <w:szCs w:val="32"/>
        </w:rPr>
        <w:t>信息</w:t>
      </w:r>
      <w:r>
        <w:rPr>
          <w:rFonts w:hint="eastAsia" w:ascii="仿宋_GB2312" w:hAnsi="仿宋_GB2312" w:eastAsia="仿宋_GB2312" w:cs="仿宋_GB2312"/>
          <w:color w:val="auto"/>
          <w:sz w:val="32"/>
          <w:szCs w:val="32"/>
        </w:rPr>
        <w:t>发生</w:t>
      </w:r>
      <w:r>
        <w:rPr>
          <w:rFonts w:hint="eastAsia" w:ascii="仿宋_GB2312" w:hAnsi="仿宋_GB2312" w:eastAsia="仿宋_GB2312" w:cs="仿宋_GB2312"/>
          <w:color w:val="auto"/>
          <w:kern w:val="0"/>
          <w:sz w:val="32"/>
          <w:szCs w:val="32"/>
        </w:rPr>
        <w:t>变更</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kern w:val="0"/>
          <w:sz w:val="32"/>
          <w:szCs w:val="32"/>
        </w:rPr>
        <w:t>，应自有关部门批准之日起30个工作日内向属地经办机构提出变更申请。其他一般信息变更</w:t>
      </w:r>
      <w:r>
        <w:rPr>
          <w:rFonts w:hint="eastAsia" w:ascii="仿宋_GB2312" w:hAnsi="仿宋_GB2312" w:eastAsia="仿宋_GB2312" w:cs="仿宋_GB2312"/>
          <w:color w:val="auto"/>
          <w:kern w:val="0"/>
          <w:sz w:val="32"/>
          <w:szCs w:val="32"/>
          <w:lang w:val="en-US" w:eastAsia="zh-CN"/>
        </w:rPr>
        <w:t>等情况的，</w:t>
      </w:r>
      <w:r>
        <w:rPr>
          <w:rFonts w:hint="eastAsia" w:ascii="仿宋_GB2312" w:hAnsi="仿宋_GB2312" w:eastAsia="仿宋_GB2312" w:cs="仿宋_GB2312"/>
          <w:color w:val="auto"/>
          <w:kern w:val="0"/>
          <w:sz w:val="32"/>
          <w:szCs w:val="32"/>
        </w:rPr>
        <w:t>应及时书面告知。</w:t>
      </w:r>
    </w:p>
    <w:p w14:paraId="657D1432">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bidi="ar-SA"/>
        </w:rPr>
        <w:t>第二十一条</w:t>
      </w:r>
      <w:r>
        <w:rPr>
          <w:rFonts w:hint="eastAsia" w:ascii="仿宋_GB2312" w:hAnsi="仿宋_GB2312" w:eastAsia="仿宋_GB2312" w:cs="仿宋_GB2312"/>
          <w:color w:val="auto"/>
          <w:kern w:val="0"/>
          <w:sz w:val="32"/>
          <w:szCs w:val="32"/>
          <w:lang w:val="en-US" w:eastAsia="zh-CN"/>
        </w:rPr>
        <w:t xml:space="preserve"> 对于医药机构变更信息，有可能影响医保服务的，属地经办机构应到现场重新开展评估，对于变更信息后仍符合医保管理相关要求的，予以变更；不符合变更条件的、经限期整改仍达不到要求的，终止服务协议。逾期未申请的，视为单方面终止服务协议。发生注销、关闭等情况的，服务协议自然终止。</w:t>
      </w:r>
    </w:p>
    <w:p w14:paraId="77943278">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kern w:val="0"/>
          <w:sz w:val="32"/>
          <w:szCs w:val="32"/>
          <w:lang w:val="en-US" w:eastAsia="zh-CN" w:bidi="ar-SA"/>
        </w:rPr>
        <w:t>第二十二条</w:t>
      </w:r>
      <w:r>
        <w:rPr>
          <w:rFonts w:hint="eastAsia" w:ascii="楷体" w:hAnsi="楷体" w:eastAsia="楷体" w:cs="楷体"/>
          <w:color w:val="auto"/>
          <w:sz w:val="32"/>
          <w:szCs w:val="32"/>
        </w:rPr>
        <w:t xml:space="preserve"> </w:t>
      </w:r>
      <w:r>
        <w:rPr>
          <w:rFonts w:hint="eastAsia" w:ascii="仿宋_GB2312" w:hAnsi="仿宋_GB2312" w:eastAsia="仿宋_GB2312" w:cs="仿宋_GB2312"/>
          <w:color w:val="auto"/>
          <w:sz w:val="32"/>
          <w:szCs w:val="32"/>
        </w:rPr>
        <w:t>续签应由定点医药机构于医保协议期满前3个月向经办机构提出申请或由经办机构统一组织。</w:t>
      </w:r>
      <w:r>
        <w:rPr>
          <w:rFonts w:hint="eastAsia" w:ascii="仿宋_GB2312" w:hAnsi="仿宋_GB2312" w:eastAsia="仿宋_GB2312" w:cs="仿宋_GB2312"/>
          <w:color w:val="auto"/>
          <w:sz w:val="32"/>
          <w:szCs w:val="32"/>
          <w:lang w:eastAsia="zh-CN"/>
        </w:rPr>
        <w:t>属地</w:t>
      </w:r>
      <w:r>
        <w:rPr>
          <w:rFonts w:hint="eastAsia" w:ascii="仿宋_GB2312" w:hAnsi="仿宋_GB2312" w:eastAsia="仿宋_GB2312" w:cs="仿宋_GB2312"/>
          <w:color w:val="auto"/>
          <w:sz w:val="32"/>
          <w:szCs w:val="32"/>
        </w:rPr>
        <w:t>经办机构与定点医药机构就医保协议续签事宜进行协商谈判，双方根据医保协议履行情况和绩效考核情况等决定是否续签。协商一致的，可续签医保协议；未达成一致的，医保协议到期后自动终止。</w:t>
      </w:r>
    </w:p>
    <w:p w14:paraId="5CBB18DC">
      <w:pPr>
        <w:pStyle w:val="8"/>
        <w:keepNext w:val="0"/>
        <w:keepLines w:val="0"/>
        <w:pageBreakBefore w:val="0"/>
        <w:kinsoku/>
        <w:wordWrap/>
        <w:overflowPunct/>
        <w:topLinePunct w:val="0"/>
        <w:autoSpaceDE/>
        <w:autoSpaceDN/>
        <w:bidi w:val="0"/>
        <w:adjustRightInd/>
        <w:spacing w:line="600" w:lineRule="exact"/>
        <w:ind w:firstLine="64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0"/>
          <w:sz w:val="32"/>
          <w:szCs w:val="32"/>
          <w:lang w:val="en-US" w:eastAsia="zh-CN" w:bidi="ar-SA"/>
        </w:rPr>
        <w:t>第二十三条</w:t>
      </w:r>
      <w:r>
        <w:rPr>
          <w:rFonts w:hint="eastAsia" w:ascii="楷体" w:hAnsi="楷体" w:eastAsia="楷体" w:cs="楷体"/>
          <w:color w:val="auto"/>
          <w:sz w:val="32"/>
          <w:szCs w:val="32"/>
          <w:lang w:val="en-US" w:eastAsia="zh-CN"/>
        </w:rPr>
        <w:t xml:space="preserve"> </w:t>
      </w:r>
      <w:r>
        <w:rPr>
          <w:rFonts w:hint="eastAsia" w:ascii="仿宋_GB2312" w:hAnsi="仿宋_GB2312" w:eastAsia="仿宋_GB2312" w:cs="仿宋_GB2312"/>
          <w:color w:val="auto"/>
          <w:sz w:val="32"/>
          <w:szCs w:val="32"/>
        </w:rPr>
        <w:t>定点医药机构可提出中止医保协议申请，经属地经办机构同意，可以中止医保协议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但中止时间原则上不得超过180日，定点医药机构在医保协议中止超过180日仍未提出继续履行医保协议申请的，原则上医保协议自动终止。</w:t>
      </w:r>
    </w:p>
    <w:p w14:paraId="396665DB">
      <w:pPr>
        <w:pStyle w:val="8"/>
        <w:keepNext w:val="0"/>
        <w:keepLines w:val="0"/>
        <w:pageBreakBefore w:val="0"/>
        <w:kinsoku/>
        <w:wordWrap/>
        <w:overflowPunct/>
        <w:topLinePunct w:val="0"/>
        <w:autoSpaceDE/>
        <w:autoSpaceDN/>
        <w:bidi w:val="0"/>
        <w:adjustRightInd/>
        <w:spacing w:line="600" w:lineRule="exact"/>
        <w:ind w:firstLine="640"/>
        <w:textAlignment w:val="auto"/>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第二十</w:t>
      </w:r>
      <w:r>
        <w:rPr>
          <w:rFonts w:hint="eastAsia" w:ascii="楷体_GB2312" w:hAnsi="楷体_GB2312" w:eastAsia="楷体_GB2312" w:cs="楷体_GB2312"/>
          <w:color w:val="auto"/>
          <w:kern w:val="0"/>
          <w:sz w:val="32"/>
          <w:szCs w:val="32"/>
          <w:lang w:val="en-US" w:eastAsia="zh-CN"/>
        </w:rPr>
        <w:t>四</w:t>
      </w:r>
      <w:r>
        <w:rPr>
          <w:rFonts w:hint="eastAsia" w:ascii="楷体_GB2312" w:hAnsi="楷体_GB2312" w:eastAsia="楷体_GB2312" w:cs="楷体_GB2312"/>
          <w:color w:val="auto"/>
          <w:kern w:val="0"/>
          <w:sz w:val="32"/>
          <w:szCs w:val="32"/>
        </w:rPr>
        <w:t>条</w:t>
      </w:r>
      <w:r>
        <w:rPr>
          <w:rFonts w:hint="eastAsia" w:ascii="楷体" w:hAnsi="楷体" w:eastAsia="楷体" w:cs="楷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定点医药机构因违约被经办机构中止协议的，应在规定时间内完成整改，中止期满，经办机构检查验收通过后，可恢复协议。检查验收仍不符合条件的，协议终止。</w:t>
      </w:r>
    </w:p>
    <w:p w14:paraId="39C0647E">
      <w:pPr>
        <w:pStyle w:val="8"/>
        <w:keepNext w:val="0"/>
        <w:keepLines w:val="0"/>
        <w:pageBreakBefore w:val="0"/>
        <w:kinsoku/>
        <w:wordWrap/>
        <w:overflowPunct/>
        <w:topLinePunct w:val="0"/>
        <w:autoSpaceDE/>
        <w:autoSpaceDN/>
        <w:bidi w:val="0"/>
        <w:adjustRightInd/>
        <w:spacing w:line="600" w:lineRule="exact"/>
        <w:ind w:firstLine="640"/>
        <w:textAlignment w:val="auto"/>
        <w:rPr>
          <w:rFonts w:hint="default" w:ascii="楷体_GB2312" w:hAnsi="楷体_GB2312" w:eastAsia="仿宋_GB2312" w:cs="楷体_GB2312"/>
          <w:color w:val="auto"/>
          <w:kern w:val="0"/>
          <w:sz w:val="32"/>
          <w:szCs w:val="32"/>
          <w:lang w:val="en-US" w:eastAsia="zh-CN"/>
        </w:rPr>
      </w:pPr>
      <w:r>
        <w:rPr>
          <w:rFonts w:hint="eastAsia" w:ascii="仿宋_GB2312" w:hAnsi="仿宋_GB2312" w:eastAsia="仿宋_GB2312" w:cs="仿宋_GB2312"/>
          <w:color w:val="auto"/>
          <w:sz w:val="32"/>
          <w:szCs w:val="32"/>
          <w:lang w:eastAsia="zh-CN"/>
        </w:rPr>
        <w:t>定点医疗机构请求中止、解除医保协议或不再续签医保协议的，应提前</w:t>
      </w:r>
      <w:r>
        <w:rPr>
          <w:rFonts w:hint="eastAsia" w:ascii="仿宋_GB2312" w:hAnsi="仿宋_GB2312" w:eastAsia="仿宋_GB2312" w:cs="仿宋_GB2312"/>
          <w:color w:val="auto"/>
          <w:sz w:val="32"/>
          <w:szCs w:val="32"/>
          <w:lang w:val="en-US" w:eastAsia="zh-CN"/>
        </w:rPr>
        <w:t>3个月向经办机构提出申请。公立医疗机构不得主动提出中止或解除医保协议。</w:t>
      </w:r>
    </w:p>
    <w:p w14:paraId="4CC16F64">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定点医药机构服务协议中止、解除后，经办机构应与定点医药机构共同做好善后工作，保障参保人员的医疗待遇，妥善处理在院病人。</w:t>
      </w:r>
    </w:p>
    <w:p w14:paraId="71E5256E">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hint="default" w:ascii="仿宋_GB2312" w:hAnsi="仿宋_GB2312" w:eastAsia="仿宋_GB2312" w:cs="仿宋_GB2312"/>
          <w:color w:val="auto"/>
          <w:kern w:val="0"/>
          <w:sz w:val="32"/>
          <w:szCs w:val="32"/>
          <w:highlight w:val="yellow"/>
          <w:lang w:val="en-US" w:eastAsia="zh-CN"/>
        </w:rPr>
      </w:pPr>
      <w:r>
        <w:rPr>
          <w:rFonts w:hint="eastAsia" w:ascii="楷体_GB2312" w:hAnsi="楷体_GB2312" w:eastAsia="楷体_GB2312" w:cs="楷体_GB2312"/>
          <w:color w:val="auto"/>
          <w:kern w:val="0"/>
          <w:sz w:val="32"/>
          <w:szCs w:val="32"/>
        </w:rPr>
        <w:t>第二十</w:t>
      </w:r>
      <w:r>
        <w:rPr>
          <w:rFonts w:hint="eastAsia" w:ascii="楷体_GB2312" w:hAnsi="楷体_GB2312" w:eastAsia="楷体_GB2312" w:cs="楷体_GB2312"/>
          <w:color w:val="auto"/>
          <w:kern w:val="0"/>
          <w:sz w:val="32"/>
          <w:szCs w:val="32"/>
          <w:lang w:val="en-US" w:eastAsia="zh-CN"/>
        </w:rPr>
        <w:t>五</w:t>
      </w:r>
      <w:r>
        <w:rPr>
          <w:rFonts w:hint="eastAsia" w:ascii="楷体_GB2312" w:hAnsi="楷体_GB2312" w:eastAsia="楷体_GB2312" w:cs="楷体_GB2312"/>
          <w:color w:val="auto"/>
          <w:kern w:val="0"/>
          <w:sz w:val="32"/>
          <w:szCs w:val="32"/>
        </w:rPr>
        <w:t>条</w:t>
      </w:r>
      <w:r>
        <w:rPr>
          <w:rFonts w:hint="eastAsia" w:ascii="楷体" w:hAnsi="楷体" w:eastAsia="楷体"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定点医药机构发生协议中止、恢复、解除等情况的，属地经办机构应及时向社会公布，并报市级经办机构备案</w:t>
      </w:r>
      <w:r>
        <w:rPr>
          <w:rFonts w:hint="eastAsia" w:ascii="仿宋_GB2312" w:hAnsi="仿宋_GB2312" w:eastAsia="仿宋_GB2312" w:cs="仿宋_GB2312"/>
          <w:color w:val="auto"/>
          <w:kern w:val="0"/>
          <w:sz w:val="32"/>
          <w:szCs w:val="32"/>
          <w:highlight w:val="none"/>
          <w:lang w:eastAsia="zh-CN"/>
        </w:rPr>
        <w:t>；注销</w:t>
      </w:r>
      <w:r>
        <w:rPr>
          <w:rFonts w:hint="eastAsia" w:ascii="仿宋_GB2312" w:hAnsi="仿宋_GB2312" w:eastAsia="仿宋_GB2312" w:cs="仿宋_GB2312"/>
          <w:color w:val="auto"/>
          <w:kern w:val="0"/>
          <w:sz w:val="32"/>
          <w:szCs w:val="32"/>
          <w:highlight w:val="none"/>
          <w:lang w:val="en-US" w:eastAsia="zh-CN"/>
        </w:rPr>
        <w:t>/解除协议的，</w:t>
      </w:r>
      <w:r>
        <w:rPr>
          <w:rFonts w:hint="eastAsia" w:ascii="仿宋_GB2312" w:hAnsi="仿宋_GB2312" w:eastAsia="仿宋_GB2312" w:cs="仿宋_GB2312"/>
          <w:color w:val="auto"/>
          <w:kern w:val="0"/>
          <w:sz w:val="32"/>
          <w:szCs w:val="32"/>
          <w:highlight w:val="none"/>
        </w:rPr>
        <w:t>应</w:t>
      </w:r>
      <w:r>
        <w:rPr>
          <w:rFonts w:hint="eastAsia" w:ascii="仿宋_GB2312" w:hAnsi="仿宋_GB2312" w:eastAsia="仿宋_GB2312" w:cs="仿宋_GB2312"/>
          <w:color w:val="auto"/>
          <w:kern w:val="0"/>
          <w:sz w:val="32"/>
          <w:szCs w:val="32"/>
          <w:highlight w:val="none"/>
          <w:lang w:val="en-US" w:eastAsia="zh-CN"/>
        </w:rPr>
        <w:t>及时注销系统信息。</w:t>
      </w:r>
    </w:p>
    <w:p w14:paraId="04F0A059">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各经办机构应向社会公布签订医保协议的定点医疗机构信息</w:t>
      </w:r>
      <w:r>
        <w:rPr>
          <w:rFonts w:hint="eastAsia" w:ascii="仿宋_GB2312" w:hAnsi="仿宋_GB2312" w:eastAsia="仿宋_GB2312" w:cs="仿宋_GB2312"/>
          <w:strike w:val="0"/>
          <w:dstrike w:val="0"/>
          <w:color w:val="auto"/>
          <w:kern w:val="0"/>
          <w:sz w:val="32"/>
          <w:szCs w:val="32"/>
          <w:lang w:val="en-US" w:eastAsia="zh-CN"/>
        </w:rPr>
        <w:t>，包括名称、地址等。</w:t>
      </w:r>
    </w:p>
    <w:p w14:paraId="65BB83E9">
      <w:pPr>
        <w:pStyle w:val="8"/>
        <w:keepNext w:val="0"/>
        <w:keepLines w:val="0"/>
        <w:pageBreakBefore w:val="0"/>
        <w:kinsoku/>
        <w:wordWrap/>
        <w:overflowPunct/>
        <w:topLinePunct w:val="0"/>
        <w:autoSpaceDE/>
        <w:autoSpaceDN/>
        <w:bidi w:val="0"/>
        <w:adjustRightInd/>
        <w:spacing w:line="600" w:lineRule="exact"/>
        <w:ind w:firstLine="0" w:firstLineChars="0"/>
        <w:jc w:val="center"/>
        <w:textAlignment w:val="auto"/>
        <w:rPr>
          <w:rFonts w:ascii="黑体" w:hAnsi="黑体" w:eastAsia="黑体" w:cs="黑体"/>
          <w:color w:val="auto"/>
          <w:sz w:val="32"/>
          <w:szCs w:val="32"/>
        </w:rPr>
      </w:pPr>
    </w:p>
    <w:p w14:paraId="27BB4586">
      <w:pPr>
        <w:pStyle w:val="8"/>
        <w:keepNext w:val="0"/>
        <w:keepLines w:val="0"/>
        <w:pageBreakBefore w:val="0"/>
        <w:kinsoku/>
        <w:wordWrap/>
        <w:overflowPunct/>
        <w:topLinePunct w:val="0"/>
        <w:autoSpaceDE/>
        <w:autoSpaceDN/>
        <w:bidi w:val="0"/>
        <w:adjustRightInd/>
        <w:spacing w:line="600" w:lineRule="exact"/>
        <w:ind w:firstLine="0" w:firstLineChars="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第八章 附则</w:t>
      </w:r>
    </w:p>
    <w:p w14:paraId="4BF99A45">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第二十</w:t>
      </w:r>
      <w:r>
        <w:rPr>
          <w:rFonts w:hint="eastAsia" w:ascii="楷体_GB2312" w:hAnsi="楷体_GB2312" w:eastAsia="楷体_GB2312" w:cs="楷体_GB2312"/>
          <w:color w:val="auto"/>
          <w:kern w:val="0"/>
          <w:sz w:val="32"/>
          <w:szCs w:val="32"/>
          <w:lang w:val="en-US" w:eastAsia="zh-CN"/>
        </w:rPr>
        <w:t>六</w:t>
      </w:r>
      <w:r>
        <w:rPr>
          <w:rFonts w:hint="eastAsia" w:ascii="楷体_GB2312" w:hAnsi="楷体_GB2312" w:eastAsia="楷体_GB2312" w:cs="楷体_GB2312"/>
          <w:color w:val="auto"/>
          <w:kern w:val="0"/>
          <w:sz w:val="32"/>
          <w:szCs w:val="32"/>
        </w:rPr>
        <w:t>条</w:t>
      </w:r>
      <w:r>
        <w:rPr>
          <w:rFonts w:hint="eastAsia" w:ascii="楷体" w:hAnsi="楷体" w:eastAsia="楷体" w:cs="楷体"/>
          <w:color w:val="auto"/>
          <w:kern w:val="0"/>
          <w:sz w:val="32"/>
          <w:szCs w:val="32"/>
        </w:rPr>
        <w:t xml:space="preserve"> </w:t>
      </w:r>
      <w:r>
        <w:rPr>
          <w:rFonts w:hint="eastAsia" w:ascii="仿宋_GB2312" w:hAnsi="仿宋_GB2312" w:eastAsia="仿宋_GB2312" w:cs="仿宋_GB2312"/>
          <w:color w:val="auto"/>
          <w:kern w:val="0"/>
          <w:sz w:val="32"/>
          <w:szCs w:val="32"/>
        </w:rPr>
        <w:t>生育保险定点机构协议管理参照本规程办理。</w:t>
      </w:r>
    </w:p>
    <w:p w14:paraId="45F36E9F">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kern w:val="0"/>
          <w:sz w:val="32"/>
          <w:szCs w:val="32"/>
        </w:rPr>
        <w:t>第二十</w:t>
      </w:r>
      <w:r>
        <w:rPr>
          <w:rFonts w:hint="eastAsia" w:ascii="楷体_GB2312" w:hAnsi="楷体_GB2312" w:eastAsia="楷体_GB2312" w:cs="楷体_GB2312"/>
          <w:color w:val="auto"/>
          <w:kern w:val="0"/>
          <w:sz w:val="32"/>
          <w:szCs w:val="32"/>
          <w:lang w:val="en-US" w:eastAsia="zh-CN"/>
        </w:rPr>
        <w:t>七</w:t>
      </w:r>
      <w:r>
        <w:rPr>
          <w:rFonts w:hint="eastAsia" w:ascii="楷体_GB2312" w:hAnsi="楷体_GB2312" w:eastAsia="楷体_GB2312" w:cs="楷体_GB2312"/>
          <w:color w:val="auto"/>
          <w:kern w:val="0"/>
          <w:sz w:val="32"/>
          <w:szCs w:val="32"/>
        </w:rPr>
        <w:t>条</w:t>
      </w:r>
      <w:r>
        <w:rPr>
          <w:rFonts w:hint="eastAsia" w:ascii="仿宋_GB2312" w:hAnsi="仿宋_GB2312" w:eastAsia="仿宋_GB2312" w:cs="仿宋_GB2312"/>
          <w:color w:val="auto"/>
          <w:sz w:val="32"/>
          <w:szCs w:val="32"/>
        </w:rPr>
        <w:t xml:space="preserve"> 本规程内容，根据国家、省、市有关规定，结合实际情况，适时调整。</w:t>
      </w:r>
      <w:r>
        <w:rPr>
          <w:rFonts w:hint="eastAsia" w:ascii="仿宋_GB2312" w:hAnsi="仿宋_GB2312" w:eastAsia="仿宋_GB2312" w:cs="仿宋_GB2312"/>
          <w:color w:val="auto"/>
          <w:kern w:val="0"/>
          <w:sz w:val="32"/>
          <w:szCs w:val="32"/>
        </w:rPr>
        <w:t>以往文件与本规程不一致的，</w:t>
      </w:r>
      <w:r>
        <w:rPr>
          <w:rFonts w:hint="eastAsia" w:ascii="仿宋_GB2312" w:hAnsi="仿宋_GB2312" w:eastAsia="仿宋_GB2312" w:cs="仿宋_GB2312"/>
          <w:color w:val="auto"/>
          <w:kern w:val="0"/>
          <w:sz w:val="32"/>
          <w:szCs w:val="32"/>
          <w:lang w:val="en-US" w:eastAsia="zh-CN"/>
        </w:rPr>
        <w:t>按照</w:t>
      </w:r>
      <w:r>
        <w:rPr>
          <w:rFonts w:hint="eastAsia" w:ascii="仿宋_GB2312" w:hAnsi="仿宋_GB2312" w:eastAsia="仿宋_GB2312" w:cs="仿宋_GB2312"/>
          <w:color w:val="auto"/>
          <w:kern w:val="0"/>
          <w:sz w:val="32"/>
          <w:szCs w:val="32"/>
        </w:rPr>
        <w:t>本规程</w:t>
      </w:r>
      <w:r>
        <w:rPr>
          <w:rFonts w:hint="eastAsia" w:ascii="仿宋_GB2312" w:hAnsi="仿宋_GB2312" w:eastAsia="仿宋_GB2312" w:cs="仿宋_GB2312"/>
          <w:color w:val="auto"/>
          <w:kern w:val="0"/>
          <w:sz w:val="32"/>
          <w:szCs w:val="32"/>
          <w:lang w:val="en-US" w:eastAsia="zh-CN"/>
        </w:rPr>
        <w:t>执行</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本规程自</w:t>
      </w:r>
      <w:r>
        <w:rPr>
          <w:rFonts w:hint="eastAsia" w:ascii="仿宋_GB2312" w:hAnsi="仿宋_GB2312" w:eastAsia="仿宋_GB2312" w:cs="仿宋_GB2312"/>
          <w:color w:val="auto"/>
          <w:sz w:val="32"/>
          <w:szCs w:val="32"/>
          <w:lang w:val="en-US" w:eastAsia="zh-CN"/>
        </w:rPr>
        <w:t>2024年11月 1日</w:t>
      </w:r>
      <w:r>
        <w:rPr>
          <w:rFonts w:hint="eastAsia" w:ascii="仿宋_GB2312" w:hAnsi="仿宋_GB2312" w:eastAsia="仿宋_GB2312" w:cs="仿宋_GB2312"/>
          <w:color w:val="auto"/>
          <w:sz w:val="32"/>
          <w:szCs w:val="32"/>
        </w:rPr>
        <w:t>起施行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国家、省有新规定的，按照新规定执行。</w:t>
      </w:r>
    </w:p>
    <w:p w14:paraId="7EB0F765">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仿宋_GB2312" w:hAnsi="宋体" w:eastAsia="仿宋_GB2312" w:cs="宋体"/>
          <w:color w:val="auto"/>
          <w:kern w:val="0"/>
          <w:sz w:val="32"/>
          <w:szCs w:val="32"/>
        </w:rPr>
      </w:pPr>
    </w:p>
    <w:p w14:paraId="4F6DC30B">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仿宋_GB2312" w:hAnsi="仿宋_GB2312" w:eastAsia="仿宋_GB2312" w:cs="仿宋_GB2312"/>
          <w:color w:val="auto"/>
          <w:kern w:val="0"/>
          <w:sz w:val="32"/>
          <w:szCs w:val="32"/>
        </w:rPr>
      </w:pPr>
      <w:r>
        <w:rPr>
          <w:rFonts w:hint="eastAsia" w:ascii="仿宋_GB2312" w:hAnsi="宋体" w:eastAsia="仿宋_GB2312" w:cs="宋体"/>
          <w:color w:val="auto"/>
          <w:kern w:val="0"/>
          <w:sz w:val="32"/>
          <w:szCs w:val="32"/>
        </w:rPr>
        <w:t>附件：1、</w:t>
      </w:r>
      <w:r>
        <w:rPr>
          <w:rFonts w:hint="eastAsia" w:ascii="仿宋_GB2312" w:hAnsi="宋体" w:eastAsia="仿宋_GB2312" w:cs="宋体"/>
          <w:color w:val="auto"/>
          <w:kern w:val="0"/>
          <w:sz w:val="32"/>
          <w:szCs w:val="32"/>
          <w:lang w:eastAsia="zh-CN"/>
        </w:rPr>
        <w:t>济宁</w:t>
      </w:r>
      <w:r>
        <w:rPr>
          <w:rFonts w:ascii="仿宋_GB2312" w:hAnsi="仿宋_GB2312" w:eastAsia="仿宋_GB2312" w:cs="仿宋_GB2312"/>
          <w:color w:val="auto"/>
          <w:kern w:val="0"/>
          <w:sz w:val="32"/>
          <w:szCs w:val="32"/>
        </w:rPr>
        <w:t>市</w:t>
      </w:r>
      <w:r>
        <w:rPr>
          <w:rFonts w:hint="eastAsia" w:ascii="仿宋_GB2312" w:hAnsi="仿宋_GB2312" w:eastAsia="仿宋_GB2312" w:cs="仿宋_GB2312"/>
          <w:color w:val="auto"/>
          <w:kern w:val="0"/>
          <w:sz w:val="32"/>
          <w:szCs w:val="32"/>
          <w:lang w:val="en-US" w:eastAsia="zh-CN"/>
        </w:rPr>
        <w:t>基本</w:t>
      </w:r>
      <w:r>
        <w:rPr>
          <w:rFonts w:ascii="仿宋_GB2312" w:hAnsi="仿宋_GB2312" w:eastAsia="仿宋_GB2312" w:cs="仿宋_GB2312"/>
          <w:color w:val="auto"/>
          <w:kern w:val="0"/>
          <w:sz w:val="32"/>
          <w:szCs w:val="32"/>
        </w:rPr>
        <w:t>医疗保险</w:t>
      </w:r>
      <w:r>
        <w:rPr>
          <w:rFonts w:hint="eastAsia" w:ascii="仿宋_GB2312" w:hAnsi="仿宋_GB2312" w:eastAsia="仿宋_GB2312" w:cs="仿宋_GB2312"/>
          <w:color w:val="auto"/>
          <w:kern w:val="0"/>
          <w:sz w:val="32"/>
          <w:szCs w:val="32"/>
        </w:rPr>
        <w:t>定点</w:t>
      </w:r>
      <w:r>
        <w:rPr>
          <w:rFonts w:ascii="仿宋_GB2312" w:hAnsi="仿宋_GB2312" w:eastAsia="仿宋_GB2312" w:cs="仿宋_GB2312"/>
          <w:color w:val="auto"/>
          <w:kern w:val="0"/>
          <w:sz w:val="32"/>
          <w:szCs w:val="32"/>
        </w:rPr>
        <w:t>医</w:t>
      </w:r>
      <w:r>
        <w:rPr>
          <w:rFonts w:hint="eastAsia" w:ascii="仿宋_GB2312" w:hAnsi="仿宋_GB2312" w:eastAsia="仿宋_GB2312" w:cs="仿宋_GB2312"/>
          <w:color w:val="auto"/>
          <w:kern w:val="0"/>
          <w:sz w:val="32"/>
          <w:szCs w:val="32"/>
        </w:rPr>
        <w:t>疗</w:t>
      </w:r>
      <w:r>
        <w:rPr>
          <w:rFonts w:ascii="仿宋_GB2312" w:hAnsi="仿宋_GB2312" w:eastAsia="仿宋_GB2312" w:cs="仿宋_GB2312"/>
          <w:color w:val="auto"/>
          <w:kern w:val="0"/>
          <w:sz w:val="32"/>
          <w:szCs w:val="32"/>
        </w:rPr>
        <w:t>机构申请表</w:t>
      </w:r>
    </w:p>
    <w:p w14:paraId="66500CDB">
      <w:pPr>
        <w:keepNext w:val="0"/>
        <w:keepLines w:val="0"/>
        <w:pageBreakBefore w:val="0"/>
        <w:widowControl/>
        <w:kinsoku/>
        <w:wordWrap/>
        <w:overflowPunct/>
        <w:topLinePunct w:val="0"/>
        <w:autoSpaceDE/>
        <w:autoSpaceDN/>
        <w:bidi w:val="0"/>
        <w:adjustRightInd/>
        <w:spacing w:line="600" w:lineRule="exact"/>
        <w:ind w:firstLine="1600" w:firstLineChars="5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lang w:eastAsia="zh-CN"/>
        </w:rPr>
        <w:t>济宁</w:t>
      </w:r>
      <w:r>
        <w:rPr>
          <w:rFonts w:ascii="仿宋_GB2312" w:hAnsi="仿宋_GB2312" w:eastAsia="仿宋_GB2312" w:cs="仿宋_GB2312"/>
          <w:color w:val="auto"/>
          <w:kern w:val="0"/>
          <w:sz w:val="32"/>
          <w:szCs w:val="32"/>
        </w:rPr>
        <w:t>市</w:t>
      </w:r>
      <w:r>
        <w:rPr>
          <w:rFonts w:hint="eastAsia" w:ascii="仿宋_GB2312" w:hAnsi="仿宋_GB2312" w:eastAsia="仿宋_GB2312" w:cs="仿宋_GB2312"/>
          <w:color w:val="auto"/>
          <w:kern w:val="0"/>
          <w:sz w:val="32"/>
          <w:szCs w:val="32"/>
          <w:lang w:val="en-US" w:eastAsia="zh-CN"/>
        </w:rPr>
        <w:t>基本医疗保险定点零售药店申请表</w:t>
      </w:r>
    </w:p>
    <w:p w14:paraId="740DF2DB">
      <w:pPr>
        <w:keepNext w:val="0"/>
        <w:keepLines w:val="0"/>
        <w:pageBreakBefore w:val="0"/>
        <w:widowControl/>
        <w:numPr>
          <w:ilvl w:val="0"/>
          <w:numId w:val="0"/>
        </w:numPr>
        <w:kinsoku/>
        <w:wordWrap/>
        <w:overflowPunct/>
        <w:topLinePunct w:val="0"/>
        <w:autoSpaceDE/>
        <w:autoSpaceDN/>
        <w:bidi w:val="0"/>
        <w:adjustRightInd/>
        <w:spacing w:line="600" w:lineRule="exact"/>
        <w:ind w:firstLine="1600" w:firstLineChars="500"/>
        <w:jc w:val="left"/>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lang w:val="en-US" w:eastAsia="zh-CN" w:bidi="ar-SA"/>
        </w:rPr>
        <w:t>济宁市基本医疗保险新增综合定点医疗机构评估标准</w:t>
      </w:r>
    </w:p>
    <w:p w14:paraId="631914E7">
      <w:pPr>
        <w:keepNext w:val="0"/>
        <w:keepLines w:val="0"/>
        <w:pageBreakBefore w:val="0"/>
        <w:widowControl/>
        <w:kinsoku/>
        <w:wordWrap/>
        <w:overflowPunct/>
        <w:topLinePunct w:val="0"/>
        <w:autoSpaceDE/>
        <w:autoSpaceDN/>
        <w:bidi w:val="0"/>
        <w:adjustRightInd/>
        <w:spacing w:line="600" w:lineRule="exact"/>
        <w:ind w:firstLine="1280" w:firstLineChars="400"/>
        <w:jc w:val="left"/>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lang w:val="en-US" w:eastAsia="zh-CN" w:bidi="ar-SA"/>
        </w:rPr>
        <w:t>济宁市基本医疗保险新增门诊定点医疗机构评估标准</w:t>
      </w:r>
    </w:p>
    <w:p w14:paraId="68789EAF">
      <w:pPr>
        <w:keepNext w:val="0"/>
        <w:keepLines w:val="0"/>
        <w:pageBreakBefore w:val="0"/>
        <w:widowControl/>
        <w:kinsoku/>
        <w:wordWrap/>
        <w:overflowPunct/>
        <w:topLinePunct w:val="0"/>
        <w:autoSpaceDE/>
        <w:autoSpaceDN/>
        <w:bidi w:val="0"/>
        <w:adjustRightInd/>
        <w:spacing w:line="600" w:lineRule="exact"/>
        <w:ind w:firstLine="1280" w:firstLineChars="400"/>
        <w:jc w:val="left"/>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rPr>
        <w:t>5、</w:t>
      </w:r>
      <w:r>
        <w:rPr>
          <w:rFonts w:hint="eastAsia" w:ascii="仿宋_GB2312" w:hAnsi="宋体" w:eastAsia="仿宋_GB2312" w:cs="宋体"/>
          <w:color w:val="auto"/>
          <w:kern w:val="0"/>
          <w:sz w:val="32"/>
          <w:szCs w:val="32"/>
          <w:lang w:val="en-US" w:eastAsia="zh-CN" w:bidi="ar-SA"/>
        </w:rPr>
        <w:t>济宁市基本医疗保险新增定点零售药店评估标准</w:t>
      </w:r>
    </w:p>
    <w:p w14:paraId="61FE89BD">
      <w:pPr>
        <w:keepNext w:val="0"/>
        <w:keepLines w:val="0"/>
        <w:pageBreakBefore w:val="0"/>
        <w:widowControl/>
        <w:kinsoku/>
        <w:wordWrap/>
        <w:overflowPunct/>
        <w:topLinePunct w:val="0"/>
        <w:autoSpaceDE/>
        <w:autoSpaceDN/>
        <w:bidi w:val="0"/>
        <w:adjustRightInd/>
        <w:spacing w:line="600" w:lineRule="exact"/>
        <w:ind w:firstLine="1280" w:firstLineChars="400"/>
        <w:jc w:val="lef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、关于对******评估结果的公示</w:t>
      </w:r>
    </w:p>
    <w:p w14:paraId="66E07F8F">
      <w:pPr>
        <w:keepNext w:val="0"/>
        <w:keepLines w:val="0"/>
        <w:pageBreakBefore w:val="0"/>
        <w:widowControl/>
        <w:kinsoku/>
        <w:wordWrap/>
        <w:overflowPunct/>
        <w:topLinePunct w:val="0"/>
        <w:autoSpaceDE/>
        <w:autoSpaceDN/>
        <w:bidi w:val="0"/>
        <w:adjustRightInd/>
        <w:spacing w:line="600" w:lineRule="exact"/>
        <w:ind w:firstLine="1280" w:firstLineChars="400"/>
        <w:jc w:val="lef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spacing w:val="-11"/>
          <w:kern w:val="0"/>
          <w:sz w:val="32"/>
          <w:szCs w:val="32"/>
        </w:rPr>
        <w:t>***</w:t>
      </w:r>
      <w:r>
        <w:rPr>
          <w:rFonts w:hint="eastAsia" w:ascii="仿宋_GB2312" w:hAnsi="宋体" w:eastAsia="仿宋_GB2312" w:cs="宋体"/>
          <w:color w:val="auto"/>
          <w:spacing w:val="-11"/>
          <w:kern w:val="0"/>
          <w:sz w:val="32"/>
          <w:szCs w:val="32"/>
          <w:lang w:eastAsia="zh-CN"/>
        </w:rPr>
        <w:t>县（市、</w:t>
      </w:r>
      <w:r>
        <w:rPr>
          <w:rFonts w:hint="eastAsia" w:ascii="仿宋_GB2312" w:hAnsi="宋体" w:eastAsia="仿宋_GB2312" w:cs="宋体"/>
          <w:color w:val="auto"/>
          <w:spacing w:val="-11"/>
          <w:kern w:val="0"/>
          <w:sz w:val="32"/>
          <w:szCs w:val="32"/>
        </w:rPr>
        <w:t>区）关于新增协议定点医药机构的备案报告</w:t>
      </w:r>
    </w:p>
    <w:p w14:paraId="2386D3B4">
      <w:pPr>
        <w:keepNext w:val="0"/>
        <w:keepLines w:val="0"/>
        <w:pageBreakBefore w:val="0"/>
        <w:widowControl/>
        <w:kinsoku/>
        <w:wordWrap/>
        <w:overflowPunct/>
        <w:topLinePunct w:val="0"/>
        <w:autoSpaceDE/>
        <w:autoSpaceDN/>
        <w:bidi w:val="0"/>
        <w:adjustRightInd/>
        <w:spacing w:line="600" w:lineRule="exact"/>
        <w:ind w:firstLine="1280" w:firstLineChars="400"/>
        <w:jc w:val="lef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8</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spacing w:val="-11"/>
          <w:kern w:val="0"/>
          <w:sz w:val="32"/>
          <w:szCs w:val="32"/>
          <w:lang w:eastAsia="zh-CN"/>
        </w:rPr>
        <w:t>县（市、</w:t>
      </w:r>
      <w:r>
        <w:rPr>
          <w:rFonts w:hint="eastAsia" w:ascii="仿宋_GB2312" w:hAnsi="宋体" w:eastAsia="仿宋_GB2312" w:cs="宋体"/>
          <w:color w:val="auto"/>
          <w:spacing w:val="-11"/>
          <w:kern w:val="0"/>
          <w:sz w:val="32"/>
          <w:szCs w:val="32"/>
        </w:rPr>
        <w:t>区）</w:t>
      </w:r>
      <w:r>
        <w:rPr>
          <w:rFonts w:hint="eastAsia" w:ascii="仿宋_GB2312" w:hAnsi="宋体" w:eastAsia="仿宋_GB2312" w:cs="宋体"/>
          <w:color w:val="auto"/>
          <w:kern w:val="0"/>
          <w:sz w:val="32"/>
          <w:szCs w:val="32"/>
        </w:rPr>
        <w:t>关于中止/解除</w:t>
      </w:r>
      <w:r>
        <w:rPr>
          <w:rFonts w:hint="eastAsia" w:ascii="仿宋_GB2312" w:hAnsi="宋体" w:eastAsia="仿宋_GB2312" w:cs="宋体"/>
          <w:color w:val="auto"/>
          <w:kern w:val="0"/>
          <w:sz w:val="32"/>
          <w:szCs w:val="32"/>
          <w:lang w:val="en-US" w:eastAsia="zh-CN"/>
        </w:rPr>
        <w:t>/恢复</w:t>
      </w:r>
      <w:r>
        <w:rPr>
          <w:rFonts w:hint="eastAsia" w:ascii="仿宋_GB2312" w:hAnsi="宋体" w:eastAsia="仿宋_GB2312" w:cs="宋体"/>
          <w:color w:val="auto"/>
          <w:kern w:val="0"/>
          <w:sz w:val="32"/>
          <w:szCs w:val="32"/>
        </w:rPr>
        <w:t>***医药机构服务协议的备案报告</w:t>
      </w:r>
    </w:p>
    <w:p w14:paraId="5EB2D7B2">
      <w:pPr>
        <w:keepNext w:val="0"/>
        <w:keepLines w:val="0"/>
        <w:pageBreakBefore w:val="0"/>
        <w:widowControl/>
        <w:kinsoku/>
        <w:wordWrap/>
        <w:overflowPunct/>
        <w:topLinePunct w:val="0"/>
        <w:autoSpaceDE/>
        <w:autoSpaceDN/>
        <w:bidi w:val="0"/>
        <w:adjustRightInd/>
        <w:spacing w:line="600" w:lineRule="exact"/>
        <w:ind w:firstLine="1280" w:firstLineChars="400"/>
        <w:jc w:val="lef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9</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济宁</w:t>
      </w:r>
      <w:r>
        <w:rPr>
          <w:rFonts w:hint="eastAsia" w:ascii="仿宋_GB2312" w:hAnsi="宋体" w:eastAsia="仿宋_GB2312" w:cs="宋体"/>
          <w:color w:val="auto"/>
          <w:kern w:val="0"/>
          <w:sz w:val="32"/>
          <w:szCs w:val="32"/>
        </w:rPr>
        <w:t>市医药机构信息变更情况表</w:t>
      </w:r>
    </w:p>
    <w:p w14:paraId="752DBF83">
      <w:pPr>
        <w:widowControl/>
        <w:spacing w:line="560" w:lineRule="exact"/>
        <w:jc w:val="left"/>
        <w:rPr>
          <w:rFonts w:hint="eastAsia" w:ascii="黑体" w:hAnsi="黑体" w:eastAsia="黑体" w:cs="黑体"/>
          <w:color w:val="FF0000"/>
          <w:sz w:val="32"/>
          <w:szCs w:val="32"/>
        </w:rPr>
      </w:pPr>
    </w:p>
    <w:p w14:paraId="7AD4CC6D">
      <w:pPr>
        <w:widowControl/>
        <w:spacing w:line="560" w:lineRule="exact"/>
        <w:jc w:val="left"/>
        <w:rPr>
          <w:rFonts w:hint="eastAsia" w:ascii="黑体" w:hAnsi="黑体" w:eastAsia="黑体" w:cs="黑体"/>
          <w:color w:val="FF0000"/>
          <w:sz w:val="32"/>
          <w:szCs w:val="32"/>
        </w:rPr>
      </w:pPr>
    </w:p>
    <w:p w14:paraId="14B6A488">
      <w:pPr>
        <w:widowControl/>
        <w:spacing w:line="560" w:lineRule="exact"/>
        <w:jc w:val="left"/>
        <w:rPr>
          <w:rFonts w:hint="eastAsia" w:ascii="黑体" w:hAnsi="黑体" w:eastAsia="黑体" w:cs="黑体"/>
          <w:color w:val="FF0000"/>
          <w:sz w:val="32"/>
          <w:szCs w:val="32"/>
        </w:rPr>
      </w:pPr>
    </w:p>
    <w:p w14:paraId="771341FB">
      <w:pPr>
        <w:pStyle w:val="2"/>
        <w:rPr>
          <w:rFonts w:hint="eastAsia" w:ascii="黑体" w:hAnsi="黑体" w:eastAsia="黑体" w:cs="黑体"/>
          <w:color w:val="FF0000"/>
          <w:sz w:val="32"/>
          <w:szCs w:val="32"/>
        </w:rPr>
      </w:pPr>
    </w:p>
    <w:p w14:paraId="3AA3DC26">
      <w:pPr>
        <w:rPr>
          <w:rFonts w:hint="eastAsia" w:ascii="黑体" w:hAnsi="黑体" w:eastAsia="黑体" w:cs="黑体"/>
          <w:color w:val="FF0000"/>
          <w:sz w:val="32"/>
          <w:szCs w:val="32"/>
        </w:rPr>
      </w:pPr>
    </w:p>
    <w:p w14:paraId="5ABB02BC">
      <w:pPr>
        <w:pStyle w:val="2"/>
        <w:rPr>
          <w:rFonts w:hint="eastAsia" w:ascii="黑体" w:hAnsi="黑体" w:eastAsia="黑体" w:cs="黑体"/>
          <w:color w:val="FF0000"/>
          <w:sz w:val="32"/>
          <w:szCs w:val="32"/>
        </w:rPr>
      </w:pPr>
    </w:p>
    <w:p w14:paraId="6030A5DD">
      <w:pPr>
        <w:rPr>
          <w:rFonts w:hint="eastAsia" w:ascii="黑体" w:hAnsi="黑体" w:eastAsia="黑体" w:cs="黑体"/>
          <w:color w:val="FF0000"/>
          <w:sz w:val="32"/>
          <w:szCs w:val="32"/>
        </w:rPr>
      </w:pPr>
    </w:p>
    <w:p w14:paraId="0F920EA1">
      <w:pPr>
        <w:pStyle w:val="2"/>
        <w:rPr>
          <w:rFonts w:hint="eastAsia" w:ascii="黑体" w:hAnsi="黑体" w:eastAsia="黑体" w:cs="黑体"/>
          <w:color w:val="FF0000"/>
          <w:sz w:val="32"/>
          <w:szCs w:val="32"/>
        </w:rPr>
      </w:pPr>
    </w:p>
    <w:p w14:paraId="521B99BB">
      <w:pPr>
        <w:rPr>
          <w:rFonts w:hint="eastAsia" w:ascii="黑体" w:hAnsi="黑体" w:eastAsia="黑体" w:cs="黑体"/>
          <w:color w:val="FF0000"/>
          <w:sz w:val="32"/>
          <w:szCs w:val="32"/>
        </w:rPr>
      </w:pPr>
    </w:p>
    <w:p w14:paraId="0FC400BC">
      <w:pPr>
        <w:pStyle w:val="2"/>
        <w:rPr>
          <w:rFonts w:hint="eastAsia" w:ascii="黑体" w:hAnsi="黑体" w:eastAsia="黑体" w:cs="黑体"/>
          <w:color w:val="FF0000"/>
          <w:sz w:val="32"/>
          <w:szCs w:val="32"/>
        </w:rPr>
      </w:pPr>
    </w:p>
    <w:p w14:paraId="53988ACE">
      <w:pPr>
        <w:rPr>
          <w:rFonts w:hint="eastAsia" w:ascii="黑体" w:hAnsi="黑体" w:eastAsia="黑体" w:cs="黑体"/>
          <w:color w:val="FF0000"/>
          <w:sz w:val="32"/>
          <w:szCs w:val="32"/>
        </w:rPr>
      </w:pPr>
    </w:p>
    <w:p w14:paraId="3FB74C2A">
      <w:pPr>
        <w:pStyle w:val="2"/>
        <w:rPr>
          <w:rFonts w:hint="eastAsia" w:ascii="黑体" w:hAnsi="黑体" w:eastAsia="黑体" w:cs="黑体"/>
          <w:color w:val="FF0000"/>
          <w:sz w:val="32"/>
          <w:szCs w:val="32"/>
        </w:rPr>
      </w:pPr>
    </w:p>
    <w:p w14:paraId="1EB007A2">
      <w:pPr>
        <w:rPr>
          <w:rFonts w:hint="eastAsia" w:ascii="黑体" w:hAnsi="黑体" w:eastAsia="黑体" w:cs="黑体"/>
          <w:color w:val="FF0000"/>
          <w:sz w:val="32"/>
          <w:szCs w:val="32"/>
        </w:rPr>
      </w:pPr>
    </w:p>
    <w:p w14:paraId="1983EBB4">
      <w:pPr>
        <w:widowControl/>
        <w:spacing w:line="560" w:lineRule="exact"/>
        <w:jc w:val="left"/>
        <w:rPr>
          <w:rFonts w:hint="eastAsia" w:ascii="黑体" w:hAnsi="黑体" w:eastAsia="黑体" w:cs="黑体"/>
          <w:color w:val="auto"/>
          <w:sz w:val="32"/>
          <w:szCs w:val="32"/>
        </w:rPr>
      </w:pPr>
    </w:p>
    <w:p w14:paraId="6D850496">
      <w:pPr>
        <w:widowControl/>
        <w:spacing w:line="56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附件1</w:t>
      </w:r>
    </w:p>
    <w:tbl>
      <w:tblPr>
        <w:tblStyle w:val="9"/>
        <w:tblpPr w:leftFromText="180" w:rightFromText="180" w:vertAnchor="text" w:horzAnchor="page" w:tblpX="1826" w:tblpY="802"/>
        <w:tblOverlap w:val="never"/>
        <w:tblW w:w="86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
        <w:gridCol w:w="1378"/>
        <w:gridCol w:w="1830"/>
        <w:gridCol w:w="402"/>
        <w:gridCol w:w="1668"/>
        <w:gridCol w:w="418"/>
        <w:gridCol w:w="2011"/>
      </w:tblGrid>
      <w:tr w14:paraId="50EBB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335" w:type="dxa"/>
            <w:gridSpan w:val="2"/>
            <w:noWrap w:val="0"/>
            <w:vAlign w:val="center"/>
          </w:tcPr>
          <w:p w14:paraId="03ED4784">
            <w:pPr>
              <w:jc w:val="center"/>
              <w:rPr>
                <w:rFonts w:ascii="仿宋_GB2312" w:eastAsia="仿宋_GB2312"/>
                <w:b/>
                <w:bCs/>
                <w:color w:val="000000"/>
                <w:sz w:val="28"/>
                <w:szCs w:val="28"/>
              </w:rPr>
            </w:pPr>
            <w:r>
              <w:rPr>
                <w:rFonts w:hint="eastAsia" w:ascii="仿宋_GB2312" w:eastAsia="仿宋_GB2312"/>
                <w:b/>
                <w:bCs/>
                <w:color w:val="000000"/>
                <w:sz w:val="28"/>
                <w:szCs w:val="28"/>
              </w:rPr>
              <w:t>机构名称</w:t>
            </w:r>
          </w:p>
        </w:tc>
        <w:tc>
          <w:tcPr>
            <w:tcW w:w="6329" w:type="dxa"/>
            <w:gridSpan w:val="5"/>
            <w:noWrap w:val="0"/>
            <w:vAlign w:val="center"/>
          </w:tcPr>
          <w:p w14:paraId="6B1D550A">
            <w:pPr>
              <w:ind w:firstLine="560"/>
              <w:jc w:val="center"/>
              <w:rPr>
                <w:rFonts w:ascii="仿宋_GB2312" w:eastAsia="仿宋_GB2312"/>
                <w:b w:val="0"/>
                <w:bCs w:val="0"/>
                <w:color w:val="000000"/>
                <w:sz w:val="24"/>
              </w:rPr>
            </w:pPr>
          </w:p>
        </w:tc>
      </w:tr>
      <w:tr w14:paraId="7734B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335" w:type="dxa"/>
            <w:gridSpan w:val="2"/>
            <w:noWrap w:val="0"/>
            <w:vAlign w:val="center"/>
          </w:tcPr>
          <w:p w14:paraId="277FB8CD">
            <w:pPr>
              <w:jc w:val="center"/>
              <w:rPr>
                <w:rFonts w:hint="eastAsia" w:ascii="仿宋_GB2312" w:eastAsia="仿宋_GB2312"/>
                <w:b/>
                <w:bCs/>
                <w:color w:val="000000"/>
                <w:sz w:val="28"/>
                <w:szCs w:val="28"/>
                <w:lang w:eastAsia="zh-CN"/>
              </w:rPr>
            </w:pPr>
            <w:r>
              <w:rPr>
                <w:rFonts w:hint="eastAsia" w:ascii="仿宋_GB2312" w:eastAsia="仿宋_GB2312"/>
                <w:b/>
                <w:bCs/>
                <w:color w:val="000000"/>
                <w:sz w:val="28"/>
                <w:szCs w:val="28"/>
                <w:lang w:eastAsia="zh-CN"/>
              </w:rPr>
              <w:t>机构地址</w:t>
            </w:r>
          </w:p>
        </w:tc>
        <w:tc>
          <w:tcPr>
            <w:tcW w:w="6329" w:type="dxa"/>
            <w:gridSpan w:val="5"/>
            <w:noWrap w:val="0"/>
            <w:vAlign w:val="center"/>
          </w:tcPr>
          <w:p w14:paraId="6213FB43">
            <w:pPr>
              <w:ind w:firstLine="560"/>
              <w:jc w:val="center"/>
              <w:rPr>
                <w:rFonts w:ascii="仿宋_GB2312" w:eastAsia="仿宋_GB2312"/>
                <w:b w:val="0"/>
                <w:bCs w:val="0"/>
                <w:color w:val="000000"/>
                <w:sz w:val="24"/>
              </w:rPr>
            </w:pPr>
          </w:p>
        </w:tc>
      </w:tr>
      <w:tr w14:paraId="7DE48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335" w:type="dxa"/>
            <w:gridSpan w:val="2"/>
            <w:noWrap w:val="0"/>
            <w:vAlign w:val="center"/>
          </w:tcPr>
          <w:p w14:paraId="37E3B230">
            <w:pPr>
              <w:jc w:val="center"/>
              <w:rPr>
                <w:rFonts w:hint="eastAsia" w:ascii="仿宋_GB2312" w:eastAsia="仿宋_GB2312"/>
                <w:b/>
                <w:bCs/>
                <w:color w:val="000000"/>
                <w:sz w:val="28"/>
                <w:szCs w:val="28"/>
                <w:lang w:eastAsia="zh-CN"/>
              </w:rPr>
            </w:pPr>
            <w:r>
              <w:rPr>
                <w:rFonts w:hint="eastAsia" w:ascii="仿宋_GB2312" w:eastAsia="仿宋_GB2312"/>
                <w:b/>
                <w:bCs/>
                <w:color w:val="000000"/>
                <w:sz w:val="28"/>
                <w:szCs w:val="28"/>
                <w:lang w:eastAsia="zh-CN"/>
              </w:rPr>
              <w:t>单位类别</w:t>
            </w:r>
          </w:p>
        </w:tc>
        <w:tc>
          <w:tcPr>
            <w:tcW w:w="6329" w:type="dxa"/>
            <w:gridSpan w:val="5"/>
            <w:noWrap w:val="0"/>
            <w:vAlign w:val="center"/>
          </w:tcPr>
          <w:p w14:paraId="75BDCF6D">
            <w:pPr>
              <w:jc w:val="both"/>
              <w:rPr>
                <w:rFonts w:hint="eastAsia" w:ascii="仿宋_GB2312" w:eastAsia="仿宋_GB2312"/>
                <w:b w:val="0"/>
                <w:bCs w:val="0"/>
                <w:color w:val="000000"/>
                <w:sz w:val="24"/>
                <w:lang w:val="en-US" w:eastAsia="zh-CN"/>
              </w:rPr>
            </w:pPr>
            <w:r>
              <w:rPr>
                <w:rFonts w:hint="eastAsia" w:ascii="仿宋_GB2312" w:eastAsia="仿宋_GB2312"/>
                <w:b w:val="0"/>
                <w:bCs w:val="0"/>
                <w:color w:val="000000"/>
                <w:sz w:val="24"/>
                <w:lang w:eastAsia="zh-CN"/>
              </w:rPr>
              <w:t>综合</w:t>
            </w:r>
            <w:r>
              <w:rPr>
                <w:rFonts w:hint="eastAsia" w:ascii="仿宋_GB2312" w:eastAsia="仿宋_GB2312"/>
                <w:b w:val="0"/>
                <w:bCs w:val="0"/>
                <w:color w:val="000000"/>
                <w:sz w:val="24"/>
              </w:rPr>
              <w:t>□</w:t>
            </w:r>
            <w:r>
              <w:rPr>
                <w:rFonts w:hint="eastAsia" w:ascii="仿宋_GB2312" w:eastAsia="仿宋_GB2312"/>
                <w:b w:val="0"/>
                <w:bCs w:val="0"/>
                <w:color w:val="000000"/>
                <w:sz w:val="24"/>
                <w:lang w:val="en-US" w:eastAsia="zh-CN"/>
              </w:rPr>
              <w:t xml:space="preserve">   中医</w:t>
            </w:r>
            <w:r>
              <w:rPr>
                <w:rFonts w:hint="eastAsia" w:ascii="仿宋_GB2312" w:eastAsia="仿宋_GB2312"/>
                <w:b w:val="0"/>
                <w:bCs w:val="0"/>
                <w:color w:val="000000"/>
                <w:sz w:val="24"/>
              </w:rPr>
              <w:t>□</w:t>
            </w:r>
            <w:r>
              <w:rPr>
                <w:rFonts w:hint="eastAsia" w:ascii="仿宋_GB2312" w:eastAsia="仿宋_GB2312"/>
                <w:b w:val="0"/>
                <w:bCs w:val="0"/>
                <w:color w:val="000000"/>
                <w:sz w:val="24"/>
                <w:lang w:val="en-US" w:eastAsia="zh-CN"/>
              </w:rPr>
              <w:t xml:space="preserve">  中西医结合</w:t>
            </w:r>
            <w:r>
              <w:rPr>
                <w:rFonts w:hint="eastAsia" w:ascii="仿宋_GB2312" w:eastAsia="仿宋_GB2312"/>
                <w:b w:val="0"/>
                <w:bCs w:val="0"/>
                <w:color w:val="000000"/>
                <w:sz w:val="24"/>
              </w:rPr>
              <w:t>□</w:t>
            </w:r>
            <w:r>
              <w:rPr>
                <w:rFonts w:hint="eastAsia" w:ascii="仿宋_GB2312" w:eastAsia="仿宋_GB2312"/>
                <w:b w:val="0"/>
                <w:bCs w:val="0"/>
                <w:color w:val="000000"/>
                <w:sz w:val="24"/>
                <w:lang w:val="en-US" w:eastAsia="zh-CN"/>
              </w:rPr>
              <w:t xml:space="preserve">  口腔</w:t>
            </w:r>
            <w:r>
              <w:rPr>
                <w:rFonts w:hint="eastAsia" w:ascii="仿宋_GB2312" w:eastAsia="仿宋_GB2312"/>
                <w:b w:val="0"/>
                <w:bCs w:val="0"/>
                <w:color w:val="000000"/>
                <w:sz w:val="24"/>
              </w:rPr>
              <w:t>□</w:t>
            </w:r>
            <w:r>
              <w:rPr>
                <w:rFonts w:hint="eastAsia" w:ascii="仿宋_GB2312" w:eastAsia="仿宋_GB2312"/>
                <w:b w:val="0"/>
                <w:bCs w:val="0"/>
                <w:color w:val="000000"/>
                <w:sz w:val="24"/>
                <w:lang w:val="en-US" w:eastAsia="zh-CN"/>
              </w:rPr>
              <w:t xml:space="preserve">  民族医</w:t>
            </w:r>
            <w:r>
              <w:rPr>
                <w:rFonts w:hint="eastAsia" w:ascii="仿宋_GB2312" w:eastAsia="仿宋_GB2312"/>
                <w:b w:val="0"/>
                <w:bCs w:val="0"/>
                <w:color w:val="000000"/>
                <w:sz w:val="24"/>
              </w:rPr>
              <w:t>□</w:t>
            </w:r>
            <w:r>
              <w:rPr>
                <w:rFonts w:hint="eastAsia" w:ascii="仿宋_GB2312" w:eastAsia="仿宋_GB2312"/>
                <w:b w:val="0"/>
                <w:bCs w:val="0"/>
                <w:color w:val="000000"/>
                <w:sz w:val="24"/>
                <w:lang w:val="en-US" w:eastAsia="zh-CN"/>
              </w:rPr>
              <w:t xml:space="preserve">  </w:t>
            </w:r>
          </w:p>
          <w:p w14:paraId="73512381">
            <w:pPr>
              <w:jc w:val="both"/>
              <w:rPr>
                <w:rFonts w:hint="default" w:ascii="仿宋_GB2312" w:eastAsia="仿宋_GB2312"/>
                <w:b w:val="0"/>
                <w:bCs w:val="0"/>
                <w:color w:val="000000"/>
                <w:sz w:val="24"/>
                <w:u w:val="single"/>
                <w:lang w:val="en-US" w:eastAsia="zh-CN"/>
              </w:rPr>
            </w:pPr>
            <w:r>
              <w:rPr>
                <w:rFonts w:hint="eastAsia" w:ascii="仿宋_GB2312" w:eastAsia="仿宋_GB2312"/>
                <w:b w:val="0"/>
                <w:bCs w:val="0"/>
                <w:color w:val="000000"/>
                <w:sz w:val="24"/>
                <w:lang w:val="en-US" w:eastAsia="zh-CN"/>
              </w:rPr>
              <w:t>其他</w:t>
            </w:r>
            <w:r>
              <w:rPr>
                <w:rFonts w:hint="eastAsia" w:ascii="仿宋_GB2312" w:eastAsia="仿宋_GB2312"/>
                <w:b w:val="0"/>
                <w:bCs w:val="0"/>
                <w:color w:val="000000"/>
                <w:sz w:val="24"/>
              </w:rPr>
              <w:t>□</w:t>
            </w:r>
            <w:r>
              <w:rPr>
                <w:rFonts w:hint="eastAsia" w:ascii="仿宋_GB2312" w:eastAsia="仿宋_GB2312"/>
                <w:b w:val="0"/>
                <w:bCs w:val="0"/>
                <w:color w:val="000000"/>
                <w:sz w:val="24"/>
                <w:u w:val="single"/>
                <w:lang w:val="en-US" w:eastAsia="zh-CN"/>
              </w:rPr>
              <w:t xml:space="preserve">               </w:t>
            </w:r>
          </w:p>
        </w:tc>
      </w:tr>
      <w:tr w14:paraId="77990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335" w:type="dxa"/>
            <w:gridSpan w:val="2"/>
            <w:noWrap w:val="0"/>
            <w:vAlign w:val="center"/>
          </w:tcPr>
          <w:p w14:paraId="4BD38B8D">
            <w:pPr>
              <w:jc w:val="center"/>
              <w:rPr>
                <w:rFonts w:hint="eastAsia" w:ascii="仿宋_GB2312" w:eastAsia="仿宋_GB2312"/>
                <w:b/>
                <w:bCs/>
                <w:color w:val="000000"/>
                <w:sz w:val="28"/>
                <w:szCs w:val="28"/>
                <w:lang w:eastAsia="zh-CN"/>
              </w:rPr>
            </w:pPr>
            <w:r>
              <w:rPr>
                <w:rFonts w:hint="eastAsia" w:ascii="仿宋_GB2312" w:eastAsia="仿宋_GB2312"/>
                <w:b/>
                <w:bCs/>
                <w:color w:val="000000"/>
                <w:sz w:val="28"/>
                <w:szCs w:val="28"/>
                <w:lang w:eastAsia="zh-CN"/>
              </w:rPr>
              <w:t>单位级别</w:t>
            </w:r>
          </w:p>
        </w:tc>
        <w:tc>
          <w:tcPr>
            <w:tcW w:w="6329" w:type="dxa"/>
            <w:gridSpan w:val="5"/>
            <w:noWrap w:val="0"/>
            <w:vAlign w:val="center"/>
          </w:tcPr>
          <w:p w14:paraId="21F2996A">
            <w:pPr>
              <w:ind w:firstLine="560"/>
              <w:jc w:val="center"/>
              <w:rPr>
                <w:rFonts w:ascii="仿宋_GB2312" w:eastAsia="仿宋_GB2312"/>
                <w:b w:val="0"/>
                <w:bCs w:val="0"/>
                <w:color w:val="000000"/>
                <w:sz w:val="24"/>
              </w:rPr>
            </w:pPr>
          </w:p>
        </w:tc>
      </w:tr>
      <w:tr w14:paraId="2E7A0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335" w:type="dxa"/>
            <w:gridSpan w:val="2"/>
            <w:noWrap w:val="0"/>
            <w:vAlign w:val="center"/>
          </w:tcPr>
          <w:p w14:paraId="5F81534C">
            <w:pPr>
              <w:jc w:val="center"/>
              <w:rPr>
                <w:rFonts w:hint="eastAsia" w:ascii="仿宋_GB2312" w:eastAsia="仿宋_GB2312"/>
                <w:b/>
                <w:bCs/>
                <w:color w:val="000000"/>
                <w:sz w:val="28"/>
                <w:szCs w:val="28"/>
                <w:lang w:eastAsia="zh-CN"/>
              </w:rPr>
            </w:pPr>
            <w:r>
              <w:rPr>
                <w:rFonts w:hint="eastAsia" w:ascii="仿宋_GB2312" w:eastAsia="仿宋_GB2312"/>
                <w:b/>
                <w:bCs/>
                <w:color w:val="000000"/>
                <w:sz w:val="28"/>
                <w:szCs w:val="28"/>
              </w:rPr>
              <w:t>经营性质</w:t>
            </w:r>
          </w:p>
        </w:tc>
        <w:tc>
          <w:tcPr>
            <w:tcW w:w="6329" w:type="dxa"/>
            <w:gridSpan w:val="5"/>
            <w:noWrap w:val="0"/>
            <w:vAlign w:val="top"/>
          </w:tcPr>
          <w:p w14:paraId="38F78931">
            <w:pPr>
              <w:widowControl/>
              <w:spacing w:line="320" w:lineRule="exact"/>
              <w:jc w:val="left"/>
              <w:rPr>
                <w:rFonts w:ascii="仿宋_GB2312" w:eastAsia="仿宋_GB2312"/>
                <w:b w:val="0"/>
                <w:bCs w:val="0"/>
                <w:color w:val="000000"/>
                <w:sz w:val="24"/>
              </w:rPr>
            </w:pPr>
            <w:r>
              <w:rPr>
                <w:rFonts w:hint="eastAsia" w:ascii="仿宋_GB2312" w:eastAsia="仿宋_GB2312"/>
                <w:b w:val="0"/>
                <w:bCs w:val="0"/>
                <w:color w:val="000000"/>
                <w:sz w:val="24"/>
              </w:rPr>
              <w:t>公立□</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民营营利□</w:t>
            </w:r>
            <w:r>
              <w:rPr>
                <w:rFonts w:hint="eastAsia" w:ascii="仿宋_GB2312" w:eastAsia="仿宋_GB2312"/>
                <w:b w:val="0"/>
                <w:bCs w:val="0"/>
                <w:color w:val="000000"/>
                <w:sz w:val="24"/>
                <w:lang w:val="en-US" w:eastAsia="zh-CN"/>
              </w:rPr>
              <w:t xml:space="preserve">  民营</w:t>
            </w:r>
            <w:r>
              <w:rPr>
                <w:rFonts w:hint="eastAsia" w:ascii="仿宋_GB2312" w:eastAsia="仿宋_GB2312"/>
                <w:b w:val="0"/>
                <w:bCs w:val="0"/>
                <w:color w:val="000000"/>
                <w:sz w:val="24"/>
              </w:rPr>
              <w:t>非营利□</w:t>
            </w:r>
          </w:p>
        </w:tc>
      </w:tr>
      <w:tr w14:paraId="0F41B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335" w:type="dxa"/>
            <w:gridSpan w:val="2"/>
            <w:noWrap w:val="0"/>
            <w:vAlign w:val="center"/>
          </w:tcPr>
          <w:p w14:paraId="7293742E">
            <w:pPr>
              <w:jc w:val="center"/>
              <w:rPr>
                <w:rFonts w:hint="default" w:ascii="仿宋_GB2312" w:eastAsia="仿宋_GB2312"/>
                <w:b/>
                <w:bCs/>
                <w:color w:val="000000"/>
                <w:sz w:val="28"/>
                <w:szCs w:val="28"/>
                <w:lang w:val="en-US" w:eastAsia="zh-CN"/>
              </w:rPr>
            </w:pPr>
            <w:r>
              <w:rPr>
                <w:rFonts w:hint="eastAsia" w:ascii="仿宋_GB2312" w:eastAsia="仿宋_GB2312"/>
                <w:b/>
                <w:bCs/>
                <w:color w:val="000000"/>
                <w:sz w:val="28"/>
                <w:szCs w:val="28"/>
                <w:lang w:val="en-US" w:eastAsia="zh-CN"/>
              </w:rPr>
              <w:t>法定代表人</w:t>
            </w:r>
          </w:p>
        </w:tc>
        <w:tc>
          <w:tcPr>
            <w:tcW w:w="1830" w:type="dxa"/>
            <w:noWrap w:val="0"/>
            <w:vAlign w:val="center"/>
          </w:tcPr>
          <w:p w14:paraId="567A0F82">
            <w:pPr>
              <w:ind w:firstLine="560"/>
              <w:jc w:val="center"/>
              <w:rPr>
                <w:rFonts w:ascii="仿宋_GB2312" w:eastAsia="仿宋_GB2312"/>
                <w:b w:val="0"/>
                <w:bCs w:val="0"/>
                <w:color w:val="000000"/>
                <w:sz w:val="24"/>
              </w:rPr>
            </w:pPr>
          </w:p>
        </w:tc>
        <w:tc>
          <w:tcPr>
            <w:tcW w:w="2070" w:type="dxa"/>
            <w:gridSpan w:val="2"/>
            <w:noWrap w:val="0"/>
            <w:vAlign w:val="center"/>
          </w:tcPr>
          <w:p w14:paraId="016ADC2B">
            <w:pPr>
              <w:jc w:val="center"/>
              <w:rPr>
                <w:rFonts w:ascii="仿宋_GB2312" w:eastAsia="仿宋_GB2312"/>
                <w:b w:val="0"/>
                <w:bCs w:val="0"/>
                <w:color w:val="000000"/>
                <w:sz w:val="24"/>
              </w:rPr>
            </w:pPr>
            <w:r>
              <w:rPr>
                <w:rFonts w:hint="eastAsia" w:ascii="仿宋_GB2312" w:eastAsia="仿宋_GB2312"/>
                <w:b/>
                <w:bCs/>
                <w:color w:val="000000"/>
                <w:sz w:val="28"/>
                <w:szCs w:val="28"/>
              </w:rPr>
              <w:t>身份证号码</w:t>
            </w:r>
          </w:p>
        </w:tc>
        <w:tc>
          <w:tcPr>
            <w:tcW w:w="2429" w:type="dxa"/>
            <w:gridSpan w:val="2"/>
            <w:noWrap w:val="0"/>
            <w:vAlign w:val="center"/>
          </w:tcPr>
          <w:p w14:paraId="598729EA">
            <w:pPr>
              <w:jc w:val="center"/>
              <w:rPr>
                <w:rFonts w:ascii="仿宋_GB2312" w:eastAsia="仿宋_GB2312"/>
                <w:b w:val="0"/>
                <w:bCs w:val="0"/>
                <w:color w:val="000000"/>
                <w:sz w:val="24"/>
              </w:rPr>
            </w:pPr>
          </w:p>
        </w:tc>
      </w:tr>
      <w:tr w14:paraId="34889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335" w:type="dxa"/>
            <w:gridSpan w:val="2"/>
            <w:noWrap w:val="0"/>
            <w:vAlign w:val="center"/>
          </w:tcPr>
          <w:p w14:paraId="7C7EEBF1">
            <w:pPr>
              <w:jc w:val="center"/>
              <w:rPr>
                <w:rFonts w:hint="eastAsia" w:ascii="仿宋_GB2312" w:eastAsia="仿宋_GB2312"/>
                <w:b/>
                <w:bCs/>
                <w:color w:val="000000"/>
                <w:sz w:val="28"/>
                <w:szCs w:val="28"/>
              </w:rPr>
            </w:pPr>
            <w:r>
              <w:rPr>
                <w:rFonts w:hint="eastAsia" w:ascii="仿宋_GB2312" w:eastAsia="仿宋_GB2312"/>
                <w:b/>
                <w:bCs/>
                <w:color w:val="000000"/>
                <w:sz w:val="28"/>
                <w:szCs w:val="28"/>
              </w:rPr>
              <w:t>联系人</w:t>
            </w:r>
          </w:p>
        </w:tc>
        <w:tc>
          <w:tcPr>
            <w:tcW w:w="1830" w:type="dxa"/>
            <w:noWrap w:val="0"/>
            <w:vAlign w:val="top"/>
          </w:tcPr>
          <w:p w14:paraId="488BA8DF">
            <w:pPr>
              <w:rPr>
                <w:rFonts w:ascii="仿宋_GB2312" w:eastAsia="仿宋_GB2312"/>
                <w:b w:val="0"/>
                <w:bCs w:val="0"/>
                <w:color w:val="000000"/>
                <w:sz w:val="24"/>
              </w:rPr>
            </w:pPr>
          </w:p>
        </w:tc>
        <w:tc>
          <w:tcPr>
            <w:tcW w:w="2070" w:type="dxa"/>
            <w:gridSpan w:val="2"/>
            <w:noWrap w:val="0"/>
            <w:vAlign w:val="center"/>
          </w:tcPr>
          <w:p w14:paraId="2C1F0C12">
            <w:pPr>
              <w:jc w:val="center"/>
              <w:rPr>
                <w:rFonts w:hint="eastAsia" w:ascii="仿宋_GB2312" w:eastAsia="仿宋_GB2312"/>
                <w:b w:val="0"/>
                <w:bCs w:val="0"/>
                <w:color w:val="000000"/>
                <w:sz w:val="24"/>
              </w:rPr>
            </w:pPr>
            <w:r>
              <w:rPr>
                <w:rFonts w:hint="eastAsia" w:ascii="仿宋_GB2312" w:eastAsia="仿宋_GB2312"/>
                <w:b/>
                <w:bCs/>
                <w:color w:val="000000"/>
                <w:sz w:val="28"/>
                <w:szCs w:val="28"/>
              </w:rPr>
              <w:t>联系电话</w:t>
            </w:r>
          </w:p>
        </w:tc>
        <w:tc>
          <w:tcPr>
            <w:tcW w:w="2429" w:type="dxa"/>
            <w:gridSpan w:val="2"/>
            <w:noWrap w:val="0"/>
            <w:vAlign w:val="top"/>
          </w:tcPr>
          <w:p w14:paraId="71ABA7EE">
            <w:pPr>
              <w:rPr>
                <w:rFonts w:ascii="仿宋_GB2312" w:eastAsia="仿宋_GB2312"/>
                <w:b w:val="0"/>
                <w:bCs w:val="0"/>
                <w:color w:val="000000"/>
                <w:sz w:val="24"/>
              </w:rPr>
            </w:pPr>
          </w:p>
        </w:tc>
      </w:tr>
      <w:tr w14:paraId="1F932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2335" w:type="dxa"/>
            <w:gridSpan w:val="2"/>
            <w:noWrap w:val="0"/>
            <w:vAlign w:val="center"/>
          </w:tcPr>
          <w:p w14:paraId="3B1D4880">
            <w:pPr>
              <w:jc w:val="center"/>
              <w:rPr>
                <w:rFonts w:hint="eastAsia" w:ascii="仿宋_GB2312" w:eastAsia="仿宋_GB2312"/>
                <w:b/>
                <w:bCs/>
                <w:color w:val="000000"/>
                <w:sz w:val="28"/>
                <w:szCs w:val="28"/>
              </w:rPr>
            </w:pPr>
            <w:r>
              <w:rPr>
                <w:rFonts w:hint="eastAsia" w:ascii="仿宋_GB2312" w:eastAsia="仿宋_GB2312"/>
                <w:b/>
                <w:bCs/>
                <w:color w:val="000000"/>
                <w:sz w:val="28"/>
                <w:szCs w:val="28"/>
              </w:rPr>
              <w:t>医疗机构执业</w:t>
            </w:r>
          </w:p>
          <w:p w14:paraId="5C9FA095">
            <w:pPr>
              <w:jc w:val="center"/>
              <w:rPr>
                <w:rFonts w:hint="eastAsia" w:ascii="仿宋_GB2312" w:eastAsia="仿宋_GB2312"/>
                <w:b/>
                <w:bCs/>
                <w:color w:val="000000"/>
                <w:sz w:val="28"/>
                <w:szCs w:val="28"/>
              </w:rPr>
            </w:pPr>
            <w:r>
              <w:rPr>
                <w:rFonts w:hint="eastAsia" w:ascii="仿宋_GB2312" w:eastAsia="仿宋_GB2312"/>
                <w:b/>
                <w:bCs/>
                <w:color w:val="000000"/>
                <w:sz w:val="28"/>
                <w:szCs w:val="28"/>
              </w:rPr>
              <w:t>许可证号</w:t>
            </w:r>
          </w:p>
        </w:tc>
        <w:tc>
          <w:tcPr>
            <w:tcW w:w="6329" w:type="dxa"/>
            <w:gridSpan w:val="5"/>
            <w:noWrap w:val="0"/>
            <w:vAlign w:val="top"/>
          </w:tcPr>
          <w:p w14:paraId="01E5F2E8">
            <w:pPr>
              <w:ind w:firstLine="560"/>
              <w:jc w:val="center"/>
              <w:rPr>
                <w:rFonts w:ascii="仿宋_GB2312" w:eastAsia="仿宋_GB2312"/>
                <w:b w:val="0"/>
                <w:bCs w:val="0"/>
                <w:color w:val="000000"/>
                <w:sz w:val="24"/>
              </w:rPr>
            </w:pPr>
          </w:p>
        </w:tc>
      </w:tr>
      <w:tr w14:paraId="10C7E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exact"/>
        </w:trPr>
        <w:tc>
          <w:tcPr>
            <w:tcW w:w="957" w:type="dxa"/>
            <w:vMerge w:val="restart"/>
            <w:noWrap w:val="0"/>
            <w:vAlign w:val="center"/>
          </w:tcPr>
          <w:p w14:paraId="1BE330E9">
            <w:pPr>
              <w:spacing w:line="400" w:lineRule="exact"/>
              <w:ind w:firstLine="120" w:firstLineChars="50"/>
              <w:jc w:val="center"/>
              <w:rPr>
                <w:rFonts w:ascii="仿宋_GB2312" w:eastAsia="仿宋_GB2312"/>
                <w:b w:val="0"/>
                <w:bCs w:val="0"/>
                <w:color w:val="000000"/>
                <w:sz w:val="24"/>
              </w:rPr>
            </w:pPr>
          </w:p>
          <w:p w14:paraId="6AD4D16B">
            <w:pPr>
              <w:spacing w:line="400" w:lineRule="exact"/>
              <w:ind w:firstLine="120" w:firstLineChars="50"/>
              <w:jc w:val="center"/>
              <w:rPr>
                <w:rFonts w:ascii="仿宋_GB2312" w:eastAsia="仿宋_GB2312"/>
                <w:b w:val="0"/>
                <w:bCs w:val="0"/>
                <w:color w:val="000000"/>
                <w:sz w:val="24"/>
              </w:rPr>
            </w:pPr>
            <w:r>
              <w:rPr>
                <w:rFonts w:hint="eastAsia" w:ascii="仿宋_GB2312" w:eastAsia="仿宋_GB2312"/>
                <w:b w:val="0"/>
                <w:bCs w:val="0"/>
                <w:color w:val="000000"/>
                <w:sz w:val="24"/>
              </w:rPr>
              <w:t>人</w:t>
            </w:r>
          </w:p>
          <w:p w14:paraId="186FE449">
            <w:pPr>
              <w:spacing w:line="400" w:lineRule="exact"/>
              <w:ind w:firstLine="120" w:firstLineChars="50"/>
              <w:jc w:val="center"/>
              <w:rPr>
                <w:rFonts w:ascii="仿宋_GB2312" w:eastAsia="仿宋_GB2312"/>
                <w:b w:val="0"/>
                <w:bCs w:val="0"/>
                <w:color w:val="000000"/>
                <w:sz w:val="24"/>
              </w:rPr>
            </w:pPr>
            <w:r>
              <w:rPr>
                <w:rFonts w:hint="eastAsia" w:ascii="仿宋_GB2312" w:eastAsia="仿宋_GB2312"/>
                <w:b w:val="0"/>
                <w:bCs w:val="0"/>
                <w:color w:val="000000"/>
                <w:sz w:val="24"/>
              </w:rPr>
              <w:t>员</w:t>
            </w:r>
          </w:p>
          <w:p w14:paraId="5C689E22">
            <w:pPr>
              <w:spacing w:line="400" w:lineRule="exact"/>
              <w:ind w:firstLine="120" w:firstLineChars="50"/>
              <w:jc w:val="center"/>
              <w:rPr>
                <w:rFonts w:ascii="仿宋_GB2312" w:eastAsia="仿宋_GB2312"/>
                <w:b w:val="0"/>
                <w:bCs w:val="0"/>
                <w:color w:val="000000"/>
                <w:sz w:val="24"/>
              </w:rPr>
            </w:pPr>
            <w:r>
              <w:rPr>
                <w:rFonts w:hint="eastAsia" w:ascii="仿宋_GB2312" w:eastAsia="仿宋_GB2312"/>
                <w:b w:val="0"/>
                <w:bCs w:val="0"/>
                <w:color w:val="000000"/>
                <w:sz w:val="24"/>
              </w:rPr>
              <w:t>构</w:t>
            </w:r>
          </w:p>
          <w:p w14:paraId="41EF69E9">
            <w:pPr>
              <w:spacing w:line="400" w:lineRule="exact"/>
              <w:ind w:firstLine="120" w:firstLineChars="50"/>
              <w:jc w:val="center"/>
              <w:rPr>
                <w:rFonts w:ascii="仿宋_GB2312" w:eastAsia="仿宋_GB2312"/>
                <w:b w:val="0"/>
                <w:bCs w:val="0"/>
                <w:color w:val="000000"/>
                <w:sz w:val="24"/>
              </w:rPr>
            </w:pPr>
            <w:r>
              <w:rPr>
                <w:rFonts w:hint="eastAsia" w:ascii="仿宋_GB2312" w:eastAsia="仿宋_GB2312"/>
                <w:b w:val="0"/>
                <w:bCs w:val="0"/>
                <w:color w:val="000000"/>
                <w:sz w:val="24"/>
              </w:rPr>
              <w:t>成</w:t>
            </w:r>
          </w:p>
          <w:p w14:paraId="48ACED00">
            <w:pPr>
              <w:spacing w:line="400" w:lineRule="exact"/>
              <w:ind w:firstLine="560"/>
              <w:jc w:val="center"/>
              <w:rPr>
                <w:rFonts w:ascii="仿宋_GB2312" w:eastAsia="仿宋_GB2312"/>
                <w:b w:val="0"/>
                <w:bCs w:val="0"/>
                <w:color w:val="000000"/>
                <w:sz w:val="24"/>
              </w:rPr>
            </w:pPr>
          </w:p>
        </w:tc>
        <w:tc>
          <w:tcPr>
            <w:tcW w:w="1378" w:type="dxa"/>
            <w:noWrap w:val="0"/>
            <w:vAlign w:val="center"/>
          </w:tcPr>
          <w:p w14:paraId="0960B61C">
            <w:pPr>
              <w:spacing w:line="400" w:lineRule="exact"/>
              <w:ind w:firstLine="120" w:firstLineChars="50"/>
              <w:jc w:val="center"/>
              <w:rPr>
                <w:rFonts w:ascii="仿宋_GB2312" w:eastAsia="仿宋_GB2312"/>
                <w:b w:val="0"/>
                <w:bCs w:val="0"/>
                <w:color w:val="000000"/>
                <w:sz w:val="24"/>
              </w:rPr>
            </w:pPr>
            <w:r>
              <w:rPr>
                <w:rFonts w:hint="eastAsia" w:ascii="仿宋_GB2312" w:eastAsia="仿宋_GB2312"/>
                <w:b w:val="0"/>
                <w:bCs w:val="0"/>
                <w:color w:val="000000"/>
                <w:sz w:val="24"/>
              </w:rPr>
              <w:t>执业医师</w:t>
            </w:r>
          </w:p>
        </w:tc>
        <w:tc>
          <w:tcPr>
            <w:tcW w:w="6329" w:type="dxa"/>
            <w:gridSpan w:val="5"/>
            <w:noWrap w:val="0"/>
            <w:vAlign w:val="center"/>
          </w:tcPr>
          <w:p w14:paraId="04BE4C4A">
            <w:pPr>
              <w:rPr>
                <w:rFonts w:ascii="仿宋_GB2312" w:eastAsia="仿宋_GB2312"/>
                <w:b w:val="0"/>
                <w:bCs w:val="0"/>
                <w:color w:val="000000"/>
                <w:sz w:val="24"/>
              </w:rPr>
            </w:pPr>
            <w:r>
              <w:rPr>
                <w:rFonts w:hint="eastAsia" w:ascii="仿宋_GB2312" w:eastAsia="仿宋_GB2312"/>
                <w:b w:val="0"/>
                <w:bCs w:val="0"/>
                <w:color w:val="000000"/>
                <w:sz w:val="24"/>
              </w:rPr>
              <w:t xml:space="preserve">共 </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人，其中：</w:t>
            </w:r>
          </w:p>
          <w:p w14:paraId="65F0EBB5">
            <w:pPr>
              <w:jc w:val="center"/>
              <w:rPr>
                <w:rFonts w:ascii="仿宋_GB2312" w:eastAsia="仿宋_GB2312"/>
                <w:b w:val="0"/>
                <w:bCs w:val="0"/>
                <w:color w:val="000000"/>
                <w:sz w:val="24"/>
              </w:rPr>
            </w:pPr>
            <w:r>
              <w:rPr>
                <w:rFonts w:hint="eastAsia" w:ascii="仿宋_GB2312" w:eastAsia="仿宋_GB2312"/>
                <w:b w:val="0"/>
                <w:bCs w:val="0"/>
                <w:color w:val="000000"/>
                <w:sz w:val="24"/>
              </w:rPr>
              <w:t xml:space="preserve">高级职称  </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 xml:space="preserve">人； 中级职称  </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 xml:space="preserve">人； 初级职称  </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人</w:t>
            </w:r>
          </w:p>
        </w:tc>
      </w:tr>
      <w:tr w14:paraId="3BF8F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exact"/>
        </w:trPr>
        <w:tc>
          <w:tcPr>
            <w:tcW w:w="957" w:type="dxa"/>
            <w:vMerge w:val="continue"/>
            <w:noWrap w:val="0"/>
            <w:vAlign w:val="center"/>
          </w:tcPr>
          <w:p w14:paraId="16DF105C">
            <w:pPr>
              <w:spacing w:line="400" w:lineRule="exact"/>
              <w:ind w:firstLine="560"/>
              <w:jc w:val="center"/>
              <w:rPr>
                <w:rFonts w:ascii="仿宋_GB2312" w:eastAsia="仿宋_GB2312"/>
                <w:b w:val="0"/>
                <w:bCs w:val="0"/>
                <w:color w:val="000000"/>
                <w:sz w:val="24"/>
              </w:rPr>
            </w:pPr>
          </w:p>
        </w:tc>
        <w:tc>
          <w:tcPr>
            <w:tcW w:w="1378" w:type="dxa"/>
            <w:noWrap w:val="0"/>
            <w:vAlign w:val="center"/>
          </w:tcPr>
          <w:p w14:paraId="2D68EA44">
            <w:pPr>
              <w:spacing w:line="400" w:lineRule="exact"/>
              <w:ind w:firstLine="120" w:firstLineChars="50"/>
              <w:jc w:val="center"/>
              <w:rPr>
                <w:rFonts w:ascii="仿宋_GB2312" w:eastAsia="仿宋_GB2312"/>
                <w:b w:val="0"/>
                <w:bCs w:val="0"/>
                <w:color w:val="000000"/>
                <w:sz w:val="24"/>
              </w:rPr>
            </w:pPr>
            <w:r>
              <w:rPr>
                <w:rFonts w:hint="eastAsia" w:ascii="仿宋_GB2312" w:eastAsia="仿宋_GB2312"/>
                <w:b w:val="0"/>
                <w:bCs w:val="0"/>
                <w:color w:val="000000"/>
                <w:sz w:val="24"/>
              </w:rPr>
              <w:t>注册护士</w:t>
            </w:r>
          </w:p>
        </w:tc>
        <w:tc>
          <w:tcPr>
            <w:tcW w:w="6329" w:type="dxa"/>
            <w:gridSpan w:val="5"/>
            <w:noWrap w:val="0"/>
            <w:vAlign w:val="center"/>
          </w:tcPr>
          <w:p w14:paraId="15F21461">
            <w:pPr>
              <w:rPr>
                <w:rFonts w:ascii="仿宋_GB2312" w:eastAsia="仿宋_GB2312"/>
                <w:b w:val="0"/>
                <w:bCs w:val="0"/>
                <w:color w:val="000000"/>
                <w:sz w:val="24"/>
              </w:rPr>
            </w:pPr>
            <w:r>
              <w:rPr>
                <w:rFonts w:hint="eastAsia" w:ascii="仿宋_GB2312" w:eastAsia="仿宋_GB2312"/>
                <w:b w:val="0"/>
                <w:bCs w:val="0"/>
                <w:color w:val="000000"/>
                <w:sz w:val="24"/>
              </w:rPr>
              <w:t xml:space="preserve">共  </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人，其中：</w:t>
            </w:r>
          </w:p>
          <w:p w14:paraId="1BC03BBC">
            <w:pPr>
              <w:ind w:firstLine="240" w:firstLineChars="100"/>
              <w:rPr>
                <w:rFonts w:ascii="仿宋_GB2312" w:eastAsia="仿宋_GB2312"/>
                <w:b w:val="0"/>
                <w:bCs w:val="0"/>
                <w:color w:val="000000"/>
                <w:sz w:val="24"/>
              </w:rPr>
            </w:pPr>
            <w:r>
              <w:rPr>
                <w:rFonts w:hint="eastAsia" w:ascii="仿宋_GB2312" w:eastAsia="仿宋_GB2312"/>
                <w:b w:val="0"/>
                <w:bCs w:val="0"/>
                <w:color w:val="000000"/>
                <w:sz w:val="24"/>
              </w:rPr>
              <w:t xml:space="preserve">高级职称 </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 xml:space="preserve">人；  中级职称 </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 xml:space="preserve">人；初级职称 </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人</w:t>
            </w:r>
          </w:p>
        </w:tc>
      </w:tr>
      <w:tr w14:paraId="54953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exact"/>
        </w:trPr>
        <w:tc>
          <w:tcPr>
            <w:tcW w:w="957" w:type="dxa"/>
            <w:vMerge w:val="continue"/>
            <w:noWrap w:val="0"/>
            <w:vAlign w:val="center"/>
          </w:tcPr>
          <w:p w14:paraId="30ED94A4">
            <w:pPr>
              <w:spacing w:line="400" w:lineRule="exact"/>
              <w:ind w:firstLine="560"/>
              <w:jc w:val="center"/>
              <w:rPr>
                <w:rFonts w:ascii="仿宋_GB2312" w:eastAsia="仿宋_GB2312"/>
                <w:b w:val="0"/>
                <w:bCs w:val="0"/>
                <w:color w:val="000000"/>
                <w:sz w:val="24"/>
              </w:rPr>
            </w:pPr>
          </w:p>
        </w:tc>
        <w:tc>
          <w:tcPr>
            <w:tcW w:w="1378" w:type="dxa"/>
            <w:noWrap w:val="0"/>
            <w:vAlign w:val="center"/>
          </w:tcPr>
          <w:p w14:paraId="54DDC5ED">
            <w:pPr>
              <w:spacing w:line="400" w:lineRule="exact"/>
              <w:ind w:firstLine="120" w:firstLineChars="50"/>
              <w:jc w:val="center"/>
              <w:rPr>
                <w:rFonts w:ascii="仿宋_GB2312" w:eastAsia="仿宋_GB2312"/>
                <w:b w:val="0"/>
                <w:bCs w:val="0"/>
                <w:color w:val="000000"/>
                <w:sz w:val="24"/>
              </w:rPr>
            </w:pPr>
            <w:r>
              <w:rPr>
                <w:rFonts w:hint="eastAsia" w:ascii="仿宋_GB2312" w:eastAsia="仿宋_GB2312"/>
                <w:b w:val="0"/>
                <w:bCs w:val="0"/>
                <w:color w:val="000000"/>
                <w:sz w:val="24"/>
              </w:rPr>
              <w:t>其他人员</w:t>
            </w:r>
          </w:p>
        </w:tc>
        <w:tc>
          <w:tcPr>
            <w:tcW w:w="2232" w:type="dxa"/>
            <w:gridSpan w:val="2"/>
            <w:noWrap w:val="0"/>
            <w:vAlign w:val="center"/>
          </w:tcPr>
          <w:p w14:paraId="40D28CB7">
            <w:pPr>
              <w:jc w:val="center"/>
              <w:rPr>
                <w:rFonts w:ascii="仿宋_GB2312" w:eastAsia="仿宋_GB2312"/>
                <w:b w:val="0"/>
                <w:bCs w:val="0"/>
                <w:color w:val="000000"/>
                <w:sz w:val="24"/>
              </w:rPr>
            </w:pPr>
            <w:r>
              <w:rPr>
                <w:rFonts w:hint="eastAsia" w:ascii="仿宋_GB2312" w:eastAsia="仿宋_GB2312"/>
                <w:b w:val="0"/>
                <w:bCs w:val="0"/>
                <w:color w:val="000000"/>
                <w:sz w:val="24"/>
              </w:rPr>
              <w:t xml:space="preserve">共  </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人</w:t>
            </w:r>
          </w:p>
        </w:tc>
        <w:tc>
          <w:tcPr>
            <w:tcW w:w="2086" w:type="dxa"/>
            <w:gridSpan w:val="2"/>
            <w:noWrap w:val="0"/>
            <w:vAlign w:val="center"/>
          </w:tcPr>
          <w:p w14:paraId="28D00559">
            <w:pPr>
              <w:jc w:val="center"/>
              <w:rPr>
                <w:rFonts w:ascii="仿宋_GB2312" w:eastAsia="仿宋_GB2312"/>
                <w:b w:val="0"/>
                <w:bCs w:val="0"/>
                <w:color w:val="000000"/>
                <w:sz w:val="24"/>
              </w:rPr>
            </w:pPr>
            <w:r>
              <w:rPr>
                <w:rFonts w:hint="eastAsia" w:ascii="仿宋_GB2312" w:eastAsia="仿宋_GB2312"/>
                <w:b w:val="0"/>
                <w:bCs w:val="0"/>
                <w:color w:val="000000"/>
                <w:sz w:val="24"/>
              </w:rPr>
              <w:t>合 计</w:t>
            </w:r>
          </w:p>
        </w:tc>
        <w:tc>
          <w:tcPr>
            <w:tcW w:w="2011" w:type="dxa"/>
            <w:noWrap w:val="0"/>
            <w:vAlign w:val="top"/>
          </w:tcPr>
          <w:p w14:paraId="24217976">
            <w:pPr>
              <w:jc w:val="center"/>
              <w:rPr>
                <w:rFonts w:ascii="仿宋_GB2312" w:eastAsia="仿宋_GB2312"/>
                <w:b w:val="0"/>
                <w:bCs w:val="0"/>
                <w:color w:val="000000"/>
                <w:sz w:val="24"/>
              </w:rPr>
            </w:pPr>
          </w:p>
        </w:tc>
      </w:tr>
      <w:tr w14:paraId="2E326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exact"/>
        </w:trPr>
        <w:tc>
          <w:tcPr>
            <w:tcW w:w="957" w:type="dxa"/>
            <w:noWrap w:val="0"/>
            <w:vAlign w:val="center"/>
          </w:tcPr>
          <w:p w14:paraId="79F07709">
            <w:pPr>
              <w:spacing w:line="400" w:lineRule="exact"/>
              <w:ind w:firstLine="120" w:firstLineChars="50"/>
              <w:jc w:val="center"/>
              <w:rPr>
                <w:rFonts w:ascii="仿宋_GB2312" w:eastAsia="仿宋_GB2312"/>
                <w:b w:val="0"/>
                <w:bCs w:val="0"/>
                <w:color w:val="000000"/>
                <w:sz w:val="24"/>
              </w:rPr>
            </w:pPr>
            <w:r>
              <w:rPr>
                <w:rFonts w:hint="eastAsia" w:ascii="仿宋_GB2312" w:eastAsia="仿宋_GB2312"/>
                <w:b w:val="0"/>
                <w:bCs w:val="0"/>
                <w:color w:val="000000"/>
                <w:sz w:val="24"/>
              </w:rPr>
              <w:t>科室</w:t>
            </w:r>
          </w:p>
          <w:p w14:paraId="0604320F">
            <w:pPr>
              <w:spacing w:line="400" w:lineRule="exact"/>
              <w:ind w:firstLine="120" w:firstLineChars="50"/>
              <w:jc w:val="center"/>
              <w:rPr>
                <w:rFonts w:ascii="仿宋_GB2312" w:eastAsia="仿宋_GB2312"/>
                <w:b w:val="0"/>
                <w:bCs w:val="0"/>
                <w:color w:val="000000"/>
                <w:sz w:val="24"/>
              </w:rPr>
            </w:pPr>
            <w:r>
              <w:rPr>
                <w:rFonts w:hint="eastAsia" w:ascii="仿宋_GB2312" w:eastAsia="仿宋_GB2312"/>
                <w:b w:val="0"/>
                <w:bCs w:val="0"/>
                <w:color w:val="000000"/>
                <w:sz w:val="24"/>
              </w:rPr>
              <w:t>情况</w:t>
            </w:r>
          </w:p>
        </w:tc>
        <w:tc>
          <w:tcPr>
            <w:tcW w:w="7707" w:type="dxa"/>
            <w:gridSpan w:val="6"/>
            <w:noWrap w:val="0"/>
            <w:vAlign w:val="center"/>
          </w:tcPr>
          <w:p w14:paraId="3CD2404B">
            <w:pPr>
              <w:rPr>
                <w:rFonts w:ascii="仿宋_GB2312" w:eastAsia="仿宋_GB2312"/>
                <w:b w:val="0"/>
                <w:bCs w:val="0"/>
                <w:color w:val="000000"/>
                <w:sz w:val="24"/>
              </w:rPr>
            </w:pPr>
            <w:r>
              <w:rPr>
                <w:rFonts w:hint="eastAsia" w:ascii="仿宋_GB2312" w:eastAsia="仿宋_GB2312"/>
                <w:b w:val="0"/>
                <w:bCs w:val="0"/>
                <w:color w:val="000000"/>
                <w:sz w:val="24"/>
              </w:rPr>
              <w:t>临床科室：</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个；</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医技科室：</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个</w:t>
            </w:r>
          </w:p>
        </w:tc>
      </w:tr>
      <w:tr w14:paraId="65E09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exact"/>
        </w:trPr>
        <w:tc>
          <w:tcPr>
            <w:tcW w:w="957" w:type="dxa"/>
            <w:noWrap w:val="0"/>
            <w:vAlign w:val="center"/>
          </w:tcPr>
          <w:p w14:paraId="0CF42FD5">
            <w:pPr>
              <w:jc w:val="center"/>
              <w:rPr>
                <w:rFonts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床位</w:t>
            </w:r>
          </w:p>
          <w:p w14:paraId="25DF4FD0">
            <w:pPr>
              <w:jc w:val="center"/>
              <w:rPr>
                <w:b w:val="0"/>
                <w:bCs w:val="0"/>
                <w:color w:val="000000"/>
                <w:sz w:val="24"/>
              </w:rPr>
            </w:pPr>
            <w:r>
              <w:rPr>
                <w:rFonts w:hint="eastAsia" w:ascii="仿宋_GB2312" w:hAnsi="仿宋_GB2312" w:eastAsia="仿宋_GB2312" w:cs="仿宋_GB2312"/>
                <w:b w:val="0"/>
                <w:bCs w:val="0"/>
                <w:color w:val="000000"/>
                <w:sz w:val="24"/>
              </w:rPr>
              <w:t>情况</w:t>
            </w:r>
          </w:p>
        </w:tc>
        <w:tc>
          <w:tcPr>
            <w:tcW w:w="7707" w:type="dxa"/>
            <w:gridSpan w:val="6"/>
            <w:noWrap w:val="0"/>
            <w:vAlign w:val="center"/>
          </w:tcPr>
          <w:p w14:paraId="55CDAAFC">
            <w:pPr>
              <w:rPr>
                <w:rFonts w:ascii="仿宋_GB2312" w:eastAsia="仿宋_GB2312"/>
                <w:b w:val="0"/>
                <w:bCs w:val="0"/>
                <w:color w:val="000000"/>
                <w:sz w:val="24"/>
              </w:rPr>
            </w:pPr>
            <w:r>
              <w:rPr>
                <w:rFonts w:hint="eastAsia" w:ascii="仿宋_GB2312" w:eastAsia="仿宋_GB2312"/>
                <w:b w:val="0"/>
                <w:bCs w:val="0"/>
                <w:color w:val="000000"/>
                <w:sz w:val="24"/>
              </w:rPr>
              <w:t>核定床位：</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张；</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开放床位：</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张</w:t>
            </w:r>
          </w:p>
        </w:tc>
      </w:tr>
      <w:tr w14:paraId="28313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exact"/>
        </w:trPr>
        <w:tc>
          <w:tcPr>
            <w:tcW w:w="957" w:type="dxa"/>
            <w:noWrap w:val="0"/>
            <w:vAlign w:val="center"/>
          </w:tcPr>
          <w:p w14:paraId="15654EAB">
            <w:pPr>
              <w:jc w:val="center"/>
              <w:rPr>
                <w:rFonts w:hint="eastAsia" w:ascii="仿宋_GB2312" w:eastAsia="仿宋_GB2312"/>
                <w:b w:val="0"/>
                <w:bCs w:val="0"/>
                <w:color w:val="000000"/>
                <w:sz w:val="24"/>
              </w:rPr>
            </w:pPr>
            <w:r>
              <w:rPr>
                <w:rFonts w:hint="eastAsia" w:ascii="仿宋_GB2312" w:eastAsia="仿宋_GB2312"/>
                <w:b w:val="0"/>
                <w:bCs w:val="0"/>
                <w:color w:val="000000"/>
                <w:sz w:val="24"/>
              </w:rPr>
              <w:t>申请</w:t>
            </w:r>
          </w:p>
          <w:p w14:paraId="7485BCC0">
            <w:pPr>
              <w:jc w:val="center"/>
              <w:rPr>
                <w:rFonts w:ascii="仿宋_GB2312" w:eastAsia="仿宋_GB2312"/>
                <w:b w:val="0"/>
                <w:bCs w:val="0"/>
                <w:color w:val="000000"/>
                <w:sz w:val="24"/>
              </w:rPr>
            </w:pPr>
            <w:r>
              <w:rPr>
                <w:rFonts w:hint="eastAsia" w:ascii="仿宋_GB2312" w:eastAsia="仿宋_GB2312"/>
                <w:b w:val="0"/>
                <w:bCs w:val="0"/>
                <w:color w:val="000000"/>
                <w:sz w:val="24"/>
              </w:rPr>
              <w:t>单位</w:t>
            </w:r>
          </w:p>
        </w:tc>
        <w:tc>
          <w:tcPr>
            <w:tcW w:w="7707" w:type="dxa"/>
            <w:gridSpan w:val="6"/>
            <w:noWrap w:val="0"/>
            <w:vAlign w:val="center"/>
          </w:tcPr>
          <w:p w14:paraId="21CC4A47">
            <w:pPr>
              <w:ind w:firstLine="945" w:firstLineChars="450"/>
              <w:jc w:val="left"/>
              <w:rPr>
                <w:b w:val="0"/>
                <w:bCs w:val="0"/>
                <w:color w:val="000000"/>
              </w:rPr>
            </w:pPr>
          </w:p>
          <w:p w14:paraId="1A32C0DF">
            <w:pPr>
              <w:rPr>
                <w:rFonts w:ascii="仿宋_GB2312" w:eastAsia="仿宋_GB2312"/>
                <w:b w:val="0"/>
                <w:bCs w:val="0"/>
                <w:color w:val="000000"/>
                <w:sz w:val="24"/>
              </w:rPr>
            </w:pPr>
            <w:r>
              <w:rPr>
                <w:rFonts w:hint="eastAsia" w:ascii="仿宋_GB2312" w:eastAsia="仿宋_GB2312"/>
                <w:b w:val="0"/>
                <w:bCs w:val="0"/>
                <w:color w:val="000000"/>
                <w:sz w:val="24"/>
              </w:rPr>
              <w:t>法定代表人签字 ：</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 xml:space="preserve">（申请单位盖章）  </w:t>
            </w:r>
          </w:p>
          <w:p w14:paraId="28495849">
            <w:pPr>
              <w:rPr>
                <w:b w:val="0"/>
                <w:bCs w:val="0"/>
                <w:color w:val="000000"/>
              </w:rPr>
            </w:pPr>
            <w:r>
              <w:rPr>
                <w:rFonts w:hint="eastAsia" w:ascii="仿宋_GB2312" w:eastAsia="仿宋_GB2312"/>
                <w:b w:val="0"/>
                <w:bCs w:val="0"/>
                <w:color w:val="000000"/>
                <w:sz w:val="24"/>
              </w:rPr>
              <w:t xml:space="preserve">                                     </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 xml:space="preserve"> 年   月   日     </w:t>
            </w:r>
          </w:p>
          <w:p w14:paraId="29797101">
            <w:pPr>
              <w:pStyle w:val="8"/>
              <w:ind w:firstLine="400"/>
              <w:rPr>
                <w:b w:val="0"/>
                <w:bCs w:val="0"/>
                <w:color w:val="000000"/>
              </w:rPr>
            </w:pPr>
          </w:p>
        </w:tc>
      </w:tr>
      <w:tr w14:paraId="18D51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exact"/>
        </w:trPr>
        <w:tc>
          <w:tcPr>
            <w:tcW w:w="2335" w:type="dxa"/>
            <w:gridSpan w:val="2"/>
            <w:noWrap w:val="0"/>
            <w:vAlign w:val="center"/>
          </w:tcPr>
          <w:p w14:paraId="523D3839">
            <w:pPr>
              <w:spacing w:line="400" w:lineRule="exact"/>
              <w:ind w:left="240" w:hanging="240" w:hangingChars="100"/>
              <w:jc w:val="center"/>
              <w:rPr>
                <w:rFonts w:hint="eastAsia" w:ascii="仿宋_GB2312" w:eastAsia="仿宋_GB2312"/>
                <w:b w:val="0"/>
                <w:bCs w:val="0"/>
                <w:color w:val="000000"/>
                <w:sz w:val="24"/>
              </w:rPr>
            </w:pPr>
            <w:r>
              <w:rPr>
                <w:rFonts w:hint="eastAsia" w:ascii="仿宋_GB2312" w:eastAsia="仿宋_GB2312"/>
                <w:b w:val="0"/>
                <w:bCs w:val="0"/>
                <w:color w:val="000000"/>
                <w:sz w:val="24"/>
              </w:rPr>
              <w:t>经办</w:t>
            </w:r>
          </w:p>
          <w:p w14:paraId="19065CD1">
            <w:pPr>
              <w:spacing w:line="400" w:lineRule="exact"/>
              <w:ind w:left="240" w:hanging="240" w:hangingChars="100"/>
              <w:jc w:val="center"/>
              <w:rPr>
                <w:rFonts w:hint="eastAsia" w:ascii="仿宋_GB2312" w:eastAsia="仿宋_GB2312"/>
                <w:b w:val="0"/>
                <w:bCs w:val="0"/>
                <w:color w:val="000000"/>
                <w:sz w:val="24"/>
              </w:rPr>
            </w:pPr>
            <w:r>
              <w:rPr>
                <w:rFonts w:hint="eastAsia" w:ascii="仿宋_GB2312" w:eastAsia="仿宋_GB2312"/>
                <w:b w:val="0"/>
                <w:bCs w:val="0"/>
                <w:color w:val="000000"/>
                <w:sz w:val="24"/>
              </w:rPr>
              <w:t>机构</w:t>
            </w:r>
          </w:p>
          <w:p w14:paraId="3D759D01">
            <w:pPr>
              <w:spacing w:line="400" w:lineRule="exact"/>
              <w:ind w:left="240" w:hanging="240" w:hangingChars="100"/>
              <w:jc w:val="center"/>
              <w:rPr>
                <w:rFonts w:ascii="仿宋_GB2312" w:eastAsia="仿宋_GB2312"/>
                <w:b w:val="0"/>
                <w:bCs w:val="0"/>
                <w:color w:val="000000"/>
                <w:sz w:val="24"/>
              </w:rPr>
            </w:pPr>
            <w:r>
              <w:rPr>
                <w:rFonts w:hint="eastAsia" w:ascii="仿宋_GB2312" w:eastAsia="仿宋_GB2312"/>
                <w:b w:val="0"/>
                <w:bCs w:val="0"/>
                <w:color w:val="000000"/>
                <w:sz w:val="24"/>
              </w:rPr>
              <w:t>意见</w:t>
            </w:r>
          </w:p>
        </w:tc>
        <w:tc>
          <w:tcPr>
            <w:tcW w:w="6329" w:type="dxa"/>
            <w:gridSpan w:val="5"/>
            <w:noWrap w:val="0"/>
            <w:vAlign w:val="top"/>
          </w:tcPr>
          <w:p w14:paraId="07EF1B33">
            <w:pPr>
              <w:pStyle w:val="2"/>
              <w:ind w:left="0" w:leftChars="0" w:firstLine="0" w:firstLineChars="0"/>
            </w:pPr>
          </w:p>
          <w:p w14:paraId="6DD872AD">
            <w:pPr>
              <w:ind w:firstLine="560"/>
              <w:jc w:val="center"/>
              <w:rPr>
                <w:rFonts w:ascii="仿宋_GB2312" w:eastAsia="仿宋_GB2312"/>
                <w:b w:val="0"/>
                <w:bCs w:val="0"/>
                <w:color w:val="000000"/>
                <w:sz w:val="24"/>
              </w:rPr>
            </w:pPr>
            <w:r>
              <w:rPr>
                <w:rFonts w:hint="eastAsia" w:ascii="仿宋_GB2312" w:eastAsia="仿宋_GB2312"/>
                <w:b w:val="0"/>
                <w:bCs w:val="0"/>
                <w:color w:val="000000"/>
                <w:sz w:val="24"/>
                <w:lang w:val="en-US" w:eastAsia="zh-CN"/>
              </w:rPr>
              <w:t xml:space="preserve">                            </w:t>
            </w:r>
            <w:r>
              <w:rPr>
                <w:rFonts w:ascii="仿宋_GB2312" w:eastAsia="仿宋_GB2312"/>
                <w:b w:val="0"/>
                <w:bCs w:val="0"/>
                <w:color w:val="000000"/>
                <w:sz w:val="24"/>
              </w:rPr>
              <w:t>(</w:t>
            </w:r>
            <w:r>
              <w:rPr>
                <w:rFonts w:hint="eastAsia" w:ascii="仿宋_GB2312" w:eastAsia="仿宋_GB2312"/>
                <w:b w:val="0"/>
                <w:bCs w:val="0"/>
                <w:color w:val="000000"/>
                <w:sz w:val="24"/>
              </w:rPr>
              <w:t>印章</w:t>
            </w:r>
            <w:r>
              <w:rPr>
                <w:rFonts w:ascii="仿宋_GB2312" w:eastAsia="仿宋_GB2312"/>
                <w:b w:val="0"/>
                <w:bCs w:val="0"/>
                <w:color w:val="000000"/>
                <w:sz w:val="24"/>
              </w:rPr>
              <w:t>)</w:t>
            </w:r>
          </w:p>
          <w:p w14:paraId="16D64D4C">
            <w:pPr>
              <w:ind w:firstLine="560"/>
              <w:jc w:val="center"/>
              <w:rPr>
                <w:rFonts w:ascii="仿宋_GB2312" w:eastAsia="仿宋_GB2312"/>
                <w:b w:val="0"/>
                <w:bCs w:val="0"/>
                <w:color w:val="000000"/>
                <w:sz w:val="24"/>
              </w:rPr>
            </w:pPr>
            <w:r>
              <w:rPr>
                <w:rFonts w:hint="eastAsia" w:ascii="仿宋_GB2312" w:eastAsia="仿宋_GB2312"/>
                <w:b w:val="0"/>
                <w:bCs w:val="0"/>
                <w:color w:val="000000"/>
                <w:sz w:val="24"/>
              </w:rPr>
              <w:t xml:space="preserve">                           </w:t>
            </w:r>
            <w:r>
              <w:rPr>
                <w:rFonts w:hint="eastAsia" w:ascii="仿宋_GB2312" w:eastAsia="仿宋_GB2312"/>
                <w:b w:val="0"/>
                <w:bCs w:val="0"/>
                <w:color w:val="000000"/>
                <w:sz w:val="24"/>
                <w:lang w:val="en-US" w:eastAsia="zh-CN"/>
              </w:rPr>
              <w:t xml:space="preserve"> </w:t>
            </w:r>
            <w:r>
              <w:rPr>
                <w:rFonts w:hint="eastAsia" w:ascii="仿宋_GB2312" w:eastAsia="仿宋_GB2312"/>
                <w:b w:val="0"/>
                <w:bCs w:val="0"/>
                <w:color w:val="000000"/>
                <w:sz w:val="24"/>
              </w:rPr>
              <w:t xml:space="preserve"> 年  月   日</w:t>
            </w:r>
          </w:p>
        </w:tc>
      </w:tr>
    </w:tbl>
    <w:p w14:paraId="18590517">
      <w:pPr>
        <w:spacing w:line="600" w:lineRule="exact"/>
        <w:jc w:val="center"/>
        <w:rPr>
          <w:rFonts w:hint="default" w:eastAsia="方正小标宋简体"/>
          <w:color w:val="auto"/>
          <w:lang w:val="en-US" w:eastAsia="zh-CN"/>
        </w:rPr>
      </w:pPr>
      <w:r>
        <w:rPr>
          <w:rFonts w:hint="eastAsia" w:ascii="方正小标宋简体" w:eastAsia="方正小标宋简体"/>
          <w:color w:val="auto"/>
          <w:spacing w:val="8"/>
          <w:sz w:val="36"/>
          <w:szCs w:val="36"/>
          <w:lang w:eastAsia="zh-CN"/>
        </w:rPr>
        <w:t>济宁</w:t>
      </w:r>
      <w:r>
        <w:rPr>
          <w:rFonts w:hint="eastAsia" w:ascii="方正小标宋简体" w:eastAsia="方正小标宋简体"/>
          <w:color w:val="auto"/>
          <w:spacing w:val="8"/>
          <w:sz w:val="36"/>
          <w:szCs w:val="36"/>
        </w:rPr>
        <w:t>市</w:t>
      </w:r>
      <w:r>
        <w:rPr>
          <w:rFonts w:hint="eastAsia" w:ascii="方正小标宋简体" w:eastAsia="方正小标宋简体"/>
          <w:color w:val="auto"/>
          <w:spacing w:val="8"/>
          <w:sz w:val="36"/>
          <w:szCs w:val="36"/>
          <w:lang w:val="en-US" w:eastAsia="zh-CN"/>
        </w:rPr>
        <w:t>基本</w:t>
      </w:r>
      <w:r>
        <w:rPr>
          <w:rFonts w:hint="eastAsia" w:ascii="方正小标宋简体" w:eastAsia="方正小标宋简体"/>
          <w:color w:val="auto"/>
          <w:spacing w:val="8"/>
          <w:sz w:val="36"/>
          <w:szCs w:val="36"/>
        </w:rPr>
        <w:t>医疗保险定点医疗机构申请表</w:t>
      </w:r>
    </w:p>
    <w:p w14:paraId="0B1E2FF6">
      <w:pPr>
        <w:widowControl/>
        <w:jc w:val="left"/>
        <w:rPr>
          <w:rFonts w:hint="eastAsia" w:ascii="方正小标宋简体" w:eastAsia="方正小标宋简体"/>
          <w:bCs/>
          <w:color w:val="auto"/>
          <w:sz w:val="36"/>
          <w:szCs w:val="36"/>
          <w:lang w:eastAsia="zh-CN"/>
        </w:rPr>
      </w:pPr>
      <w:r>
        <w:rPr>
          <w:rFonts w:hint="eastAsia" w:ascii="黑体" w:hAnsi="黑体" w:eastAsia="黑体" w:cs="黑体"/>
          <w:color w:val="auto"/>
          <w:sz w:val="32"/>
          <w:szCs w:val="32"/>
        </w:rPr>
        <w:t>附件2</w:t>
      </w:r>
    </w:p>
    <w:p w14:paraId="25E5C01D">
      <w:pPr>
        <w:ind w:firstLine="720" w:firstLineChars="200"/>
        <w:jc w:val="center"/>
        <w:rPr>
          <w:rFonts w:ascii="方正小标宋简体" w:eastAsia="方正小标宋简体"/>
          <w:bCs/>
          <w:color w:val="auto"/>
          <w:sz w:val="36"/>
          <w:szCs w:val="36"/>
        </w:rPr>
      </w:pPr>
      <w:r>
        <w:rPr>
          <w:rFonts w:hint="eastAsia" w:ascii="方正小标宋简体" w:eastAsia="方正小标宋简体"/>
          <w:bCs/>
          <w:color w:val="auto"/>
          <w:sz w:val="36"/>
          <w:szCs w:val="36"/>
          <w:lang w:eastAsia="zh-CN"/>
        </w:rPr>
        <w:t>济宁</w:t>
      </w:r>
      <w:r>
        <w:rPr>
          <w:rFonts w:hint="eastAsia" w:ascii="方正小标宋简体" w:eastAsia="方正小标宋简体"/>
          <w:bCs/>
          <w:color w:val="auto"/>
          <w:sz w:val="36"/>
          <w:szCs w:val="36"/>
        </w:rPr>
        <w:t>市</w:t>
      </w:r>
      <w:r>
        <w:rPr>
          <w:rFonts w:hint="eastAsia" w:ascii="方正小标宋简体" w:eastAsia="方正小标宋简体"/>
          <w:bCs/>
          <w:color w:val="auto"/>
          <w:sz w:val="36"/>
          <w:szCs w:val="36"/>
          <w:lang w:val="en-US" w:eastAsia="zh-CN"/>
        </w:rPr>
        <w:t>基本</w:t>
      </w:r>
      <w:r>
        <w:rPr>
          <w:rFonts w:hint="eastAsia" w:ascii="方正小标宋简体" w:eastAsia="方正小标宋简体"/>
          <w:bCs/>
          <w:color w:val="auto"/>
          <w:sz w:val="36"/>
          <w:szCs w:val="36"/>
        </w:rPr>
        <w:t>医疗保险定点零售药店申请表</w:t>
      </w:r>
    </w:p>
    <w:tbl>
      <w:tblPr>
        <w:tblStyle w:val="9"/>
        <w:tblW w:w="8650"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3"/>
        <w:gridCol w:w="855"/>
        <w:gridCol w:w="735"/>
        <w:gridCol w:w="1484"/>
        <w:gridCol w:w="511"/>
        <w:gridCol w:w="1021"/>
        <w:gridCol w:w="1151"/>
        <w:gridCol w:w="1490"/>
      </w:tblGrid>
      <w:tr w14:paraId="1841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2258" w:type="dxa"/>
            <w:gridSpan w:val="2"/>
            <w:noWrap w:val="0"/>
            <w:vAlign w:val="center"/>
          </w:tcPr>
          <w:p w14:paraId="1292AFAF">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药店名称</w:t>
            </w:r>
          </w:p>
        </w:tc>
        <w:tc>
          <w:tcPr>
            <w:tcW w:w="6392" w:type="dxa"/>
            <w:gridSpan w:val="6"/>
            <w:noWrap w:val="0"/>
            <w:vAlign w:val="center"/>
          </w:tcPr>
          <w:p w14:paraId="029548C8">
            <w:pPr>
              <w:ind w:firstLine="560"/>
              <w:jc w:val="center"/>
              <w:rPr>
                <w:rFonts w:ascii="仿宋_GB2312" w:hAnsi="仿宋_GB2312" w:eastAsia="仿宋_GB2312" w:cs="仿宋_GB2312"/>
                <w:color w:val="000000"/>
                <w:sz w:val="24"/>
                <w:szCs w:val="24"/>
              </w:rPr>
            </w:pPr>
          </w:p>
        </w:tc>
      </w:tr>
      <w:tr w14:paraId="5725A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2258" w:type="dxa"/>
            <w:gridSpan w:val="2"/>
            <w:noWrap w:val="0"/>
            <w:vAlign w:val="center"/>
          </w:tcPr>
          <w:p w14:paraId="6A2E06B5">
            <w:pPr>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药店地址</w:t>
            </w:r>
          </w:p>
        </w:tc>
        <w:tc>
          <w:tcPr>
            <w:tcW w:w="6392" w:type="dxa"/>
            <w:gridSpan w:val="6"/>
            <w:noWrap w:val="0"/>
            <w:vAlign w:val="center"/>
          </w:tcPr>
          <w:p w14:paraId="5D65E95D">
            <w:pPr>
              <w:ind w:firstLine="560"/>
              <w:jc w:val="center"/>
              <w:rPr>
                <w:rFonts w:ascii="仿宋_GB2312" w:hAnsi="仿宋_GB2312" w:eastAsia="仿宋_GB2312" w:cs="仿宋_GB2312"/>
                <w:color w:val="000000"/>
                <w:sz w:val="24"/>
                <w:szCs w:val="24"/>
              </w:rPr>
            </w:pPr>
          </w:p>
        </w:tc>
      </w:tr>
      <w:tr w14:paraId="7DF61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2258" w:type="dxa"/>
            <w:gridSpan w:val="2"/>
            <w:noWrap w:val="0"/>
            <w:vAlign w:val="center"/>
          </w:tcPr>
          <w:p w14:paraId="580F0EE0">
            <w:pPr>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经营性质</w:t>
            </w:r>
          </w:p>
        </w:tc>
        <w:tc>
          <w:tcPr>
            <w:tcW w:w="6392" w:type="dxa"/>
            <w:gridSpan w:val="6"/>
            <w:noWrap w:val="0"/>
            <w:vAlign w:val="center"/>
          </w:tcPr>
          <w:p w14:paraId="448695BD">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连锁直营□加盟</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非连锁自营直营□个体□其他□</w:t>
            </w:r>
          </w:p>
        </w:tc>
      </w:tr>
      <w:tr w14:paraId="20F82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2258" w:type="dxa"/>
            <w:gridSpan w:val="2"/>
            <w:noWrap w:val="0"/>
            <w:vAlign w:val="center"/>
          </w:tcPr>
          <w:p w14:paraId="3D3C7991">
            <w:pPr>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法人代表</w:t>
            </w:r>
          </w:p>
        </w:tc>
        <w:tc>
          <w:tcPr>
            <w:tcW w:w="2219" w:type="dxa"/>
            <w:gridSpan w:val="2"/>
            <w:noWrap w:val="0"/>
            <w:vAlign w:val="center"/>
          </w:tcPr>
          <w:p w14:paraId="03B78F2E">
            <w:pPr>
              <w:ind w:firstLine="560"/>
              <w:jc w:val="center"/>
              <w:rPr>
                <w:rFonts w:ascii="仿宋_GB2312" w:hAnsi="仿宋_GB2312" w:eastAsia="仿宋_GB2312" w:cs="仿宋_GB2312"/>
                <w:color w:val="000000"/>
                <w:sz w:val="24"/>
                <w:szCs w:val="24"/>
              </w:rPr>
            </w:pPr>
          </w:p>
        </w:tc>
        <w:tc>
          <w:tcPr>
            <w:tcW w:w="1532" w:type="dxa"/>
            <w:gridSpan w:val="2"/>
            <w:noWrap w:val="0"/>
            <w:vAlign w:val="center"/>
          </w:tcPr>
          <w:p w14:paraId="67D9D209">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身份证号码</w:t>
            </w:r>
          </w:p>
        </w:tc>
        <w:tc>
          <w:tcPr>
            <w:tcW w:w="2641" w:type="dxa"/>
            <w:gridSpan w:val="2"/>
            <w:noWrap w:val="0"/>
            <w:vAlign w:val="center"/>
          </w:tcPr>
          <w:p w14:paraId="669343F5">
            <w:pPr>
              <w:jc w:val="center"/>
              <w:rPr>
                <w:rFonts w:ascii="仿宋_GB2312" w:hAnsi="仿宋_GB2312" w:eastAsia="仿宋_GB2312" w:cs="仿宋_GB2312"/>
                <w:color w:val="000000"/>
                <w:sz w:val="24"/>
                <w:szCs w:val="24"/>
              </w:rPr>
            </w:pPr>
          </w:p>
        </w:tc>
      </w:tr>
      <w:tr w14:paraId="04FA9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258" w:type="dxa"/>
            <w:gridSpan w:val="2"/>
            <w:noWrap w:val="0"/>
            <w:vAlign w:val="center"/>
          </w:tcPr>
          <w:p w14:paraId="4F078A8C">
            <w:pPr>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申请药店类别</w:t>
            </w:r>
          </w:p>
        </w:tc>
        <w:tc>
          <w:tcPr>
            <w:tcW w:w="6392" w:type="dxa"/>
            <w:gridSpan w:val="6"/>
            <w:noWrap w:val="0"/>
            <w:vAlign w:val="center"/>
          </w:tcPr>
          <w:p w14:paraId="6F08F378">
            <w:pPr>
              <w:tabs>
                <w:tab w:val="left" w:pos="2621"/>
              </w:tabs>
              <w:spacing w:line="32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普通药店</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其他□</w:t>
            </w:r>
          </w:p>
        </w:tc>
      </w:tr>
      <w:tr w14:paraId="5F2BA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58" w:type="dxa"/>
            <w:gridSpan w:val="2"/>
            <w:noWrap w:val="0"/>
            <w:vAlign w:val="center"/>
          </w:tcPr>
          <w:p w14:paraId="07B7FBE5">
            <w:pPr>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联系人</w:t>
            </w:r>
          </w:p>
        </w:tc>
        <w:tc>
          <w:tcPr>
            <w:tcW w:w="2219" w:type="dxa"/>
            <w:gridSpan w:val="2"/>
            <w:noWrap w:val="0"/>
            <w:vAlign w:val="center"/>
          </w:tcPr>
          <w:p w14:paraId="40C1271B">
            <w:pPr>
              <w:jc w:val="center"/>
              <w:rPr>
                <w:rFonts w:ascii="仿宋_GB2312" w:hAnsi="仿宋_GB2312" w:eastAsia="仿宋_GB2312" w:cs="仿宋_GB2312"/>
                <w:color w:val="000000"/>
                <w:sz w:val="24"/>
                <w:szCs w:val="24"/>
              </w:rPr>
            </w:pPr>
          </w:p>
        </w:tc>
        <w:tc>
          <w:tcPr>
            <w:tcW w:w="1532" w:type="dxa"/>
            <w:gridSpan w:val="2"/>
            <w:noWrap w:val="0"/>
            <w:vAlign w:val="center"/>
          </w:tcPr>
          <w:p w14:paraId="2F836FEF">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联系电话</w:t>
            </w:r>
          </w:p>
        </w:tc>
        <w:tc>
          <w:tcPr>
            <w:tcW w:w="2641" w:type="dxa"/>
            <w:gridSpan w:val="2"/>
            <w:noWrap w:val="0"/>
            <w:vAlign w:val="center"/>
          </w:tcPr>
          <w:p w14:paraId="370E9A2B">
            <w:pPr>
              <w:jc w:val="center"/>
              <w:rPr>
                <w:rFonts w:ascii="仿宋_GB2312" w:hAnsi="仿宋_GB2312" w:eastAsia="仿宋_GB2312" w:cs="仿宋_GB2312"/>
                <w:color w:val="000000"/>
                <w:sz w:val="24"/>
                <w:szCs w:val="24"/>
              </w:rPr>
            </w:pPr>
          </w:p>
        </w:tc>
      </w:tr>
      <w:tr w14:paraId="785B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58" w:type="dxa"/>
            <w:gridSpan w:val="2"/>
            <w:noWrap w:val="0"/>
            <w:vAlign w:val="center"/>
          </w:tcPr>
          <w:p w14:paraId="3330FE49">
            <w:pPr>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营业执照号码</w:t>
            </w:r>
          </w:p>
        </w:tc>
        <w:tc>
          <w:tcPr>
            <w:tcW w:w="6392" w:type="dxa"/>
            <w:gridSpan w:val="6"/>
            <w:noWrap w:val="0"/>
            <w:vAlign w:val="center"/>
          </w:tcPr>
          <w:p w14:paraId="3F14EDF1">
            <w:pPr>
              <w:jc w:val="center"/>
              <w:rPr>
                <w:rFonts w:ascii="仿宋_GB2312" w:hAnsi="仿宋_GB2312" w:eastAsia="仿宋_GB2312" w:cs="仿宋_GB2312"/>
                <w:color w:val="000000"/>
                <w:sz w:val="24"/>
                <w:szCs w:val="24"/>
              </w:rPr>
            </w:pPr>
          </w:p>
        </w:tc>
      </w:tr>
      <w:tr w14:paraId="73F4F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exact"/>
        </w:trPr>
        <w:tc>
          <w:tcPr>
            <w:tcW w:w="2258" w:type="dxa"/>
            <w:gridSpan w:val="2"/>
            <w:noWrap w:val="0"/>
            <w:vAlign w:val="center"/>
          </w:tcPr>
          <w:p w14:paraId="1C0C0E3E">
            <w:pPr>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药品经营许可证号码</w:t>
            </w:r>
          </w:p>
        </w:tc>
        <w:tc>
          <w:tcPr>
            <w:tcW w:w="6392" w:type="dxa"/>
            <w:gridSpan w:val="6"/>
            <w:noWrap w:val="0"/>
            <w:vAlign w:val="center"/>
          </w:tcPr>
          <w:p w14:paraId="1D12CC7C">
            <w:pPr>
              <w:ind w:firstLine="560"/>
              <w:jc w:val="center"/>
              <w:rPr>
                <w:rFonts w:ascii="仿宋_GB2312" w:hAnsi="仿宋_GB2312" w:eastAsia="仿宋_GB2312" w:cs="仿宋_GB2312"/>
                <w:color w:val="000000"/>
                <w:sz w:val="24"/>
                <w:szCs w:val="24"/>
              </w:rPr>
            </w:pPr>
          </w:p>
        </w:tc>
      </w:tr>
      <w:tr w14:paraId="56211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exact"/>
        </w:trPr>
        <w:tc>
          <w:tcPr>
            <w:tcW w:w="2258" w:type="dxa"/>
            <w:gridSpan w:val="2"/>
            <w:noWrap w:val="0"/>
            <w:vAlign w:val="center"/>
          </w:tcPr>
          <w:p w14:paraId="34318F7E">
            <w:pPr>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单位开户银行及账号</w:t>
            </w:r>
          </w:p>
        </w:tc>
        <w:tc>
          <w:tcPr>
            <w:tcW w:w="6392" w:type="dxa"/>
            <w:gridSpan w:val="6"/>
            <w:noWrap w:val="0"/>
            <w:vAlign w:val="center"/>
          </w:tcPr>
          <w:p w14:paraId="65CD2960">
            <w:pPr>
              <w:ind w:firstLine="560"/>
              <w:jc w:val="center"/>
              <w:rPr>
                <w:rFonts w:ascii="仿宋_GB2312" w:hAnsi="仿宋_GB2312" w:eastAsia="仿宋_GB2312" w:cs="仿宋_GB2312"/>
                <w:color w:val="000000"/>
                <w:sz w:val="24"/>
                <w:szCs w:val="24"/>
              </w:rPr>
            </w:pPr>
          </w:p>
        </w:tc>
      </w:tr>
      <w:tr w14:paraId="1F03C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exact"/>
        </w:trPr>
        <w:tc>
          <w:tcPr>
            <w:tcW w:w="2258" w:type="dxa"/>
            <w:gridSpan w:val="2"/>
            <w:noWrap w:val="0"/>
            <w:vAlign w:val="center"/>
          </w:tcPr>
          <w:p w14:paraId="5566ECD1">
            <w:pPr>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连锁公司名称</w:t>
            </w:r>
          </w:p>
        </w:tc>
        <w:tc>
          <w:tcPr>
            <w:tcW w:w="6392" w:type="dxa"/>
            <w:gridSpan w:val="6"/>
            <w:noWrap w:val="0"/>
            <w:vAlign w:val="center"/>
          </w:tcPr>
          <w:p w14:paraId="375A7C3A">
            <w:pPr>
              <w:ind w:firstLine="560"/>
              <w:jc w:val="center"/>
              <w:rPr>
                <w:rFonts w:ascii="仿宋_GB2312" w:hAnsi="仿宋_GB2312" w:eastAsia="仿宋_GB2312" w:cs="仿宋_GB2312"/>
                <w:color w:val="000000"/>
                <w:sz w:val="24"/>
                <w:szCs w:val="24"/>
              </w:rPr>
            </w:pPr>
          </w:p>
        </w:tc>
      </w:tr>
      <w:tr w14:paraId="343C6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1403" w:type="dxa"/>
            <w:vMerge w:val="restart"/>
            <w:noWrap w:val="0"/>
            <w:vAlign w:val="top"/>
          </w:tcPr>
          <w:p w14:paraId="4A2C15D9">
            <w:pPr>
              <w:spacing w:line="400" w:lineRule="exact"/>
              <w:ind w:firstLine="281" w:firstLineChars="100"/>
              <w:jc w:val="both"/>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人员</w:t>
            </w:r>
          </w:p>
          <w:p w14:paraId="24BA73FE">
            <w:pPr>
              <w:spacing w:line="400" w:lineRule="exact"/>
              <w:jc w:val="both"/>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 xml:space="preserve"> </w:t>
            </w:r>
          </w:p>
          <w:p w14:paraId="27C271A4">
            <w:pPr>
              <w:spacing w:line="400" w:lineRule="exact"/>
              <w:ind w:firstLine="281" w:firstLineChars="100"/>
              <w:jc w:val="both"/>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配备</w:t>
            </w:r>
          </w:p>
          <w:p w14:paraId="77F677DB">
            <w:pPr>
              <w:spacing w:line="400" w:lineRule="exact"/>
              <w:jc w:val="both"/>
              <w:rPr>
                <w:rFonts w:hint="eastAsia" w:ascii="仿宋_GB2312" w:hAnsi="仿宋_GB2312" w:eastAsia="仿宋_GB2312" w:cs="仿宋_GB2312"/>
                <w:b/>
                <w:bCs/>
                <w:color w:val="000000"/>
                <w:sz w:val="28"/>
                <w:szCs w:val="28"/>
                <w:lang w:eastAsia="zh-CN"/>
              </w:rPr>
            </w:pPr>
          </w:p>
          <w:p w14:paraId="0E10D331">
            <w:pPr>
              <w:spacing w:line="400" w:lineRule="exact"/>
              <w:ind w:firstLine="281" w:firstLineChars="100"/>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
                <w:bCs/>
                <w:color w:val="000000"/>
                <w:sz w:val="28"/>
                <w:szCs w:val="28"/>
                <w:lang w:eastAsia="zh-CN"/>
              </w:rPr>
              <w:t>情况</w:t>
            </w:r>
          </w:p>
        </w:tc>
        <w:tc>
          <w:tcPr>
            <w:tcW w:w="1590" w:type="dxa"/>
            <w:gridSpan w:val="2"/>
            <w:noWrap w:val="0"/>
            <w:vAlign w:val="center"/>
          </w:tcPr>
          <w:p w14:paraId="129184A0">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药学技术</w:t>
            </w:r>
          </w:p>
          <w:p w14:paraId="4CAC1395">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人员数</w:t>
            </w:r>
          </w:p>
        </w:tc>
        <w:tc>
          <w:tcPr>
            <w:tcW w:w="5657" w:type="dxa"/>
            <w:gridSpan w:val="5"/>
            <w:noWrap w:val="0"/>
            <w:vAlign w:val="top"/>
          </w:tcPr>
          <w:p w14:paraId="158CB9E3">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共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人，其中:执业药师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人 </w:t>
            </w:r>
          </w:p>
          <w:p w14:paraId="1CC38C49">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高级职称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人； 中级职称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人； 初级职称</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人</w:t>
            </w:r>
          </w:p>
        </w:tc>
      </w:tr>
      <w:tr w14:paraId="7F3A3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exact"/>
        </w:trPr>
        <w:tc>
          <w:tcPr>
            <w:tcW w:w="1403" w:type="dxa"/>
            <w:vMerge w:val="continue"/>
            <w:noWrap w:val="0"/>
            <w:vAlign w:val="top"/>
          </w:tcPr>
          <w:p w14:paraId="03B13981">
            <w:pPr>
              <w:spacing w:line="400" w:lineRule="exact"/>
              <w:ind w:firstLine="560"/>
              <w:jc w:val="center"/>
              <w:rPr>
                <w:rFonts w:ascii="仿宋_GB2312" w:hAnsi="仿宋_GB2312" w:eastAsia="仿宋_GB2312" w:cs="仿宋_GB2312"/>
                <w:color w:val="000000"/>
                <w:sz w:val="24"/>
                <w:szCs w:val="24"/>
              </w:rPr>
            </w:pPr>
          </w:p>
        </w:tc>
        <w:tc>
          <w:tcPr>
            <w:tcW w:w="1590" w:type="dxa"/>
            <w:gridSpan w:val="2"/>
            <w:noWrap w:val="0"/>
            <w:vAlign w:val="center"/>
          </w:tcPr>
          <w:p w14:paraId="588409F3">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其他人员数</w:t>
            </w:r>
          </w:p>
        </w:tc>
        <w:tc>
          <w:tcPr>
            <w:tcW w:w="5657" w:type="dxa"/>
            <w:gridSpan w:val="5"/>
            <w:noWrap w:val="0"/>
            <w:vAlign w:val="top"/>
          </w:tcPr>
          <w:p w14:paraId="5C1DBD46">
            <w:pPr>
              <w:ind w:firstLine="560"/>
              <w:jc w:val="center"/>
              <w:rPr>
                <w:rFonts w:ascii="仿宋_GB2312" w:hAnsi="仿宋_GB2312" w:eastAsia="仿宋_GB2312" w:cs="仿宋_GB2312"/>
                <w:color w:val="000000"/>
                <w:sz w:val="24"/>
                <w:szCs w:val="24"/>
              </w:rPr>
            </w:pPr>
          </w:p>
        </w:tc>
      </w:tr>
      <w:tr w14:paraId="216B3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exact"/>
        </w:trPr>
        <w:tc>
          <w:tcPr>
            <w:tcW w:w="1403" w:type="dxa"/>
            <w:vMerge w:val="continue"/>
            <w:noWrap w:val="0"/>
            <w:vAlign w:val="top"/>
          </w:tcPr>
          <w:p w14:paraId="41512C0F">
            <w:pPr>
              <w:spacing w:line="400" w:lineRule="exact"/>
              <w:ind w:firstLine="560"/>
              <w:jc w:val="center"/>
              <w:rPr>
                <w:rFonts w:ascii="仿宋_GB2312" w:hAnsi="仿宋_GB2312" w:eastAsia="仿宋_GB2312" w:cs="仿宋_GB2312"/>
                <w:color w:val="000000"/>
                <w:sz w:val="24"/>
                <w:szCs w:val="24"/>
              </w:rPr>
            </w:pPr>
          </w:p>
        </w:tc>
        <w:tc>
          <w:tcPr>
            <w:tcW w:w="1590" w:type="dxa"/>
            <w:gridSpan w:val="2"/>
            <w:noWrap w:val="0"/>
            <w:vAlign w:val="center"/>
          </w:tcPr>
          <w:p w14:paraId="11D4CC74">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1995" w:type="dxa"/>
            <w:gridSpan w:val="2"/>
            <w:noWrap w:val="0"/>
            <w:vAlign w:val="top"/>
          </w:tcPr>
          <w:p w14:paraId="2485661E">
            <w:pPr>
              <w:ind w:firstLine="560"/>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（人）</w:t>
            </w:r>
          </w:p>
        </w:tc>
        <w:tc>
          <w:tcPr>
            <w:tcW w:w="2172" w:type="dxa"/>
            <w:gridSpan w:val="2"/>
            <w:noWrap w:val="0"/>
            <w:vAlign w:val="top"/>
          </w:tcPr>
          <w:p w14:paraId="5BF1D3B6">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参保人数</w:t>
            </w:r>
          </w:p>
        </w:tc>
        <w:tc>
          <w:tcPr>
            <w:tcW w:w="1490" w:type="dxa"/>
            <w:noWrap w:val="0"/>
            <w:vAlign w:val="top"/>
          </w:tcPr>
          <w:p w14:paraId="6CFA58E8">
            <w:pPr>
              <w:ind w:firstLine="56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（人）</w:t>
            </w:r>
          </w:p>
        </w:tc>
      </w:tr>
      <w:tr w14:paraId="13040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1" w:hRule="exact"/>
        </w:trPr>
        <w:tc>
          <w:tcPr>
            <w:tcW w:w="1403" w:type="dxa"/>
            <w:noWrap w:val="0"/>
            <w:vAlign w:val="center"/>
          </w:tcPr>
          <w:p w14:paraId="446E6C40">
            <w:pPr>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申请</w:t>
            </w:r>
          </w:p>
          <w:p w14:paraId="54743939">
            <w:pPr>
              <w:jc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8"/>
                <w:szCs w:val="28"/>
                <w:lang w:eastAsia="zh-CN"/>
              </w:rPr>
              <w:t>单位</w:t>
            </w:r>
          </w:p>
        </w:tc>
        <w:tc>
          <w:tcPr>
            <w:tcW w:w="7247" w:type="dxa"/>
            <w:gridSpan w:val="7"/>
            <w:noWrap w:val="0"/>
            <w:vAlign w:val="top"/>
          </w:tcPr>
          <w:p w14:paraId="0ABE8F0C">
            <w:pPr>
              <w:ind w:firstLine="1080" w:firstLineChars="450"/>
              <w:rPr>
                <w:rFonts w:ascii="仿宋_GB2312" w:hAnsi="仿宋_GB2312" w:eastAsia="仿宋_GB2312" w:cs="仿宋_GB2312"/>
                <w:color w:val="000000"/>
                <w:sz w:val="24"/>
                <w:szCs w:val="24"/>
              </w:rPr>
            </w:pPr>
          </w:p>
          <w:p w14:paraId="321C2BF1">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法定代表人签字：</w:t>
            </w:r>
          </w:p>
          <w:p w14:paraId="33FCFFB6">
            <w:pPr>
              <w:ind w:firstLine="960" w:firstLineChars="4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p>
          <w:p w14:paraId="1DB69E21">
            <w:pPr>
              <w:ind w:firstLine="960" w:firstLineChars="400"/>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（申请单位盖章）  </w:t>
            </w:r>
          </w:p>
          <w:p w14:paraId="50233BD7">
            <w:pPr>
              <w:ind w:firstLine="960" w:firstLineChars="4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      </w:t>
            </w:r>
          </w:p>
          <w:p w14:paraId="4675A151">
            <w:pPr>
              <w:pStyle w:val="8"/>
              <w:ind w:firstLine="480"/>
              <w:rPr>
                <w:rFonts w:ascii="仿宋_GB2312" w:hAnsi="仿宋_GB2312" w:eastAsia="仿宋_GB2312" w:cs="仿宋_GB2312"/>
                <w:color w:val="000000"/>
                <w:sz w:val="24"/>
                <w:szCs w:val="24"/>
              </w:rPr>
            </w:pPr>
          </w:p>
        </w:tc>
      </w:tr>
      <w:tr w14:paraId="158E6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8" w:hRule="exact"/>
        </w:trPr>
        <w:tc>
          <w:tcPr>
            <w:tcW w:w="1403" w:type="dxa"/>
            <w:noWrap w:val="0"/>
            <w:vAlign w:val="center"/>
          </w:tcPr>
          <w:p w14:paraId="21B36FAA">
            <w:pPr>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经办</w:t>
            </w:r>
          </w:p>
          <w:p w14:paraId="53BC0A44">
            <w:pPr>
              <w:jc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8"/>
                <w:szCs w:val="28"/>
                <w:lang w:eastAsia="zh-CN"/>
              </w:rPr>
              <w:t>机构     意见</w:t>
            </w:r>
          </w:p>
        </w:tc>
        <w:tc>
          <w:tcPr>
            <w:tcW w:w="7247" w:type="dxa"/>
            <w:gridSpan w:val="7"/>
            <w:noWrap w:val="0"/>
            <w:vAlign w:val="center"/>
          </w:tcPr>
          <w:p w14:paraId="6FFFB7BC">
            <w:pPr>
              <w:pStyle w:val="2"/>
              <w:ind w:left="0" w:leftChars="0" w:firstLine="0" w:firstLineChars="0"/>
            </w:pPr>
          </w:p>
          <w:p w14:paraId="5708A5F9">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eastAsia="zh-CN"/>
              </w:rPr>
              <w:t>盖</w:t>
            </w:r>
            <w:r>
              <w:rPr>
                <w:rFonts w:hint="eastAsia" w:ascii="仿宋_GB2312" w:hAnsi="仿宋_GB2312" w:eastAsia="仿宋_GB2312" w:cs="仿宋_GB2312"/>
                <w:color w:val="000000"/>
                <w:sz w:val="24"/>
                <w:szCs w:val="24"/>
              </w:rPr>
              <w:t>章)</w:t>
            </w:r>
          </w:p>
          <w:p w14:paraId="4FBCF2B7">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年  月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w:t>
            </w:r>
          </w:p>
        </w:tc>
      </w:tr>
    </w:tbl>
    <w:p w14:paraId="11F049F9">
      <w:pPr>
        <w:pStyle w:val="8"/>
        <w:ind w:firstLine="0" w:firstLineChars="0"/>
        <w:rPr>
          <w:rFonts w:eastAsia="宋体"/>
          <w:color w:val="000000"/>
        </w:rPr>
        <w:sectPr>
          <w:footerReference r:id="rId3" w:type="default"/>
          <w:pgSz w:w="11906" w:h="16838"/>
          <w:pgMar w:top="1701" w:right="1531" w:bottom="1701" w:left="1417" w:header="851" w:footer="992" w:gutter="0"/>
          <w:pgNumType w:fmt="decimal"/>
          <w:cols w:space="720" w:num="1"/>
          <w:docGrid w:type="lines" w:linePitch="312" w:charSpace="0"/>
        </w:sectPr>
      </w:pPr>
    </w:p>
    <w:p w14:paraId="28A0E5CA">
      <w:pPr>
        <w:pStyle w:val="8"/>
        <w:ind w:firstLine="0" w:firstLineChars="0"/>
        <w:rPr>
          <w:rFonts w:eastAsia="宋体"/>
          <w:color w:val="000000"/>
        </w:rPr>
      </w:pPr>
    </w:p>
    <w:tbl>
      <w:tblPr>
        <w:tblStyle w:val="9"/>
        <w:tblpPr w:leftFromText="180" w:rightFromText="180" w:vertAnchor="text" w:horzAnchor="page" w:tblpX="1679" w:tblpY="12"/>
        <w:tblOverlap w:val="never"/>
        <w:tblW w:w="14140" w:type="dxa"/>
        <w:tblInd w:w="0" w:type="dxa"/>
        <w:shd w:val="clear" w:color="auto" w:fill="auto"/>
        <w:tblLayout w:type="fixed"/>
        <w:tblCellMar>
          <w:top w:w="0" w:type="dxa"/>
          <w:left w:w="0" w:type="dxa"/>
          <w:bottom w:w="0" w:type="dxa"/>
          <w:right w:w="0" w:type="dxa"/>
        </w:tblCellMar>
      </w:tblPr>
      <w:tblGrid>
        <w:gridCol w:w="314"/>
        <w:gridCol w:w="913"/>
        <w:gridCol w:w="5187"/>
        <w:gridCol w:w="5601"/>
        <w:gridCol w:w="1245"/>
        <w:gridCol w:w="880"/>
      </w:tblGrid>
      <w:tr w14:paraId="22BFE546">
        <w:tblPrEx>
          <w:shd w:val="clear" w:color="auto" w:fill="auto"/>
          <w:tblCellMar>
            <w:top w:w="0" w:type="dxa"/>
            <w:left w:w="0" w:type="dxa"/>
            <w:bottom w:w="0" w:type="dxa"/>
            <w:right w:w="0" w:type="dxa"/>
          </w:tblCellMar>
        </w:tblPrEx>
        <w:trPr>
          <w:trHeight w:val="606" w:hRule="atLeast"/>
        </w:trPr>
        <w:tc>
          <w:tcPr>
            <w:tcW w:w="14140" w:type="dxa"/>
            <w:gridSpan w:val="6"/>
            <w:tcBorders>
              <w:top w:val="nil"/>
              <w:left w:val="nil"/>
              <w:bottom w:val="nil"/>
              <w:right w:val="nil"/>
            </w:tcBorders>
            <w:shd w:val="clear" w:color="auto" w:fill="auto"/>
            <w:noWrap/>
            <w:tcMar>
              <w:top w:w="15" w:type="dxa"/>
              <w:left w:w="15" w:type="dxa"/>
              <w:right w:w="15" w:type="dxa"/>
            </w:tcMar>
            <w:vAlign w:val="center"/>
          </w:tcPr>
          <w:p w14:paraId="54EF6B1E">
            <w:pPr>
              <w:keepNext w:val="0"/>
              <w:keepLines w:val="0"/>
              <w:widowControl/>
              <w:suppressLineNumbers w:val="0"/>
              <w:jc w:val="both"/>
              <w:textAlignment w:val="center"/>
              <w:rPr>
                <w:rFonts w:ascii="方正小标宋简体" w:hAnsi="方正小标宋简体" w:eastAsia="方正小标宋简体" w:cs="方正小标宋简体"/>
                <w:i w:val="0"/>
                <w:color w:val="000000"/>
                <w:sz w:val="36"/>
                <w:szCs w:val="36"/>
                <w:u w:val="none"/>
              </w:rPr>
            </w:pPr>
            <w:r>
              <w:rPr>
                <w:rFonts w:hint="eastAsia" w:ascii="黑体" w:hAnsi="黑体" w:eastAsia="黑体" w:cs="黑体"/>
                <w:color w:val="auto"/>
                <w:sz w:val="32"/>
                <w:szCs w:val="32"/>
                <w:lang w:val="en-US" w:eastAsia="zh-CN"/>
              </w:rPr>
              <w:t>附件3</w:t>
            </w:r>
            <w:r>
              <w:rPr>
                <w:rFonts w:hint="eastAsia" w:ascii="方正小标宋简体" w:eastAsia="方正小标宋简体"/>
                <w:bCs/>
                <w:color w:val="auto"/>
                <w:sz w:val="36"/>
                <w:szCs w:val="36"/>
                <w:lang w:val="en-US" w:eastAsia="zh-CN"/>
              </w:rPr>
              <w:t xml:space="preserve">          济宁市基本医疗保险新增综合定点医疗机构评估标准</w:t>
            </w:r>
          </w:p>
        </w:tc>
      </w:tr>
      <w:tr w14:paraId="3DEE62AF">
        <w:tblPrEx>
          <w:tblCellMar>
            <w:top w:w="0" w:type="dxa"/>
            <w:left w:w="0" w:type="dxa"/>
            <w:bottom w:w="0" w:type="dxa"/>
            <w:right w:w="0" w:type="dxa"/>
          </w:tblCellMar>
        </w:tblPrEx>
        <w:trPr>
          <w:trHeight w:val="355" w:hRule="atLeast"/>
        </w:trPr>
        <w:tc>
          <w:tcPr>
            <w:tcW w:w="6414" w:type="dxa"/>
            <w:gridSpan w:val="3"/>
            <w:tcBorders>
              <w:top w:val="nil"/>
              <w:left w:val="nil"/>
              <w:bottom w:val="nil"/>
              <w:right w:val="nil"/>
            </w:tcBorders>
            <w:shd w:val="clear" w:color="auto" w:fill="auto"/>
            <w:noWrap/>
            <w:tcMar>
              <w:top w:w="15" w:type="dxa"/>
              <w:left w:w="15" w:type="dxa"/>
              <w:right w:w="15" w:type="dxa"/>
            </w:tcMar>
            <w:vAlign w:val="center"/>
          </w:tcPr>
          <w:p w14:paraId="5342D8A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医疗机构名称：（加盖公章）</w:t>
            </w:r>
          </w:p>
        </w:tc>
        <w:tc>
          <w:tcPr>
            <w:tcW w:w="7726" w:type="dxa"/>
            <w:gridSpan w:val="3"/>
            <w:tcBorders>
              <w:top w:val="nil"/>
              <w:left w:val="nil"/>
              <w:bottom w:val="nil"/>
              <w:right w:val="nil"/>
            </w:tcBorders>
            <w:shd w:val="clear" w:color="auto" w:fill="auto"/>
            <w:noWrap/>
            <w:tcMar>
              <w:top w:w="15" w:type="dxa"/>
              <w:left w:w="15" w:type="dxa"/>
              <w:right w:w="15" w:type="dxa"/>
            </w:tcMar>
            <w:vAlign w:val="center"/>
          </w:tcPr>
          <w:p w14:paraId="26F5D00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评估日期：       年    月    日</w:t>
            </w:r>
          </w:p>
        </w:tc>
      </w:tr>
      <w:tr w14:paraId="73287243">
        <w:tblPrEx>
          <w:tblCellMar>
            <w:top w:w="0" w:type="dxa"/>
            <w:left w:w="0" w:type="dxa"/>
            <w:bottom w:w="0" w:type="dxa"/>
            <w:right w:w="0" w:type="dxa"/>
          </w:tblCellMar>
        </w:tblPrEx>
        <w:trPr>
          <w:trHeight w:val="591"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5D7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BDA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评估项目</w:t>
            </w:r>
          </w:p>
        </w:tc>
        <w:tc>
          <w:tcPr>
            <w:tcW w:w="5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5A1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评估内容及分值</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A4D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评估办法</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202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存在问题及扣分原因</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F0C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14:paraId="6B73D4C2">
        <w:tblPrEx>
          <w:tblCellMar>
            <w:top w:w="0" w:type="dxa"/>
            <w:left w:w="0" w:type="dxa"/>
            <w:bottom w:w="0" w:type="dxa"/>
            <w:right w:w="0" w:type="dxa"/>
          </w:tblCellMar>
        </w:tblPrEx>
        <w:trPr>
          <w:trHeight w:val="1157" w:hRule="atLeast"/>
        </w:trPr>
        <w:tc>
          <w:tcPr>
            <w:tcW w:w="3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E63A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39DF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基本条件(</w:t>
            </w:r>
            <w:r>
              <w:rPr>
                <w:rFonts w:hint="eastAsia" w:ascii="宋体" w:hAnsi="宋体" w:cs="宋体"/>
                <w:i w:val="0"/>
                <w:color w:val="000000"/>
                <w:kern w:val="0"/>
                <w:sz w:val="20"/>
                <w:szCs w:val="20"/>
                <w:u w:val="none"/>
                <w:lang w:val="en-US" w:eastAsia="zh-CN" w:bidi="ar"/>
              </w:rPr>
              <w:t>20</w:t>
            </w:r>
            <w:r>
              <w:rPr>
                <w:rFonts w:hint="eastAsia" w:ascii="宋体" w:hAnsi="宋体" w:eastAsia="宋体" w:cs="宋体"/>
                <w:i w:val="0"/>
                <w:color w:val="000000"/>
                <w:kern w:val="0"/>
                <w:sz w:val="20"/>
                <w:szCs w:val="20"/>
                <w:u w:val="none"/>
                <w:lang w:val="en-US" w:eastAsia="zh-CN" w:bidi="ar"/>
              </w:rPr>
              <w:t>分）</w:t>
            </w: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4F3B36E7">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持有医疗机构执业许可证或中医诊所备案证，严格按照</w:t>
            </w:r>
            <w:r>
              <w:rPr>
                <w:rFonts w:hint="eastAsia" w:ascii="宋体" w:hAnsi="宋体" w:cs="宋体"/>
                <w:i w:val="0"/>
                <w:color w:val="000000"/>
                <w:kern w:val="0"/>
                <w:sz w:val="20"/>
                <w:szCs w:val="20"/>
                <w:u w:val="none"/>
                <w:lang w:val="en-US" w:eastAsia="zh-CN" w:bidi="ar"/>
              </w:rPr>
              <w:t>卫健</w:t>
            </w:r>
            <w:r>
              <w:rPr>
                <w:rFonts w:hint="eastAsia" w:ascii="宋体" w:hAnsi="宋体" w:eastAsia="宋体" w:cs="宋体"/>
                <w:i w:val="0"/>
                <w:color w:val="000000"/>
                <w:kern w:val="0"/>
                <w:sz w:val="20"/>
                <w:szCs w:val="20"/>
                <w:u w:val="none"/>
                <w:lang w:val="en-US" w:eastAsia="zh-CN" w:bidi="ar"/>
              </w:rPr>
              <w:t>行政部门核准的诊疗科目执业；军队医疗机构须持有《为民服务许可证》；无对外出租、承包科室。（</w:t>
            </w:r>
            <w:r>
              <w:rPr>
                <w:rFonts w:hint="eastAsia" w:ascii="宋体" w:hAnsi="宋体" w:cs="宋体"/>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t>分）</w:t>
            </w:r>
          </w:p>
        </w:tc>
        <w:tc>
          <w:tcPr>
            <w:tcW w:w="56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6298B92">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1.证照不齐全的,暂不纳入；2.超出《医疗机构执业许可证》诊疗科目执业的，暂不纳入；3.以医疗美容、生活照护、种植牙等非基本医疗服务为主要执业范围的,暂不纳入；4.有对外出租、承包科室的暂不纳入。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4942E8AC">
            <w:pPr>
              <w:jc w:val="left"/>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3ECA6E9D">
            <w:pPr>
              <w:jc w:val="left"/>
              <w:rPr>
                <w:rFonts w:hint="eastAsia" w:ascii="宋体" w:hAnsi="宋体" w:eastAsia="宋体" w:cs="宋体"/>
                <w:i w:val="0"/>
                <w:color w:val="000000"/>
                <w:sz w:val="20"/>
                <w:szCs w:val="20"/>
                <w:u w:val="none"/>
              </w:rPr>
            </w:pPr>
          </w:p>
        </w:tc>
      </w:tr>
      <w:tr w14:paraId="1B4F599C">
        <w:tblPrEx>
          <w:tblCellMar>
            <w:top w:w="0" w:type="dxa"/>
            <w:left w:w="0" w:type="dxa"/>
            <w:bottom w:w="0" w:type="dxa"/>
            <w:right w:w="0" w:type="dxa"/>
          </w:tblCellMar>
        </w:tblPrEx>
        <w:trPr>
          <w:trHeight w:val="942" w:hRule="atLeast"/>
        </w:trPr>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EFC66D">
            <w:pPr>
              <w:jc w:val="center"/>
              <w:rPr>
                <w:rFonts w:hint="eastAsia" w:ascii="宋体" w:hAnsi="宋体" w:eastAsia="宋体" w:cs="宋体"/>
                <w:i w:val="0"/>
                <w:color w:val="00000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0E57A6">
            <w:pPr>
              <w:jc w:val="center"/>
              <w:rPr>
                <w:rFonts w:hint="eastAsia" w:ascii="宋体" w:hAnsi="宋体" w:eastAsia="宋体" w:cs="宋体"/>
                <w:i w:val="0"/>
                <w:color w:val="000000"/>
                <w:sz w:val="20"/>
                <w:szCs w:val="20"/>
                <w:u w:val="none"/>
              </w:rPr>
            </w:pP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25E3C639">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法定代表人、主要负责人、实际控制人信用良好，符合医保定点申请要求；在注册地址正式运营至少3个月，运</w:t>
            </w:r>
            <w:r>
              <w:rPr>
                <w:rFonts w:hint="eastAsia" w:ascii="宋体" w:hAnsi="宋体" w:cs="宋体"/>
                <w:i w:val="0"/>
                <w:color w:val="000000"/>
                <w:kern w:val="0"/>
                <w:sz w:val="20"/>
                <w:szCs w:val="20"/>
                <w:u w:val="none"/>
                <w:lang w:val="en-US" w:eastAsia="zh-CN" w:bidi="ar"/>
              </w:rPr>
              <w:t>营</w:t>
            </w:r>
            <w:r>
              <w:rPr>
                <w:rFonts w:hint="eastAsia" w:ascii="宋体" w:hAnsi="宋体" w:eastAsia="宋体" w:cs="宋体"/>
                <w:i w:val="0"/>
                <w:color w:val="000000"/>
                <w:kern w:val="0"/>
                <w:sz w:val="20"/>
                <w:szCs w:val="20"/>
                <w:u w:val="none"/>
                <w:lang w:val="en-US" w:eastAsia="zh-CN" w:bidi="ar"/>
              </w:rPr>
              <w:t>时间满3个月得7分，每增加1个月，增加0.5分。（10分）</w:t>
            </w:r>
          </w:p>
        </w:tc>
        <w:tc>
          <w:tcPr>
            <w:tcW w:w="56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268DE0E">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1.法定代表人、主要负责人、实际控制人被列入失信人员名单的，暂不纳入</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2.运营时间以行政部门颁发的《医疗机构执业许可证》批准时间为准；3.正式运营时间少于3个月的暂不纳入。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1A02084D">
            <w:pPr>
              <w:jc w:val="left"/>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238891D5">
            <w:pPr>
              <w:jc w:val="left"/>
              <w:rPr>
                <w:rFonts w:hint="eastAsia" w:ascii="宋体" w:hAnsi="宋体" w:eastAsia="宋体" w:cs="宋体"/>
                <w:i w:val="0"/>
                <w:color w:val="000000"/>
                <w:sz w:val="20"/>
                <w:szCs w:val="20"/>
                <w:u w:val="none"/>
              </w:rPr>
            </w:pPr>
          </w:p>
        </w:tc>
      </w:tr>
      <w:tr w14:paraId="2F5B4208">
        <w:tblPrEx>
          <w:tblCellMar>
            <w:top w:w="0" w:type="dxa"/>
            <w:left w:w="0" w:type="dxa"/>
            <w:bottom w:w="0" w:type="dxa"/>
            <w:right w:w="0" w:type="dxa"/>
          </w:tblCellMar>
        </w:tblPrEx>
        <w:trPr>
          <w:trHeight w:val="1157" w:hRule="atLeast"/>
        </w:trPr>
        <w:tc>
          <w:tcPr>
            <w:tcW w:w="3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6114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0025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信息系统(</w:t>
            </w:r>
            <w:r>
              <w:rPr>
                <w:rFonts w:hint="eastAsia" w:ascii="宋体" w:hAnsi="宋体" w:cs="宋体"/>
                <w:i w:val="0"/>
                <w:color w:val="000000"/>
                <w:kern w:val="0"/>
                <w:sz w:val="20"/>
                <w:szCs w:val="20"/>
                <w:u w:val="none"/>
                <w:lang w:val="en-US" w:eastAsia="zh-CN" w:bidi="ar"/>
              </w:rPr>
              <w:t>20</w:t>
            </w:r>
            <w:r>
              <w:rPr>
                <w:rFonts w:hint="eastAsia" w:ascii="宋体" w:hAnsi="宋体" w:eastAsia="宋体" w:cs="宋体"/>
                <w:i w:val="0"/>
                <w:color w:val="000000"/>
                <w:kern w:val="0"/>
                <w:sz w:val="20"/>
                <w:szCs w:val="20"/>
                <w:u w:val="none"/>
                <w:lang w:val="en-US" w:eastAsia="zh-CN" w:bidi="ar"/>
              </w:rPr>
              <w:t>分）</w:t>
            </w: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7699965F">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具有符合医保协议管理要求的医院信息系统技术和接口标准，可实现与医保信息系统有效对接，可按要求向医保信息系统传送全部就诊人员相关信息，具备开展直接联网结算的条件。（</w:t>
            </w:r>
            <w:r>
              <w:rPr>
                <w:rFonts w:hint="eastAsia" w:ascii="宋体" w:hAnsi="宋体" w:cs="宋体"/>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t>分）</w:t>
            </w:r>
          </w:p>
        </w:tc>
        <w:tc>
          <w:tcPr>
            <w:tcW w:w="56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411F82F4">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1.信息系统不符合要求的，暂不纳入；2.不具备开展直接联网结算条件的，暂不纳入。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25CF0CA1">
            <w:pPr>
              <w:jc w:val="left"/>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17EE01C2">
            <w:pPr>
              <w:jc w:val="left"/>
              <w:rPr>
                <w:rFonts w:hint="eastAsia" w:ascii="宋体" w:hAnsi="宋体" w:eastAsia="宋体" w:cs="宋体"/>
                <w:i w:val="0"/>
                <w:color w:val="000000"/>
                <w:sz w:val="20"/>
                <w:szCs w:val="20"/>
                <w:u w:val="none"/>
              </w:rPr>
            </w:pPr>
          </w:p>
        </w:tc>
      </w:tr>
      <w:tr w14:paraId="644B5708">
        <w:tblPrEx>
          <w:tblCellMar>
            <w:top w:w="0" w:type="dxa"/>
            <w:left w:w="0" w:type="dxa"/>
            <w:bottom w:w="0" w:type="dxa"/>
            <w:right w:w="0" w:type="dxa"/>
          </w:tblCellMar>
        </w:tblPrEx>
        <w:trPr>
          <w:trHeight w:val="811" w:hRule="atLeast"/>
        </w:trPr>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10ACF8">
            <w:pPr>
              <w:jc w:val="center"/>
              <w:rPr>
                <w:rFonts w:hint="eastAsia" w:ascii="宋体" w:hAnsi="宋体" w:eastAsia="宋体" w:cs="宋体"/>
                <w:i w:val="0"/>
                <w:color w:val="00000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AD5E75">
            <w:pPr>
              <w:jc w:val="center"/>
              <w:rPr>
                <w:rFonts w:hint="eastAsia" w:ascii="宋体" w:hAnsi="宋体" w:eastAsia="宋体" w:cs="宋体"/>
                <w:i w:val="0"/>
                <w:color w:val="000000"/>
                <w:sz w:val="20"/>
                <w:szCs w:val="20"/>
                <w:u w:val="none"/>
              </w:rPr>
            </w:pP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168F76A">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分别设立医保药品、诊疗项目、医疗服务设施、医用耗材、疾病病种等基础数据库；使用国家统一的医保编码。（10分）</w:t>
            </w:r>
          </w:p>
        </w:tc>
        <w:tc>
          <w:tcPr>
            <w:tcW w:w="56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F5F03A7">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1.基础数据库建设不规范的酌情扣分，最高扣5分；2.未使用国家统一医保编码的，扣5分。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85A2AAA">
            <w:pPr>
              <w:jc w:val="left"/>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342184EA">
            <w:pPr>
              <w:jc w:val="left"/>
              <w:rPr>
                <w:rFonts w:hint="eastAsia" w:ascii="宋体" w:hAnsi="宋体" w:eastAsia="宋体" w:cs="宋体"/>
                <w:i w:val="0"/>
                <w:color w:val="000000"/>
                <w:sz w:val="20"/>
                <w:szCs w:val="20"/>
                <w:u w:val="none"/>
              </w:rPr>
            </w:pPr>
          </w:p>
        </w:tc>
      </w:tr>
      <w:tr w14:paraId="4278C041">
        <w:tblPrEx>
          <w:tblCellMar>
            <w:top w:w="0" w:type="dxa"/>
            <w:left w:w="0" w:type="dxa"/>
            <w:bottom w:w="0" w:type="dxa"/>
            <w:right w:w="0" w:type="dxa"/>
          </w:tblCellMar>
        </w:tblPrEx>
        <w:trPr>
          <w:trHeight w:val="591" w:hRule="atLeast"/>
        </w:trPr>
        <w:tc>
          <w:tcPr>
            <w:tcW w:w="3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BCA5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3"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CF405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服务能力(20分）</w:t>
            </w: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213ED0A4">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至少有1名取得医师执业证书或中医（专长）医师资格证书且第一注册地在该医疗机构的医师。（5分）</w:t>
            </w:r>
          </w:p>
        </w:tc>
        <w:tc>
          <w:tcPr>
            <w:tcW w:w="56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37E0912">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1.不符合要求的，暂不纳入；2.只有1名医师符合要求的，得2分；符合要求的医师每增加1名，增加1分，最高得5分。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E3930">
            <w:pPr>
              <w:jc w:val="left"/>
              <w:rPr>
                <w:rFonts w:hint="eastAsia" w:ascii="宋体" w:hAnsi="宋体" w:eastAsia="宋体" w:cs="宋体"/>
                <w:i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6B376F47">
            <w:pPr>
              <w:jc w:val="left"/>
              <w:rPr>
                <w:rFonts w:hint="eastAsia" w:ascii="宋体" w:hAnsi="宋体" w:eastAsia="宋体" w:cs="宋体"/>
                <w:i w:val="0"/>
                <w:color w:val="000000"/>
                <w:sz w:val="20"/>
                <w:szCs w:val="20"/>
                <w:u w:val="none"/>
              </w:rPr>
            </w:pPr>
          </w:p>
        </w:tc>
      </w:tr>
      <w:tr w14:paraId="5DC7F5BE">
        <w:tblPrEx>
          <w:tblCellMar>
            <w:top w:w="0" w:type="dxa"/>
            <w:left w:w="0" w:type="dxa"/>
            <w:bottom w:w="0" w:type="dxa"/>
            <w:right w:w="0" w:type="dxa"/>
          </w:tblCellMar>
        </w:tblPrEx>
        <w:trPr>
          <w:trHeight w:val="659" w:hRule="atLeast"/>
        </w:trPr>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2AD57">
            <w:pPr>
              <w:jc w:val="center"/>
              <w:rPr>
                <w:rFonts w:hint="eastAsia" w:ascii="宋体" w:hAnsi="宋体" w:eastAsia="宋体" w:cs="宋体"/>
                <w:i w:val="0"/>
                <w:color w:val="000000"/>
                <w:sz w:val="20"/>
                <w:szCs w:val="20"/>
                <w:u w:val="none"/>
              </w:rPr>
            </w:pPr>
          </w:p>
        </w:tc>
        <w:tc>
          <w:tcPr>
            <w:tcW w:w="91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90A544C">
            <w:pPr>
              <w:jc w:val="center"/>
              <w:rPr>
                <w:rFonts w:hint="eastAsia" w:ascii="宋体" w:hAnsi="宋体" w:eastAsia="宋体" w:cs="宋体"/>
                <w:i w:val="0"/>
                <w:color w:val="000000"/>
                <w:sz w:val="20"/>
                <w:szCs w:val="20"/>
                <w:u w:val="none"/>
              </w:rPr>
            </w:pP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3BA3B6E5">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医师、护士、药学及医技等专业技术人员具备相应岗位的任职资格，不得超范围执业。（5分）</w:t>
            </w:r>
          </w:p>
        </w:tc>
        <w:tc>
          <w:tcPr>
            <w:tcW w:w="56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9E07E38">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1.核查医师、护士、药学及医技等专业技术人员执业信息，超范围执业的，暂不纳入；2.执业的药师或护士未注册的，暂不纳入。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08365">
            <w:pPr>
              <w:jc w:val="left"/>
              <w:rPr>
                <w:rFonts w:hint="eastAsia" w:ascii="宋体" w:hAnsi="宋体" w:eastAsia="宋体" w:cs="宋体"/>
                <w:i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53BF0BC">
            <w:pPr>
              <w:jc w:val="left"/>
              <w:rPr>
                <w:rFonts w:hint="eastAsia" w:ascii="宋体" w:hAnsi="宋体" w:eastAsia="宋体" w:cs="宋体"/>
                <w:i w:val="0"/>
                <w:color w:val="000000"/>
                <w:sz w:val="20"/>
                <w:szCs w:val="20"/>
                <w:u w:val="none"/>
              </w:rPr>
            </w:pPr>
          </w:p>
        </w:tc>
      </w:tr>
      <w:tr w14:paraId="493DE49A">
        <w:tblPrEx>
          <w:tblCellMar>
            <w:top w:w="0" w:type="dxa"/>
            <w:left w:w="0" w:type="dxa"/>
            <w:bottom w:w="0" w:type="dxa"/>
            <w:right w:w="0" w:type="dxa"/>
          </w:tblCellMar>
        </w:tblPrEx>
        <w:trPr>
          <w:trHeight w:val="591" w:hRule="atLeast"/>
        </w:trPr>
        <w:tc>
          <w:tcPr>
            <w:tcW w:w="314"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DAD051C">
            <w:pPr>
              <w:jc w:val="center"/>
              <w:rPr>
                <w:rFonts w:hint="eastAsia" w:ascii="宋体" w:hAnsi="宋体" w:eastAsia="宋体" w:cs="宋体"/>
                <w:i w:val="0"/>
                <w:color w:val="000000"/>
                <w:sz w:val="20"/>
                <w:szCs w:val="20"/>
                <w:u w:val="none"/>
              </w:rPr>
            </w:pPr>
          </w:p>
        </w:tc>
        <w:tc>
          <w:tcPr>
            <w:tcW w:w="913"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3B48A95">
            <w:pPr>
              <w:jc w:val="center"/>
              <w:rPr>
                <w:rFonts w:hint="eastAsia" w:ascii="宋体" w:hAnsi="宋体" w:eastAsia="宋体" w:cs="宋体"/>
                <w:i w:val="0"/>
                <w:color w:val="000000"/>
                <w:sz w:val="20"/>
                <w:szCs w:val="20"/>
                <w:u w:val="none"/>
              </w:rPr>
            </w:pPr>
          </w:p>
        </w:tc>
        <w:tc>
          <w:tcPr>
            <w:tcW w:w="5187"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top"/>
          </w:tcPr>
          <w:p w14:paraId="1F4B1D85">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核查与服务功能相适应的诊断、治疗、手术、住院、药品贮存及发放、检查检验放射等基础设施和仪器设备。（5分）</w:t>
            </w:r>
          </w:p>
        </w:tc>
        <w:tc>
          <w:tcPr>
            <w:tcW w:w="56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2BAD10E0">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1.基础设施和仪器设备与服务功能相适应的，得5分；2.不完全符合的，酌情扣分。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B1DB0">
            <w:pPr>
              <w:jc w:val="left"/>
              <w:rPr>
                <w:rFonts w:hint="eastAsia" w:ascii="宋体" w:hAnsi="宋体" w:eastAsia="宋体" w:cs="宋体"/>
                <w:i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7AC0B32E">
            <w:pPr>
              <w:jc w:val="left"/>
              <w:rPr>
                <w:rFonts w:hint="eastAsia" w:ascii="宋体" w:hAnsi="宋体" w:eastAsia="宋体" w:cs="宋体"/>
                <w:i w:val="0"/>
                <w:color w:val="000000"/>
                <w:sz w:val="20"/>
                <w:szCs w:val="20"/>
                <w:u w:val="none"/>
              </w:rPr>
            </w:pPr>
          </w:p>
        </w:tc>
      </w:tr>
      <w:tr w14:paraId="53A44E7A">
        <w:tblPrEx>
          <w:tblCellMar>
            <w:top w:w="0" w:type="dxa"/>
            <w:left w:w="0" w:type="dxa"/>
            <w:bottom w:w="0" w:type="dxa"/>
            <w:right w:w="0" w:type="dxa"/>
          </w:tblCellMar>
        </w:tblPrEx>
        <w:trPr>
          <w:trHeight w:val="875" w:hRule="atLeast"/>
        </w:trPr>
        <w:tc>
          <w:tcPr>
            <w:tcW w:w="314" w:type="dxa"/>
            <w:vMerge w:val="continue"/>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6D795B">
            <w:pPr>
              <w:jc w:val="center"/>
              <w:rPr>
                <w:rFonts w:hint="eastAsia" w:ascii="宋体" w:hAnsi="宋体" w:eastAsia="宋体" w:cs="宋体"/>
                <w:i w:val="0"/>
                <w:color w:val="000000"/>
                <w:sz w:val="20"/>
                <w:szCs w:val="20"/>
                <w:u w:val="none"/>
              </w:rPr>
            </w:pPr>
          </w:p>
        </w:tc>
        <w:tc>
          <w:tcPr>
            <w:tcW w:w="913" w:type="dxa"/>
            <w:vMerge w:val="continue"/>
            <w:tcBorders>
              <w:top w:val="single" w:color="auto" w:sz="4" w:space="0"/>
              <w:left w:val="single" w:color="000000" w:sz="4" w:space="0"/>
              <w:bottom w:val="nil"/>
              <w:right w:val="single" w:color="000000" w:sz="4" w:space="0"/>
            </w:tcBorders>
            <w:shd w:val="clear" w:color="auto" w:fill="FFFFFF"/>
            <w:tcMar>
              <w:top w:w="15" w:type="dxa"/>
              <w:left w:w="15" w:type="dxa"/>
              <w:right w:w="15" w:type="dxa"/>
            </w:tcMar>
            <w:vAlign w:val="center"/>
          </w:tcPr>
          <w:p w14:paraId="5420A64C">
            <w:pPr>
              <w:jc w:val="center"/>
              <w:rPr>
                <w:rFonts w:hint="eastAsia" w:ascii="宋体" w:hAnsi="宋体" w:eastAsia="宋体" w:cs="宋体"/>
                <w:i w:val="0"/>
                <w:color w:val="000000"/>
                <w:sz w:val="20"/>
                <w:szCs w:val="20"/>
                <w:u w:val="none"/>
              </w:rPr>
            </w:pPr>
          </w:p>
        </w:tc>
        <w:tc>
          <w:tcPr>
            <w:tcW w:w="5187"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873AEEA">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主要负责人负责医保工作，配备专（兼）职医保管理人员；100张床位以上的医疗机构设内部医保管理部门，安排专职工作人员。（5分）</w:t>
            </w:r>
          </w:p>
        </w:tc>
        <w:tc>
          <w:tcPr>
            <w:tcW w:w="56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218B8714">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不符合要求的，暂不纳入。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AC1F0">
            <w:pPr>
              <w:jc w:val="left"/>
              <w:rPr>
                <w:rFonts w:hint="eastAsia" w:ascii="宋体" w:hAnsi="宋体" w:eastAsia="宋体" w:cs="宋体"/>
                <w:i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367963A0">
            <w:pPr>
              <w:jc w:val="left"/>
              <w:rPr>
                <w:rFonts w:hint="eastAsia" w:ascii="宋体" w:hAnsi="宋体" w:eastAsia="宋体" w:cs="宋体"/>
                <w:i w:val="0"/>
                <w:color w:val="000000"/>
                <w:sz w:val="20"/>
                <w:szCs w:val="20"/>
                <w:u w:val="none"/>
              </w:rPr>
            </w:pPr>
          </w:p>
        </w:tc>
      </w:tr>
      <w:tr w14:paraId="16DA8437">
        <w:tblPrEx>
          <w:tblCellMar>
            <w:top w:w="0" w:type="dxa"/>
            <w:left w:w="0" w:type="dxa"/>
            <w:bottom w:w="0" w:type="dxa"/>
            <w:right w:w="0" w:type="dxa"/>
          </w:tblCellMar>
        </w:tblPrEx>
        <w:trPr>
          <w:trHeight w:val="875" w:hRule="atLeast"/>
        </w:trPr>
        <w:tc>
          <w:tcPr>
            <w:tcW w:w="3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CF7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333E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内部管理（</w:t>
            </w:r>
            <w:r>
              <w:rPr>
                <w:rFonts w:hint="eastAsia" w:ascii="宋体" w:hAnsi="宋体" w:cs="宋体"/>
                <w:i w:val="0"/>
                <w:color w:val="auto"/>
                <w:kern w:val="0"/>
                <w:sz w:val="20"/>
                <w:szCs w:val="20"/>
                <w:u w:val="none"/>
                <w:lang w:val="en-US" w:eastAsia="zh-CN" w:bidi="ar"/>
              </w:rPr>
              <w:t>3</w:t>
            </w:r>
            <w:r>
              <w:rPr>
                <w:rFonts w:hint="eastAsia" w:ascii="宋体" w:hAnsi="宋体" w:eastAsia="宋体" w:cs="宋体"/>
                <w:i w:val="0"/>
                <w:color w:val="auto"/>
                <w:kern w:val="0"/>
                <w:sz w:val="20"/>
                <w:szCs w:val="20"/>
                <w:u w:val="none"/>
                <w:lang w:val="en-US" w:eastAsia="zh-CN" w:bidi="ar"/>
              </w:rPr>
              <w:t>5分）</w:t>
            </w: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BBB8EA8">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具有符合医保协议管理要求的医保管理制度、统计信息管理制度、医疗质量安全核心制度等；</w:t>
            </w:r>
            <w:r>
              <w:rPr>
                <w:rStyle w:val="18"/>
                <w:color w:val="auto"/>
                <w:lang w:val="en-US" w:eastAsia="zh-CN" w:bidi="ar"/>
              </w:rPr>
              <w:t>核查卫生健康部门医疗机构评审的结果。（5分）</w:t>
            </w:r>
          </w:p>
        </w:tc>
        <w:tc>
          <w:tcPr>
            <w:tcW w:w="56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2E518A24">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1.全部符合的，得5分；2.缺少制度或建立制度未落实的，扣2分；</w:t>
            </w:r>
            <w:r>
              <w:rPr>
                <w:rStyle w:val="18"/>
                <w:color w:val="auto"/>
                <w:lang w:val="en-US" w:eastAsia="zh-CN" w:bidi="ar"/>
              </w:rPr>
              <w:t>3.未经卫生健康部门评审的，扣3分。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3ABD">
            <w:pPr>
              <w:jc w:val="both"/>
              <w:rPr>
                <w:rFonts w:hint="eastAsia" w:ascii="微软雅黑" w:hAnsi="微软雅黑" w:eastAsia="微软雅黑" w:cs="微软雅黑"/>
                <w:i w:val="0"/>
                <w:color w:val="333333"/>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4FF69E6C">
            <w:pPr>
              <w:jc w:val="left"/>
              <w:rPr>
                <w:rFonts w:hint="eastAsia" w:ascii="宋体" w:hAnsi="宋体" w:eastAsia="宋体" w:cs="宋体"/>
                <w:i w:val="0"/>
                <w:color w:val="000000"/>
                <w:sz w:val="20"/>
                <w:szCs w:val="20"/>
                <w:u w:val="none"/>
              </w:rPr>
            </w:pPr>
          </w:p>
        </w:tc>
      </w:tr>
      <w:tr w14:paraId="6A9F2DB4">
        <w:tblPrEx>
          <w:tblCellMar>
            <w:top w:w="0" w:type="dxa"/>
            <w:left w:w="0" w:type="dxa"/>
            <w:bottom w:w="0" w:type="dxa"/>
            <w:right w:w="0" w:type="dxa"/>
          </w:tblCellMar>
        </w:tblPrEx>
        <w:trPr>
          <w:trHeight w:val="591" w:hRule="atLeast"/>
        </w:trPr>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B151C">
            <w:pPr>
              <w:jc w:val="center"/>
              <w:rPr>
                <w:rFonts w:hint="eastAsia" w:ascii="宋体" w:hAnsi="宋体" w:eastAsia="宋体" w:cs="宋体"/>
                <w:i w:val="0"/>
                <w:color w:val="00000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2A28E8">
            <w:pPr>
              <w:jc w:val="center"/>
              <w:rPr>
                <w:rFonts w:hint="eastAsia" w:ascii="宋体" w:hAnsi="宋体" w:eastAsia="宋体" w:cs="宋体"/>
                <w:i w:val="0"/>
                <w:color w:val="auto"/>
                <w:sz w:val="20"/>
                <w:szCs w:val="20"/>
                <w:u w:val="none"/>
              </w:rPr>
            </w:pP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60E59273">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财务制度健全，按要求配备专职会计人员。科目设置健全合理，凭证档案保存完整，账实相符。（5分）</w:t>
            </w:r>
          </w:p>
        </w:tc>
        <w:tc>
          <w:tcPr>
            <w:tcW w:w="56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4163BEC6">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1.完全符合要求的，得5分；2.不完全符合的，酌情扣分，3.未配备专职会计人员的，不得分。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996B">
            <w:pPr>
              <w:jc w:val="both"/>
              <w:rPr>
                <w:rFonts w:hint="eastAsia" w:ascii="微软雅黑" w:hAnsi="微软雅黑" w:eastAsia="微软雅黑" w:cs="微软雅黑"/>
                <w:i w:val="0"/>
                <w:color w:val="333333"/>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6D5B998F">
            <w:pPr>
              <w:jc w:val="left"/>
              <w:rPr>
                <w:rFonts w:hint="eastAsia" w:ascii="宋体" w:hAnsi="宋体" w:eastAsia="宋体" w:cs="宋体"/>
                <w:i w:val="0"/>
                <w:color w:val="000000"/>
                <w:sz w:val="20"/>
                <w:szCs w:val="20"/>
                <w:u w:val="none"/>
              </w:rPr>
            </w:pPr>
          </w:p>
        </w:tc>
      </w:tr>
      <w:tr w14:paraId="5026D25B">
        <w:tblPrEx>
          <w:tblCellMar>
            <w:top w:w="0" w:type="dxa"/>
            <w:left w:w="0" w:type="dxa"/>
            <w:bottom w:w="0" w:type="dxa"/>
            <w:right w:w="0" w:type="dxa"/>
          </w:tblCellMar>
        </w:tblPrEx>
        <w:trPr>
          <w:trHeight w:val="591" w:hRule="atLeast"/>
        </w:trPr>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0D3C33">
            <w:pPr>
              <w:jc w:val="center"/>
              <w:rPr>
                <w:rFonts w:hint="eastAsia" w:ascii="宋体" w:hAnsi="宋体" w:eastAsia="宋体" w:cs="宋体"/>
                <w:i w:val="0"/>
                <w:color w:val="00000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65725">
            <w:pPr>
              <w:jc w:val="center"/>
              <w:rPr>
                <w:rFonts w:hint="eastAsia" w:ascii="宋体" w:hAnsi="宋体" w:eastAsia="宋体" w:cs="宋体"/>
                <w:i w:val="0"/>
                <w:color w:val="auto"/>
                <w:sz w:val="20"/>
                <w:szCs w:val="20"/>
                <w:u w:val="none"/>
              </w:rPr>
            </w:pP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13100944">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病历书写准确、规范；诊疗记录、医嘱等与病情及费用明细吻合。（10分）</w:t>
            </w:r>
          </w:p>
        </w:tc>
        <w:tc>
          <w:tcPr>
            <w:tcW w:w="56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F5F788E">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1.随机抽查10份病历，全部符合的，得10分；2.病历书写不符合要求的，每份扣1分；3.病历合格率低于80%的，不得分。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5916A3B">
            <w:pPr>
              <w:jc w:val="left"/>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258FACC9">
            <w:pPr>
              <w:jc w:val="left"/>
              <w:rPr>
                <w:rFonts w:hint="eastAsia" w:ascii="宋体" w:hAnsi="宋体" w:eastAsia="宋体" w:cs="宋体"/>
                <w:i w:val="0"/>
                <w:color w:val="000000"/>
                <w:sz w:val="20"/>
                <w:szCs w:val="20"/>
                <w:u w:val="none"/>
              </w:rPr>
            </w:pPr>
          </w:p>
        </w:tc>
      </w:tr>
      <w:tr w14:paraId="3E0A15B2">
        <w:tblPrEx>
          <w:tblCellMar>
            <w:top w:w="0" w:type="dxa"/>
            <w:left w:w="0" w:type="dxa"/>
            <w:bottom w:w="0" w:type="dxa"/>
            <w:right w:w="0" w:type="dxa"/>
          </w:tblCellMar>
        </w:tblPrEx>
        <w:trPr>
          <w:trHeight w:val="591" w:hRule="atLeast"/>
        </w:trPr>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B32E2">
            <w:pPr>
              <w:jc w:val="center"/>
              <w:rPr>
                <w:rFonts w:hint="eastAsia" w:ascii="宋体" w:hAnsi="宋体" w:eastAsia="宋体" w:cs="宋体"/>
                <w:i w:val="0"/>
                <w:color w:val="00000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340DA">
            <w:pPr>
              <w:jc w:val="center"/>
              <w:rPr>
                <w:rFonts w:hint="eastAsia" w:ascii="宋体" w:hAnsi="宋体" w:eastAsia="宋体" w:cs="宋体"/>
                <w:i w:val="0"/>
                <w:color w:val="auto"/>
                <w:sz w:val="20"/>
                <w:szCs w:val="20"/>
                <w:u w:val="none"/>
              </w:rPr>
            </w:pP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7B693221">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严格执行处方管理规定，处方管理规范。（5分）</w:t>
            </w:r>
          </w:p>
        </w:tc>
        <w:tc>
          <w:tcPr>
            <w:tcW w:w="56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45AB0F36">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1.无门诊日志的，扣5分；2.门诊日志登记不全的扣2分；3. 随机抽查10张处方，不合格处方，每张扣0.5分。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9F01B71">
            <w:pPr>
              <w:jc w:val="left"/>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6BD88C7">
            <w:pPr>
              <w:jc w:val="left"/>
              <w:rPr>
                <w:rFonts w:hint="eastAsia" w:ascii="宋体" w:hAnsi="宋体" w:eastAsia="宋体" w:cs="宋体"/>
                <w:i w:val="0"/>
                <w:color w:val="000000"/>
                <w:sz w:val="20"/>
                <w:szCs w:val="20"/>
                <w:u w:val="none"/>
              </w:rPr>
            </w:pPr>
          </w:p>
        </w:tc>
      </w:tr>
      <w:tr w14:paraId="7492DAC9">
        <w:tblPrEx>
          <w:tblCellMar>
            <w:top w:w="0" w:type="dxa"/>
            <w:left w:w="0" w:type="dxa"/>
            <w:bottom w:w="0" w:type="dxa"/>
            <w:right w:w="0" w:type="dxa"/>
          </w:tblCellMar>
        </w:tblPrEx>
        <w:trPr>
          <w:trHeight w:val="615" w:hRule="atLeast"/>
        </w:trPr>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1B5E3">
            <w:pPr>
              <w:jc w:val="center"/>
              <w:rPr>
                <w:rFonts w:hint="eastAsia" w:ascii="宋体" w:hAnsi="宋体" w:eastAsia="宋体" w:cs="宋体"/>
                <w:i w:val="0"/>
                <w:color w:val="00000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A66A9">
            <w:pPr>
              <w:jc w:val="center"/>
              <w:rPr>
                <w:rFonts w:hint="eastAsia" w:ascii="宋体" w:hAnsi="宋体" w:eastAsia="宋体" w:cs="宋体"/>
                <w:i w:val="0"/>
                <w:color w:val="auto"/>
                <w:sz w:val="20"/>
                <w:szCs w:val="20"/>
                <w:u w:val="none"/>
              </w:rPr>
            </w:pP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30162D83">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药品和器材购进有合法票据，并按规定建立购进记录台账，做到票、账、货相符，无假药、劣药或假劣器材。（5分）</w:t>
            </w:r>
          </w:p>
        </w:tc>
        <w:tc>
          <w:tcPr>
            <w:tcW w:w="56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6B27543">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1.药品和器材购进无合法票据的，每种扣2分；2.票、账、货不符的，每种扣3分；3.出现一种假药、劣药或假劣器材的，不得分。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223405F">
            <w:pPr>
              <w:jc w:val="left"/>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611A3AD7">
            <w:pPr>
              <w:jc w:val="left"/>
              <w:rPr>
                <w:rFonts w:hint="eastAsia" w:ascii="宋体" w:hAnsi="宋体" w:eastAsia="宋体" w:cs="宋体"/>
                <w:i w:val="0"/>
                <w:color w:val="000000"/>
                <w:sz w:val="20"/>
                <w:szCs w:val="20"/>
                <w:u w:val="none"/>
              </w:rPr>
            </w:pPr>
          </w:p>
        </w:tc>
      </w:tr>
      <w:tr w14:paraId="75F86A48">
        <w:tblPrEx>
          <w:tblCellMar>
            <w:top w:w="0" w:type="dxa"/>
            <w:left w:w="0" w:type="dxa"/>
            <w:bottom w:w="0" w:type="dxa"/>
            <w:right w:w="0" w:type="dxa"/>
          </w:tblCellMar>
        </w:tblPrEx>
        <w:trPr>
          <w:trHeight w:val="591" w:hRule="atLeast"/>
        </w:trPr>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70509">
            <w:pPr>
              <w:jc w:val="center"/>
              <w:rPr>
                <w:rFonts w:hint="eastAsia" w:ascii="宋体" w:hAnsi="宋体" w:eastAsia="宋体" w:cs="宋体"/>
                <w:i w:val="0"/>
                <w:color w:val="000000"/>
                <w:sz w:val="20"/>
                <w:szCs w:val="20"/>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560531">
            <w:pPr>
              <w:jc w:val="center"/>
              <w:rPr>
                <w:rFonts w:hint="eastAsia" w:ascii="宋体" w:hAnsi="宋体" w:eastAsia="宋体" w:cs="宋体"/>
                <w:i w:val="0"/>
                <w:color w:val="auto"/>
                <w:sz w:val="20"/>
                <w:szCs w:val="20"/>
                <w:u w:val="none"/>
              </w:rPr>
            </w:pPr>
          </w:p>
        </w:tc>
        <w:tc>
          <w:tcPr>
            <w:tcW w:w="5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CF031F">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严格执行医疗服务价格标准和价格公示制度。（5分）</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B89231">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1.未严格执行医疗服务价格标准的，每发现1例扣1分，扣完为止；2.未在服务场所显著位置公示项目价格的，不得分。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6A64CE51">
            <w:pPr>
              <w:jc w:val="left"/>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1A6CDA7F">
            <w:pPr>
              <w:jc w:val="left"/>
              <w:rPr>
                <w:rFonts w:hint="eastAsia" w:ascii="宋体" w:hAnsi="宋体" w:eastAsia="宋体" w:cs="宋体"/>
                <w:i w:val="0"/>
                <w:color w:val="000000"/>
                <w:sz w:val="20"/>
                <w:szCs w:val="20"/>
                <w:u w:val="none"/>
              </w:rPr>
            </w:pPr>
          </w:p>
        </w:tc>
      </w:tr>
      <w:tr w14:paraId="22FC594E">
        <w:tblPrEx>
          <w:tblCellMar>
            <w:top w:w="0" w:type="dxa"/>
            <w:left w:w="0" w:type="dxa"/>
            <w:bottom w:w="0" w:type="dxa"/>
            <w:right w:w="0" w:type="dxa"/>
          </w:tblCellMar>
        </w:tblPrEx>
        <w:trPr>
          <w:trHeight w:val="591" w:hRule="atLeast"/>
        </w:trPr>
        <w:tc>
          <w:tcPr>
            <w:tcW w:w="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6D0F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F0A7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社会保险（5分）</w:t>
            </w: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444A5256">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单位为全员缴纳社会保险的，得5分；每1人未参保扣2分，少参加一项，一人扣1分,扣完为止。（5分）</w:t>
            </w:r>
          </w:p>
        </w:tc>
        <w:tc>
          <w:tcPr>
            <w:tcW w:w="56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B7D2CCC">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比对从业人员名册，查看缴费证明或个人权益记录单等资料，现场核查。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4C3F402B">
            <w:pPr>
              <w:jc w:val="left"/>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3245EA79">
            <w:pPr>
              <w:jc w:val="left"/>
              <w:rPr>
                <w:rFonts w:hint="eastAsia" w:ascii="宋体" w:hAnsi="宋体" w:eastAsia="宋体" w:cs="宋体"/>
                <w:i w:val="0"/>
                <w:color w:val="000000"/>
                <w:sz w:val="20"/>
                <w:szCs w:val="20"/>
                <w:u w:val="none"/>
              </w:rPr>
            </w:pPr>
          </w:p>
        </w:tc>
      </w:tr>
      <w:tr w14:paraId="71045088">
        <w:tblPrEx>
          <w:tblCellMar>
            <w:top w:w="0" w:type="dxa"/>
            <w:left w:w="0" w:type="dxa"/>
            <w:bottom w:w="0" w:type="dxa"/>
            <w:right w:w="0" w:type="dxa"/>
          </w:tblCellMar>
        </w:tblPrEx>
        <w:trPr>
          <w:trHeight w:val="490" w:hRule="atLeast"/>
        </w:trPr>
        <w:tc>
          <w:tcPr>
            <w:tcW w:w="120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EDFD3">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评估小组签字：</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448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合计得分</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AC984">
            <w:pPr>
              <w:rPr>
                <w:rFonts w:hint="eastAsia" w:ascii="宋体" w:hAnsi="宋体" w:eastAsia="宋体" w:cs="宋体"/>
                <w:i w:val="0"/>
                <w:color w:val="000000"/>
                <w:sz w:val="20"/>
                <w:szCs w:val="20"/>
                <w:u w:val="none"/>
              </w:rPr>
            </w:pPr>
          </w:p>
        </w:tc>
      </w:tr>
      <w:tr w14:paraId="7DC61778">
        <w:tblPrEx>
          <w:tblCellMar>
            <w:top w:w="0" w:type="dxa"/>
            <w:left w:w="0" w:type="dxa"/>
            <w:bottom w:w="0" w:type="dxa"/>
            <w:right w:w="0" w:type="dxa"/>
          </w:tblCellMar>
        </w:tblPrEx>
        <w:trPr>
          <w:trHeight w:val="309" w:hRule="atLeast"/>
        </w:trPr>
        <w:tc>
          <w:tcPr>
            <w:tcW w:w="14140" w:type="dxa"/>
            <w:gridSpan w:val="6"/>
            <w:tcBorders>
              <w:top w:val="nil"/>
              <w:left w:val="nil"/>
              <w:bottom w:val="nil"/>
              <w:right w:val="nil"/>
            </w:tcBorders>
            <w:shd w:val="clear" w:color="auto" w:fill="auto"/>
            <w:noWrap/>
            <w:tcMar>
              <w:top w:w="15" w:type="dxa"/>
              <w:left w:w="15" w:type="dxa"/>
              <w:right w:w="15" w:type="dxa"/>
            </w:tcMar>
            <w:vAlign w:val="center"/>
          </w:tcPr>
          <w:p w14:paraId="194A92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9"/>
                <w:lang w:val="en-US" w:eastAsia="zh-CN" w:bidi="ar"/>
              </w:rPr>
              <w:t>备注：评估得分</w:t>
            </w:r>
            <w:r>
              <w:rPr>
                <w:rStyle w:val="20"/>
                <w:rFonts w:eastAsia="宋体"/>
                <w:lang w:val="en-US" w:eastAsia="zh-CN" w:bidi="ar"/>
              </w:rPr>
              <w:t>≥</w:t>
            </w:r>
            <w:r>
              <w:rPr>
                <w:rStyle w:val="19"/>
                <w:lang w:val="en-US" w:eastAsia="zh-CN" w:bidi="ar"/>
              </w:rPr>
              <w:t>80分的，评估为“合格”。</w:t>
            </w:r>
          </w:p>
        </w:tc>
      </w:tr>
    </w:tbl>
    <w:p w14:paraId="76C5E3CE">
      <w:pPr>
        <w:pStyle w:val="2"/>
        <w:keepNext w:val="0"/>
        <w:keepLines w:val="0"/>
        <w:pageBreakBefore w:val="0"/>
        <w:widowControl w:val="0"/>
        <w:kinsoku/>
        <w:wordWrap/>
        <w:overflowPunct/>
        <w:topLinePunct w:val="0"/>
        <w:autoSpaceDE/>
        <w:autoSpaceDN/>
        <w:bidi w:val="0"/>
        <w:adjustRightInd/>
        <w:snapToGrid w:val="0"/>
        <w:spacing w:line="540" w:lineRule="exact"/>
        <w:ind w:left="0" w:leftChars="0" w:firstLine="0" w:firstLineChars="0"/>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备注： 本评估标准依据《医疗机构医疗保障定点管理暂行办法》、结合《山东省医疗保障定点医疗机构评估细则（试行）（征求意见稿）》制定。</w:t>
      </w:r>
    </w:p>
    <w:p w14:paraId="5E0A8128">
      <w:pPr>
        <w:numPr>
          <w:ilvl w:val="0"/>
          <w:numId w:val="0"/>
        </w:numPr>
        <w:ind w:left="100" w:leftChars="0"/>
        <w:rPr>
          <w:rFonts w:hint="eastAsia" w:ascii="宋体" w:hAnsi="宋体" w:cs="宋体"/>
          <w:b w:val="0"/>
          <w:bCs w:val="0"/>
          <w:color w:val="000000"/>
          <w:kern w:val="0"/>
          <w:sz w:val="20"/>
          <w:szCs w:val="20"/>
        </w:rPr>
      </w:pPr>
    </w:p>
    <w:p w14:paraId="67479FDC">
      <w:pPr>
        <w:numPr>
          <w:ilvl w:val="0"/>
          <w:numId w:val="0"/>
        </w:numPr>
        <w:ind w:left="100" w:leftChars="0"/>
        <w:rPr>
          <w:rFonts w:hint="eastAsia" w:ascii="宋体" w:hAnsi="宋体" w:cs="宋体"/>
          <w:b w:val="0"/>
          <w:bCs w:val="0"/>
          <w:color w:val="000000"/>
          <w:kern w:val="0"/>
          <w:sz w:val="20"/>
          <w:szCs w:val="20"/>
          <w:lang w:eastAsia="zh-CN"/>
        </w:rPr>
      </w:pPr>
      <w:r>
        <w:rPr>
          <w:rFonts w:hint="eastAsia" w:ascii="宋体" w:hAnsi="宋体" w:cs="宋体"/>
          <w:b w:val="0"/>
          <w:bCs w:val="0"/>
          <w:color w:val="000000"/>
          <w:kern w:val="0"/>
          <w:sz w:val="20"/>
          <w:szCs w:val="20"/>
        </w:rPr>
        <w:t>经办机构主要负责人签字</w:t>
      </w:r>
      <w:r>
        <w:rPr>
          <w:rFonts w:hint="eastAsia" w:ascii="宋体" w:hAnsi="宋体" w:cs="宋体"/>
          <w:b w:val="0"/>
          <w:bCs w:val="0"/>
          <w:color w:val="000000"/>
          <w:kern w:val="0"/>
          <w:sz w:val="20"/>
          <w:szCs w:val="20"/>
          <w:lang w:eastAsia="zh-CN"/>
        </w:rPr>
        <w:t>（</w:t>
      </w:r>
      <w:r>
        <w:rPr>
          <w:rFonts w:hint="eastAsia" w:ascii="宋体" w:hAnsi="宋体" w:cs="宋体"/>
          <w:b w:val="0"/>
          <w:bCs w:val="0"/>
          <w:color w:val="000000"/>
          <w:kern w:val="0"/>
          <w:sz w:val="20"/>
          <w:szCs w:val="20"/>
        </w:rPr>
        <w:t>盖章</w:t>
      </w:r>
      <w:r>
        <w:rPr>
          <w:rFonts w:hint="eastAsia" w:ascii="宋体" w:hAnsi="宋体" w:cs="宋体"/>
          <w:b w:val="0"/>
          <w:bCs w:val="0"/>
          <w:color w:val="000000"/>
          <w:kern w:val="0"/>
          <w:sz w:val="20"/>
          <w:szCs w:val="20"/>
          <w:lang w:eastAsia="zh-CN"/>
        </w:rPr>
        <w:t>）</w:t>
      </w:r>
    </w:p>
    <w:p w14:paraId="7B360B50">
      <w:pPr>
        <w:pStyle w:val="2"/>
        <w:rPr>
          <w:rFonts w:hint="eastAsia" w:ascii="宋体" w:hAnsi="宋体" w:cs="宋体"/>
          <w:b w:val="0"/>
          <w:bCs w:val="0"/>
          <w:color w:val="000000"/>
          <w:kern w:val="0"/>
          <w:sz w:val="20"/>
          <w:szCs w:val="20"/>
          <w:lang w:eastAsia="zh-CN"/>
        </w:rPr>
      </w:pPr>
    </w:p>
    <w:tbl>
      <w:tblPr>
        <w:tblStyle w:val="9"/>
        <w:tblW w:w="13908" w:type="dxa"/>
        <w:tblInd w:w="0" w:type="dxa"/>
        <w:shd w:val="clear" w:color="auto" w:fill="auto"/>
        <w:tblLayout w:type="fixed"/>
        <w:tblCellMar>
          <w:top w:w="0" w:type="dxa"/>
          <w:left w:w="0" w:type="dxa"/>
          <w:bottom w:w="0" w:type="dxa"/>
          <w:right w:w="0" w:type="dxa"/>
        </w:tblCellMar>
      </w:tblPr>
      <w:tblGrid>
        <w:gridCol w:w="359"/>
        <w:gridCol w:w="958"/>
        <w:gridCol w:w="5031"/>
        <w:gridCol w:w="4575"/>
        <w:gridCol w:w="1741"/>
        <w:gridCol w:w="1244"/>
      </w:tblGrid>
      <w:tr w14:paraId="422394C7">
        <w:tblPrEx>
          <w:shd w:val="clear" w:color="auto" w:fill="auto"/>
          <w:tblCellMar>
            <w:top w:w="0" w:type="dxa"/>
            <w:left w:w="0" w:type="dxa"/>
            <w:bottom w:w="0" w:type="dxa"/>
            <w:right w:w="0" w:type="dxa"/>
          </w:tblCellMar>
        </w:tblPrEx>
        <w:trPr>
          <w:trHeight w:val="665" w:hRule="atLeast"/>
        </w:trPr>
        <w:tc>
          <w:tcPr>
            <w:tcW w:w="13908" w:type="dxa"/>
            <w:gridSpan w:val="6"/>
            <w:tcBorders>
              <w:top w:val="nil"/>
              <w:left w:val="nil"/>
              <w:bottom w:val="nil"/>
              <w:right w:val="nil"/>
            </w:tcBorders>
            <w:shd w:val="clear" w:color="auto" w:fill="auto"/>
            <w:noWrap/>
            <w:tcMar>
              <w:top w:w="15" w:type="dxa"/>
              <w:left w:w="15" w:type="dxa"/>
              <w:right w:w="15" w:type="dxa"/>
            </w:tcMar>
            <w:vAlign w:val="center"/>
          </w:tcPr>
          <w:p w14:paraId="02F4EE82">
            <w:pPr>
              <w:keepNext w:val="0"/>
              <w:keepLines w:val="0"/>
              <w:widowControl/>
              <w:suppressLineNumbers w:val="0"/>
              <w:jc w:val="both"/>
              <w:textAlignment w:val="center"/>
              <w:rPr>
                <w:rFonts w:ascii="方正小标宋简体" w:hAnsi="方正小标宋简体" w:eastAsia="方正小标宋简体" w:cs="方正小标宋简体"/>
                <w:i w:val="0"/>
                <w:color w:val="000000"/>
                <w:sz w:val="36"/>
                <w:szCs w:val="36"/>
                <w:u w:val="none"/>
              </w:rPr>
            </w:pPr>
            <w:r>
              <w:rPr>
                <w:rFonts w:hint="eastAsia" w:ascii="黑体" w:hAnsi="黑体" w:eastAsia="黑体" w:cs="黑体"/>
                <w:color w:val="000000"/>
                <w:kern w:val="2"/>
                <w:sz w:val="32"/>
                <w:szCs w:val="32"/>
                <w:lang w:val="en-US" w:eastAsia="zh-CN" w:bidi="ar-SA"/>
              </w:rPr>
              <w:t>附件4</w:t>
            </w:r>
            <w:r>
              <w:rPr>
                <w:rFonts w:hint="eastAsia" w:ascii="方正小标宋简体" w:eastAsia="方正小标宋简体"/>
                <w:bCs/>
                <w:color w:val="auto"/>
                <w:sz w:val="36"/>
                <w:szCs w:val="36"/>
                <w:lang w:val="en-US" w:eastAsia="zh-CN"/>
              </w:rPr>
              <w:t xml:space="preserve">        济宁市基本医疗保险新增门诊定点医疗机构评估标准</w:t>
            </w:r>
          </w:p>
        </w:tc>
      </w:tr>
      <w:tr w14:paraId="7B236D6D">
        <w:tblPrEx>
          <w:tblCellMar>
            <w:top w:w="0" w:type="dxa"/>
            <w:left w:w="0" w:type="dxa"/>
            <w:bottom w:w="0" w:type="dxa"/>
            <w:right w:w="0" w:type="dxa"/>
          </w:tblCellMar>
        </w:tblPrEx>
        <w:trPr>
          <w:trHeight w:val="378" w:hRule="atLeast"/>
        </w:trPr>
        <w:tc>
          <w:tcPr>
            <w:tcW w:w="6348" w:type="dxa"/>
            <w:gridSpan w:val="3"/>
            <w:tcBorders>
              <w:top w:val="nil"/>
              <w:left w:val="nil"/>
              <w:bottom w:val="nil"/>
              <w:right w:val="nil"/>
            </w:tcBorders>
            <w:shd w:val="clear" w:color="auto" w:fill="auto"/>
            <w:noWrap/>
            <w:tcMar>
              <w:top w:w="15" w:type="dxa"/>
              <w:left w:w="15" w:type="dxa"/>
              <w:right w:w="15" w:type="dxa"/>
            </w:tcMar>
            <w:vAlign w:val="center"/>
          </w:tcPr>
          <w:p w14:paraId="1411EDF2">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p>
        </w:tc>
        <w:tc>
          <w:tcPr>
            <w:tcW w:w="7560" w:type="dxa"/>
            <w:gridSpan w:val="3"/>
            <w:tcBorders>
              <w:top w:val="nil"/>
              <w:left w:val="nil"/>
              <w:bottom w:val="nil"/>
              <w:right w:val="nil"/>
            </w:tcBorders>
            <w:shd w:val="clear" w:color="auto" w:fill="auto"/>
            <w:noWrap/>
            <w:tcMar>
              <w:top w:w="15" w:type="dxa"/>
              <w:left w:w="15" w:type="dxa"/>
              <w:right w:w="15" w:type="dxa"/>
            </w:tcMar>
            <w:vAlign w:val="center"/>
          </w:tcPr>
          <w:p w14:paraId="75FD5C6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评估日期：       年    月    日</w:t>
            </w:r>
          </w:p>
        </w:tc>
      </w:tr>
      <w:tr w14:paraId="5C590BD8">
        <w:tblPrEx>
          <w:tblCellMar>
            <w:top w:w="0" w:type="dxa"/>
            <w:left w:w="0" w:type="dxa"/>
            <w:bottom w:w="0" w:type="dxa"/>
            <w:right w:w="0" w:type="dxa"/>
          </w:tblCellMar>
        </w:tblPrEx>
        <w:trPr>
          <w:trHeight w:val="63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615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3D1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评估项目</w:t>
            </w:r>
          </w:p>
        </w:tc>
        <w:tc>
          <w:tcPr>
            <w:tcW w:w="5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FF9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评估内容及分值</w:t>
            </w:r>
          </w:p>
        </w:tc>
        <w:tc>
          <w:tcPr>
            <w:tcW w:w="4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BF5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评估办法</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01A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存在问题及扣分原因</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E3B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14:paraId="10C404B9">
        <w:tblPrEx>
          <w:tblCellMar>
            <w:top w:w="0" w:type="dxa"/>
            <w:left w:w="0" w:type="dxa"/>
            <w:bottom w:w="0" w:type="dxa"/>
            <w:right w:w="0" w:type="dxa"/>
          </w:tblCellMar>
        </w:tblPrEx>
        <w:trPr>
          <w:trHeight w:val="1234"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30C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F82D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基本条件(15分）</w:t>
            </w:r>
          </w:p>
        </w:tc>
        <w:tc>
          <w:tcPr>
            <w:tcW w:w="5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332B9C9B">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核查医疗机构执业许可证或中医诊所备案证，严格按照</w:t>
            </w:r>
            <w:r>
              <w:rPr>
                <w:rFonts w:hint="eastAsia" w:ascii="宋体" w:hAnsi="宋体" w:cs="宋体"/>
                <w:i w:val="0"/>
                <w:color w:val="000000"/>
                <w:kern w:val="0"/>
                <w:sz w:val="20"/>
                <w:szCs w:val="20"/>
                <w:u w:val="none"/>
                <w:lang w:val="en-US" w:eastAsia="zh-CN" w:bidi="ar"/>
              </w:rPr>
              <w:t>卫健</w:t>
            </w:r>
            <w:r>
              <w:rPr>
                <w:rFonts w:hint="eastAsia" w:ascii="宋体" w:hAnsi="宋体" w:eastAsia="宋体" w:cs="宋体"/>
                <w:i w:val="0"/>
                <w:color w:val="000000"/>
                <w:kern w:val="0"/>
                <w:sz w:val="20"/>
                <w:szCs w:val="20"/>
                <w:u w:val="none"/>
                <w:lang w:val="en-US" w:eastAsia="zh-CN" w:bidi="ar"/>
              </w:rPr>
              <w:t>行政部门核准的诊疗科目执业；军队医疗机构须持有《为民服务许可证》。（5分）</w:t>
            </w:r>
          </w:p>
        </w:tc>
        <w:tc>
          <w:tcPr>
            <w:tcW w:w="4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6CF36DF4">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1.证照不齐全的,暂不纳入；2.超出《医疗机构执业许可证》诊疗科目执业的，暂不纳入；3.以医疗美容、生活照护、种植牙等非基本医疗服务为主要执业范围的,暂不纳入</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4.经营或摆放化妆品、生活用品等非医疗物品的暂不纳入。</w:t>
            </w:r>
          </w:p>
        </w:tc>
        <w:tc>
          <w:tcPr>
            <w:tcW w:w="1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D5A3326">
            <w:pPr>
              <w:jc w:val="left"/>
              <w:rPr>
                <w:rFonts w:hint="eastAsia" w:ascii="宋体" w:hAnsi="宋体" w:eastAsia="宋体" w:cs="宋体"/>
                <w:i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26F86771">
            <w:pPr>
              <w:jc w:val="left"/>
              <w:rPr>
                <w:rFonts w:hint="eastAsia" w:ascii="宋体" w:hAnsi="宋体" w:eastAsia="宋体" w:cs="宋体"/>
                <w:i w:val="0"/>
                <w:color w:val="000000"/>
                <w:sz w:val="20"/>
                <w:szCs w:val="20"/>
                <w:u w:val="none"/>
              </w:rPr>
            </w:pPr>
          </w:p>
        </w:tc>
      </w:tr>
      <w:tr w14:paraId="1A647E0B">
        <w:tblPrEx>
          <w:tblCellMar>
            <w:top w:w="0" w:type="dxa"/>
            <w:left w:w="0" w:type="dxa"/>
            <w:bottom w:w="0" w:type="dxa"/>
            <w:right w:w="0" w:type="dxa"/>
          </w:tblCellMar>
        </w:tblPrEx>
        <w:trPr>
          <w:trHeight w:val="1234"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6856B6">
            <w:pPr>
              <w:jc w:val="center"/>
              <w:rPr>
                <w:rFonts w:hint="eastAsia" w:ascii="宋体" w:hAnsi="宋体" w:eastAsia="宋体" w:cs="宋体"/>
                <w:i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AC1C6">
            <w:pPr>
              <w:jc w:val="center"/>
              <w:rPr>
                <w:rFonts w:hint="eastAsia" w:ascii="宋体" w:hAnsi="宋体" w:eastAsia="宋体" w:cs="宋体"/>
                <w:i w:val="0"/>
                <w:color w:val="000000"/>
                <w:sz w:val="20"/>
                <w:szCs w:val="20"/>
                <w:u w:val="none"/>
              </w:rPr>
            </w:pPr>
          </w:p>
        </w:tc>
        <w:tc>
          <w:tcPr>
            <w:tcW w:w="5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2735AD87">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法定代表人、主要负责人、实际控制人信用良好，符合医保定点申请要求；在注册地址正式运营至少3个月，运</w:t>
            </w:r>
            <w:r>
              <w:rPr>
                <w:rFonts w:hint="eastAsia" w:ascii="宋体" w:hAnsi="宋体" w:cs="宋体"/>
                <w:i w:val="0"/>
                <w:color w:val="000000"/>
                <w:kern w:val="0"/>
                <w:sz w:val="20"/>
                <w:szCs w:val="20"/>
                <w:u w:val="none"/>
                <w:lang w:val="en-US" w:eastAsia="zh-CN" w:bidi="ar"/>
              </w:rPr>
              <w:t>营</w:t>
            </w:r>
            <w:r>
              <w:rPr>
                <w:rFonts w:hint="eastAsia" w:ascii="宋体" w:hAnsi="宋体" w:eastAsia="宋体" w:cs="宋体"/>
                <w:i w:val="0"/>
                <w:color w:val="000000"/>
                <w:kern w:val="0"/>
                <w:sz w:val="20"/>
                <w:szCs w:val="20"/>
                <w:u w:val="none"/>
                <w:lang w:val="en-US" w:eastAsia="zh-CN" w:bidi="ar"/>
              </w:rPr>
              <w:t>时间满3个月得7分，每增加1个月，增加0.5分。（10分）</w:t>
            </w:r>
          </w:p>
        </w:tc>
        <w:tc>
          <w:tcPr>
            <w:tcW w:w="4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1EBC6CB9">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1.法定代表人、主要负责人、实际控制人被列入失信人员名单的，暂不纳入</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2.运营时间以行政部门颁发的《医疗机构执业许可证》批准时间为准；3.正式运营时间少于3个月的暂不纳入。</w:t>
            </w:r>
          </w:p>
        </w:tc>
        <w:tc>
          <w:tcPr>
            <w:tcW w:w="1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6E96246F">
            <w:pPr>
              <w:jc w:val="left"/>
              <w:rPr>
                <w:rFonts w:hint="eastAsia" w:ascii="宋体" w:hAnsi="宋体" w:eastAsia="宋体" w:cs="宋体"/>
                <w:i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89BCD60">
            <w:pPr>
              <w:jc w:val="left"/>
              <w:rPr>
                <w:rFonts w:hint="eastAsia" w:ascii="宋体" w:hAnsi="宋体" w:eastAsia="宋体" w:cs="宋体"/>
                <w:i w:val="0"/>
                <w:color w:val="000000"/>
                <w:sz w:val="20"/>
                <w:szCs w:val="20"/>
                <w:u w:val="none"/>
              </w:rPr>
            </w:pPr>
          </w:p>
        </w:tc>
      </w:tr>
      <w:tr w14:paraId="4BDE3CA8">
        <w:tblPrEx>
          <w:tblCellMar>
            <w:top w:w="0" w:type="dxa"/>
            <w:left w:w="0" w:type="dxa"/>
            <w:bottom w:w="0" w:type="dxa"/>
            <w:right w:w="0" w:type="dxa"/>
          </w:tblCellMar>
        </w:tblPrEx>
        <w:trPr>
          <w:trHeight w:val="630" w:hRule="atLeast"/>
        </w:trPr>
        <w:tc>
          <w:tcPr>
            <w:tcW w:w="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839E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4C98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信息系统(5分）</w:t>
            </w:r>
          </w:p>
        </w:tc>
        <w:tc>
          <w:tcPr>
            <w:tcW w:w="5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6467E033">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具备开展直接联网结算的条件。（5）</w:t>
            </w:r>
          </w:p>
        </w:tc>
        <w:tc>
          <w:tcPr>
            <w:tcW w:w="4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1ECD253F">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不具备开展直接联网结算条件的，不得分。</w:t>
            </w:r>
          </w:p>
        </w:tc>
        <w:tc>
          <w:tcPr>
            <w:tcW w:w="1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65ED1FB">
            <w:pPr>
              <w:jc w:val="left"/>
              <w:rPr>
                <w:rFonts w:hint="eastAsia" w:ascii="宋体" w:hAnsi="宋体" w:eastAsia="宋体" w:cs="宋体"/>
                <w:i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8CF88C3">
            <w:pPr>
              <w:jc w:val="left"/>
              <w:rPr>
                <w:rFonts w:hint="eastAsia" w:ascii="宋体" w:hAnsi="宋体" w:eastAsia="宋体" w:cs="宋体"/>
                <w:i w:val="0"/>
                <w:color w:val="000000"/>
                <w:sz w:val="20"/>
                <w:szCs w:val="20"/>
                <w:u w:val="none"/>
              </w:rPr>
            </w:pPr>
          </w:p>
        </w:tc>
      </w:tr>
      <w:tr w14:paraId="1A163927">
        <w:tblPrEx>
          <w:tblCellMar>
            <w:top w:w="0" w:type="dxa"/>
            <w:left w:w="0" w:type="dxa"/>
            <w:bottom w:w="0" w:type="dxa"/>
            <w:right w:w="0" w:type="dxa"/>
          </w:tblCellMar>
        </w:tblPrEx>
        <w:trPr>
          <w:trHeight w:val="933"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D84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A97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服务能力(25分）</w:t>
            </w:r>
          </w:p>
        </w:tc>
        <w:tc>
          <w:tcPr>
            <w:tcW w:w="5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7EC6817">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至少有1名取得医师执业证书、乡村医生执业证书或中医（专长）医师资格证书且第一注册地在该医疗机构的医师。（10分）</w:t>
            </w:r>
          </w:p>
        </w:tc>
        <w:tc>
          <w:tcPr>
            <w:tcW w:w="4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4C9EC226">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1.不符合要求的，暂不纳入；2.只有1名医师符合要求的，得6分；符合要求的医师每增加1名，增加2分，最高10分。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8D7F8">
            <w:pPr>
              <w:jc w:val="left"/>
              <w:rPr>
                <w:rFonts w:hint="eastAsia" w:ascii="宋体" w:hAnsi="宋体" w:eastAsia="宋体" w:cs="宋体"/>
                <w:i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292ECD14">
            <w:pPr>
              <w:jc w:val="left"/>
              <w:rPr>
                <w:rFonts w:hint="eastAsia" w:ascii="宋体" w:hAnsi="宋体" w:eastAsia="宋体" w:cs="宋体"/>
                <w:i w:val="0"/>
                <w:color w:val="000000"/>
                <w:sz w:val="20"/>
                <w:szCs w:val="20"/>
                <w:u w:val="none"/>
              </w:rPr>
            </w:pPr>
          </w:p>
        </w:tc>
      </w:tr>
      <w:tr w14:paraId="12E70851">
        <w:tblPrEx>
          <w:tblCellMar>
            <w:top w:w="0" w:type="dxa"/>
            <w:left w:w="0" w:type="dxa"/>
            <w:bottom w:w="0" w:type="dxa"/>
            <w:right w:w="0" w:type="dxa"/>
          </w:tblCellMar>
        </w:tblPrEx>
        <w:trPr>
          <w:trHeight w:val="93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44351">
            <w:pPr>
              <w:jc w:val="center"/>
              <w:rPr>
                <w:rFonts w:hint="eastAsia" w:ascii="宋体" w:hAnsi="宋体" w:eastAsia="宋体" w:cs="宋体"/>
                <w:i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61E2FE">
            <w:pPr>
              <w:jc w:val="center"/>
              <w:rPr>
                <w:rFonts w:hint="eastAsia" w:ascii="宋体" w:hAnsi="宋体" w:eastAsia="宋体" w:cs="宋体"/>
                <w:i w:val="0"/>
                <w:color w:val="000000"/>
                <w:sz w:val="20"/>
                <w:szCs w:val="20"/>
                <w:u w:val="none"/>
              </w:rPr>
            </w:pPr>
          </w:p>
        </w:tc>
        <w:tc>
          <w:tcPr>
            <w:tcW w:w="5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DA9ADA7">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建筑面积村卫生室不少于80平方，其他医疗机构不少于40平方。（10分）</w:t>
            </w:r>
          </w:p>
        </w:tc>
        <w:tc>
          <w:tcPr>
            <w:tcW w:w="4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46CF4811">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1.查看经营场所的房产证明或租赁协议，实地测量建筑面积；2.建筑面积不符合要求的，不得分；建筑面积符合要求，面积每满10平方，得1分。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598F3">
            <w:pPr>
              <w:jc w:val="left"/>
              <w:rPr>
                <w:rFonts w:hint="eastAsia" w:ascii="宋体" w:hAnsi="宋体" w:eastAsia="宋体" w:cs="宋体"/>
                <w:i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5F6D9CA">
            <w:pPr>
              <w:jc w:val="left"/>
              <w:rPr>
                <w:rFonts w:hint="eastAsia" w:ascii="宋体" w:hAnsi="宋体" w:eastAsia="宋体" w:cs="宋体"/>
                <w:i w:val="0"/>
                <w:color w:val="000000"/>
                <w:sz w:val="20"/>
                <w:szCs w:val="20"/>
                <w:u w:val="none"/>
              </w:rPr>
            </w:pPr>
          </w:p>
        </w:tc>
      </w:tr>
      <w:tr w14:paraId="4BA993FD">
        <w:tblPrEx>
          <w:tblCellMar>
            <w:top w:w="0" w:type="dxa"/>
            <w:left w:w="0" w:type="dxa"/>
            <w:bottom w:w="0" w:type="dxa"/>
            <w:right w:w="0" w:type="dxa"/>
          </w:tblCellMar>
        </w:tblPrEx>
        <w:trPr>
          <w:trHeight w:val="630"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4E4458">
            <w:pPr>
              <w:jc w:val="center"/>
              <w:rPr>
                <w:rFonts w:hint="eastAsia" w:ascii="宋体" w:hAnsi="宋体" w:eastAsia="宋体" w:cs="宋体"/>
                <w:i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B78BB2">
            <w:pPr>
              <w:jc w:val="center"/>
              <w:rPr>
                <w:rFonts w:hint="eastAsia" w:ascii="宋体" w:hAnsi="宋体" w:eastAsia="宋体" w:cs="宋体"/>
                <w:i w:val="0"/>
                <w:color w:val="000000"/>
                <w:sz w:val="20"/>
                <w:szCs w:val="20"/>
                <w:u w:val="none"/>
              </w:rPr>
            </w:pPr>
          </w:p>
        </w:tc>
        <w:tc>
          <w:tcPr>
            <w:tcW w:w="5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10D60B56">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至少设有诊断室、治疗室、药房、观察室，设置合理，有明显的标志牌。（5分）</w:t>
            </w:r>
          </w:p>
        </w:tc>
        <w:tc>
          <w:tcPr>
            <w:tcW w:w="4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105C1211">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1.不符合要求的，不得分；2.治疗室的使用面积少于10平方米的，不得分；3.观察室使用面积少于15平方米的，不得分。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185E">
            <w:pPr>
              <w:jc w:val="left"/>
              <w:rPr>
                <w:rFonts w:hint="eastAsia" w:ascii="宋体" w:hAnsi="宋体" w:eastAsia="宋体" w:cs="宋体"/>
                <w:i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4CC00483">
            <w:pPr>
              <w:jc w:val="left"/>
              <w:rPr>
                <w:rFonts w:hint="eastAsia" w:ascii="宋体" w:hAnsi="宋体" w:eastAsia="宋体" w:cs="宋体"/>
                <w:i w:val="0"/>
                <w:color w:val="000000"/>
                <w:sz w:val="20"/>
                <w:szCs w:val="20"/>
                <w:u w:val="none"/>
              </w:rPr>
            </w:pPr>
          </w:p>
        </w:tc>
      </w:tr>
      <w:tr w14:paraId="1FE51875">
        <w:tblPrEx>
          <w:tblCellMar>
            <w:top w:w="0" w:type="dxa"/>
            <w:left w:w="0" w:type="dxa"/>
            <w:bottom w:w="0" w:type="dxa"/>
            <w:right w:w="0" w:type="dxa"/>
          </w:tblCellMar>
        </w:tblPrEx>
        <w:trPr>
          <w:trHeight w:val="657"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224E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8957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内部管理（50分）</w:t>
            </w:r>
          </w:p>
        </w:tc>
        <w:tc>
          <w:tcPr>
            <w:tcW w:w="5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4EC99CB9">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具有符合医保协议管理要求的医保管理制度、财务制度、统计信息管理制度、医疗质量安全核心制度等。（5分）</w:t>
            </w:r>
          </w:p>
        </w:tc>
        <w:tc>
          <w:tcPr>
            <w:tcW w:w="4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3A7A481C">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1.全部符合的，得5分；2.不完全符合或建立制度未落实的，酌情扣分。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AD98">
            <w:pPr>
              <w:jc w:val="both"/>
              <w:rPr>
                <w:rFonts w:hint="eastAsia" w:ascii="微软雅黑" w:hAnsi="微软雅黑" w:eastAsia="微软雅黑" w:cs="微软雅黑"/>
                <w:i w:val="0"/>
                <w:color w:val="333333"/>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3405E171">
            <w:pPr>
              <w:jc w:val="left"/>
              <w:rPr>
                <w:rFonts w:hint="eastAsia" w:ascii="宋体" w:hAnsi="宋体" w:eastAsia="宋体" w:cs="宋体"/>
                <w:i w:val="0"/>
                <w:color w:val="000000"/>
                <w:sz w:val="20"/>
                <w:szCs w:val="20"/>
                <w:u w:val="none"/>
              </w:rPr>
            </w:pPr>
          </w:p>
        </w:tc>
      </w:tr>
      <w:tr w14:paraId="00714625">
        <w:tblPrEx>
          <w:tblCellMar>
            <w:top w:w="0" w:type="dxa"/>
            <w:left w:w="0" w:type="dxa"/>
            <w:bottom w:w="0" w:type="dxa"/>
            <w:right w:w="0" w:type="dxa"/>
          </w:tblCellMar>
        </w:tblPrEx>
        <w:trPr>
          <w:trHeight w:val="654"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E5D18C">
            <w:pPr>
              <w:jc w:val="center"/>
              <w:rPr>
                <w:rFonts w:hint="eastAsia" w:ascii="宋体" w:hAnsi="宋体" w:eastAsia="宋体" w:cs="宋体"/>
                <w:i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11CC30">
            <w:pPr>
              <w:jc w:val="center"/>
              <w:rPr>
                <w:rFonts w:hint="eastAsia" w:ascii="宋体" w:hAnsi="宋体" w:eastAsia="宋体" w:cs="宋体"/>
                <w:i w:val="0"/>
                <w:color w:val="000000"/>
                <w:sz w:val="20"/>
                <w:szCs w:val="20"/>
                <w:u w:val="none"/>
              </w:rPr>
            </w:pPr>
          </w:p>
        </w:tc>
        <w:tc>
          <w:tcPr>
            <w:tcW w:w="5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00E09CA">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核查药品经营品种，每满100种药品得1分。（5分）</w:t>
            </w:r>
          </w:p>
        </w:tc>
        <w:tc>
          <w:tcPr>
            <w:tcW w:w="4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1C5917B8">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1.以药品批准文号为计算单位进行统计；2.药品经营品种含中药饮片。</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A291">
            <w:pPr>
              <w:jc w:val="both"/>
              <w:rPr>
                <w:rFonts w:hint="eastAsia" w:ascii="微软雅黑" w:hAnsi="微软雅黑" w:eastAsia="微软雅黑" w:cs="微软雅黑"/>
                <w:i w:val="0"/>
                <w:color w:val="333333"/>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1DC92344">
            <w:pPr>
              <w:jc w:val="left"/>
              <w:rPr>
                <w:rFonts w:hint="eastAsia" w:ascii="宋体" w:hAnsi="宋体" w:eastAsia="宋体" w:cs="宋体"/>
                <w:i w:val="0"/>
                <w:color w:val="000000"/>
                <w:sz w:val="20"/>
                <w:szCs w:val="20"/>
                <w:u w:val="none"/>
              </w:rPr>
            </w:pPr>
          </w:p>
        </w:tc>
      </w:tr>
      <w:tr w14:paraId="00828A2A">
        <w:tblPrEx>
          <w:tblCellMar>
            <w:top w:w="0" w:type="dxa"/>
            <w:left w:w="0" w:type="dxa"/>
            <w:bottom w:w="0" w:type="dxa"/>
            <w:right w:w="0" w:type="dxa"/>
          </w:tblCellMar>
        </w:tblPrEx>
        <w:trPr>
          <w:trHeight w:val="385"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FAEBB">
            <w:pPr>
              <w:jc w:val="center"/>
              <w:rPr>
                <w:rFonts w:hint="eastAsia" w:ascii="宋体" w:hAnsi="宋体" w:eastAsia="宋体" w:cs="宋体"/>
                <w:i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D5CDA1">
            <w:pPr>
              <w:jc w:val="center"/>
              <w:rPr>
                <w:rFonts w:hint="eastAsia" w:ascii="宋体" w:hAnsi="宋体" w:eastAsia="宋体" w:cs="宋体"/>
                <w:i w:val="0"/>
                <w:color w:val="000000"/>
                <w:sz w:val="20"/>
                <w:szCs w:val="20"/>
                <w:u w:val="none"/>
              </w:rPr>
            </w:pPr>
          </w:p>
        </w:tc>
        <w:tc>
          <w:tcPr>
            <w:tcW w:w="5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42FDE2A2">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严格执行处方管理规定，处方书写规范。（10分）</w:t>
            </w:r>
          </w:p>
        </w:tc>
        <w:tc>
          <w:tcPr>
            <w:tcW w:w="4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E6E7E7C">
            <w:pPr>
              <w:keepNext w:val="0"/>
              <w:keepLines w:val="0"/>
              <w:widowControl/>
              <w:suppressLineNumbers w:val="0"/>
              <w:jc w:val="left"/>
              <w:textAlignment w:val="top"/>
              <w:rPr>
                <w:rFonts w:hint="eastAsia"/>
              </w:rPr>
            </w:pPr>
            <w:r>
              <w:rPr>
                <w:rFonts w:hint="eastAsia"/>
                <w:lang w:val="en-US" w:eastAsia="zh-CN"/>
              </w:rPr>
              <w:t xml:space="preserve"> 随机抽查10张处方，不合格处方，每张扣1分。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069A">
            <w:pPr>
              <w:jc w:val="both"/>
              <w:rPr>
                <w:rFonts w:hint="eastAsia" w:ascii="微软雅黑" w:hAnsi="微软雅黑" w:eastAsia="微软雅黑" w:cs="微软雅黑"/>
                <w:i w:val="0"/>
                <w:color w:val="333333"/>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23033E19">
            <w:pPr>
              <w:jc w:val="left"/>
              <w:rPr>
                <w:rFonts w:hint="eastAsia" w:ascii="宋体" w:hAnsi="宋体" w:eastAsia="宋体" w:cs="宋体"/>
                <w:i w:val="0"/>
                <w:color w:val="000000"/>
                <w:sz w:val="20"/>
                <w:szCs w:val="20"/>
                <w:u w:val="none"/>
              </w:rPr>
            </w:pPr>
          </w:p>
        </w:tc>
      </w:tr>
      <w:tr w14:paraId="3DE02E57">
        <w:tblPrEx>
          <w:tblCellMar>
            <w:top w:w="0" w:type="dxa"/>
            <w:left w:w="0" w:type="dxa"/>
            <w:bottom w:w="0" w:type="dxa"/>
            <w:right w:w="0" w:type="dxa"/>
          </w:tblCellMar>
        </w:tblPrEx>
        <w:trPr>
          <w:trHeight w:val="630"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C150D4">
            <w:pPr>
              <w:jc w:val="center"/>
              <w:rPr>
                <w:rFonts w:hint="eastAsia" w:ascii="宋体" w:hAnsi="宋体" w:eastAsia="宋体" w:cs="宋体"/>
                <w:i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226DD">
            <w:pPr>
              <w:jc w:val="center"/>
              <w:rPr>
                <w:rFonts w:hint="eastAsia" w:ascii="宋体" w:hAnsi="宋体" w:eastAsia="宋体" w:cs="宋体"/>
                <w:i w:val="0"/>
                <w:color w:val="000000"/>
                <w:sz w:val="20"/>
                <w:szCs w:val="20"/>
                <w:u w:val="none"/>
              </w:rPr>
            </w:pPr>
          </w:p>
        </w:tc>
        <w:tc>
          <w:tcPr>
            <w:tcW w:w="5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10F2E9C0">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门诊日志填写工整、规范，无漏登现象。（10分）</w:t>
            </w:r>
          </w:p>
        </w:tc>
        <w:tc>
          <w:tcPr>
            <w:tcW w:w="4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2B8061B9">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1.无门诊日志的，不得分；2.门诊日志登记不全的，每发现1例，扣2分。</w:t>
            </w:r>
          </w:p>
        </w:tc>
        <w:tc>
          <w:tcPr>
            <w:tcW w:w="1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1C849329">
            <w:pPr>
              <w:jc w:val="left"/>
              <w:rPr>
                <w:rFonts w:hint="eastAsia" w:ascii="宋体" w:hAnsi="宋体" w:eastAsia="宋体" w:cs="宋体"/>
                <w:i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21D3E42">
            <w:pPr>
              <w:jc w:val="left"/>
              <w:rPr>
                <w:rFonts w:hint="eastAsia" w:ascii="宋体" w:hAnsi="宋体" w:eastAsia="宋体" w:cs="宋体"/>
                <w:i w:val="0"/>
                <w:color w:val="000000"/>
                <w:sz w:val="20"/>
                <w:szCs w:val="20"/>
                <w:u w:val="none"/>
              </w:rPr>
            </w:pPr>
          </w:p>
        </w:tc>
      </w:tr>
      <w:tr w14:paraId="251D32E6">
        <w:tblPrEx>
          <w:tblCellMar>
            <w:top w:w="0" w:type="dxa"/>
            <w:left w:w="0" w:type="dxa"/>
            <w:bottom w:w="0" w:type="dxa"/>
            <w:right w:w="0" w:type="dxa"/>
          </w:tblCellMar>
        </w:tblPrEx>
        <w:trPr>
          <w:trHeight w:val="125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F4931F">
            <w:pPr>
              <w:jc w:val="center"/>
              <w:rPr>
                <w:rFonts w:hint="eastAsia" w:ascii="宋体" w:hAnsi="宋体" w:eastAsia="宋体" w:cs="宋体"/>
                <w:i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A705B4">
            <w:pPr>
              <w:jc w:val="center"/>
              <w:rPr>
                <w:rFonts w:hint="eastAsia" w:ascii="宋体" w:hAnsi="宋体" w:eastAsia="宋体" w:cs="宋体"/>
                <w:i w:val="0"/>
                <w:color w:val="000000"/>
                <w:sz w:val="20"/>
                <w:szCs w:val="20"/>
                <w:u w:val="none"/>
              </w:rPr>
            </w:pPr>
          </w:p>
        </w:tc>
        <w:tc>
          <w:tcPr>
            <w:tcW w:w="5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208B0F04">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治疗室配置符合行政部门要求，配备急救箱（急救药品不得少于12种）、至少50支各种规格一次性注射器、必要抢救器材（如氧气袋、氧气瓶、开口器、简易呼吸器、吸痰器等）。（10分）</w:t>
            </w:r>
          </w:p>
        </w:tc>
        <w:tc>
          <w:tcPr>
            <w:tcW w:w="4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74834F53">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不符合要求的，酌情扣分。</w:t>
            </w:r>
          </w:p>
        </w:tc>
        <w:tc>
          <w:tcPr>
            <w:tcW w:w="1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4EE20FB3">
            <w:pPr>
              <w:jc w:val="left"/>
              <w:rPr>
                <w:rFonts w:hint="eastAsia" w:ascii="宋体" w:hAnsi="宋体" w:eastAsia="宋体" w:cs="宋体"/>
                <w:i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3EE1221">
            <w:pPr>
              <w:jc w:val="left"/>
              <w:rPr>
                <w:rFonts w:hint="eastAsia" w:ascii="宋体" w:hAnsi="宋体" w:eastAsia="宋体" w:cs="宋体"/>
                <w:i w:val="0"/>
                <w:color w:val="000000"/>
                <w:sz w:val="20"/>
                <w:szCs w:val="20"/>
                <w:u w:val="none"/>
              </w:rPr>
            </w:pPr>
          </w:p>
        </w:tc>
      </w:tr>
      <w:tr w14:paraId="368B7A8F">
        <w:tblPrEx>
          <w:tblCellMar>
            <w:top w:w="0" w:type="dxa"/>
            <w:left w:w="0" w:type="dxa"/>
            <w:bottom w:w="0" w:type="dxa"/>
            <w:right w:w="0" w:type="dxa"/>
          </w:tblCellMar>
        </w:tblPrEx>
        <w:trPr>
          <w:trHeight w:val="92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65FB5">
            <w:pPr>
              <w:jc w:val="center"/>
              <w:rPr>
                <w:rFonts w:hint="eastAsia" w:ascii="宋体" w:hAnsi="宋体" w:eastAsia="宋体" w:cs="宋体"/>
                <w:i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A6E6F">
            <w:pPr>
              <w:jc w:val="center"/>
              <w:rPr>
                <w:rFonts w:hint="eastAsia" w:ascii="宋体" w:hAnsi="宋体" w:eastAsia="宋体" w:cs="宋体"/>
                <w:i w:val="0"/>
                <w:color w:val="000000"/>
                <w:sz w:val="20"/>
                <w:szCs w:val="20"/>
                <w:u w:val="none"/>
              </w:rPr>
            </w:pPr>
          </w:p>
        </w:tc>
        <w:tc>
          <w:tcPr>
            <w:tcW w:w="5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33F6AC8C">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药品和器材购进有合法票据，并按规定建立购进记录台账，做到票、账、货相符，无假药、劣药或假劣器材。（10分）</w:t>
            </w:r>
          </w:p>
        </w:tc>
        <w:tc>
          <w:tcPr>
            <w:tcW w:w="4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3DF5CC9">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1.药品和器材购进无合法票据的，每种扣2分；2.票、账、货不符的，每种扣3分；3.出现一种假药、劣药或假劣器材的，不得分。</w:t>
            </w:r>
          </w:p>
        </w:tc>
        <w:tc>
          <w:tcPr>
            <w:tcW w:w="1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6EFFD016">
            <w:pPr>
              <w:jc w:val="left"/>
              <w:rPr>
                <w:rFonts w:hint="eastAsia" w:ascii="宋体" w:hAnsi="宋体" w:eastAsia="宋体" w:cs="宋体"/>
                <w:i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E70EAB3">
            <w:pPr>
              <w:jc w:val="left"/>
              <w:rPr>
                <w:rFonts w:hint="eastAsia" w:ascii="宋体" w:hAnsi="宋体" w:eastAsia="宋体" w:cs="宋体"/>
                <w:i w:val="0"/>
                <w:color w:val="000000"/>
                <w:sz w:val="20"/>
                <w:szCs w:val="20"/>
                <w:u w:val="none"/>
              </w:rPr>
            </w:pPr>
          </w:p>
        </w:tc>
      </w:tr>
      <w:tr w14:paraId="517B7B95">
        <w:tblPrEx>
          <w:tblCellMar>
            <w:top w:w="0" w:type="dxa"/>
            <w:left w:w="0" w:type="dxa"/>
            <w:bottom w:w="0" w:type="dxa"/>
            <w:right w:w="0" w:type="dxa"/>
          </w:tblCellMar>
        </w:tblPrEx>
        <w:trPr>
          <w:trHeight w:val="721" w:hRule="atLeast"/>
        </w:trPr>
        <w:tc>
          <w:tcPr>
            <w:tcW w:w="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0E9B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9FB4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社会保险（5分）</w:t>
            </w:r>
          </w:p>
        </w:tc>
        <w:tc>
          <w:tcPr>
            <w:tcW w:w="5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F475B11">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单位为全员缴纳社会保险的，得5分；每1人未参保扣2分，少参加一项，一人扣1分,扣完为止。（5分）</w:t>
            </w:r>
          </w:p>
        </w:tc>
        <w:tc>
          <w:tcPr>
            <w:tcW w:w="4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4FEC17C1">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比对从业人员名册，查看缴费证明或个人权益记录单等资料，现场核查。</w:t>
            </w:r>
          </w:p>
        </w:tc>
        <w:tc>
          <w:tcPr>
            <w:tcW w:w="1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2318E504">
            <w:pPr>
              <w:jc w:val="left"/>
              <w:rPr>
                <w:rFonts w:hint="eastAsia" w:ascii="宋体" w:hAnsi="宋体" w:eastAsia="宋体" w:cs="宋体"/>
                <w:i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D005F29">
            <w:pPr>
              <w:jc w:val="left"/>
              <w:rPr>
                <w:rFonts w:hint="eastAsia" w:ascii="宋体" w:hAnsi="宋体" w:eastAsia="宋体" w:cs="宋体"/>
                <w:i w:val="0"/>
                <w:color w:val="000000"/>
                <w:sz w:val="20"/>
                <w:szCs w:val="20"/>
                <w:u w:val="none"/>
              </w:rPr>
            </w:pPr>
          </w:p>
        </w:tc>
      </w:tr>
      <w:tr w14:paraId="7FDA8ACA">
        <w:tblPrEx>
          <w:tblCellMar>
            <w:top w:w="0" w:type="dxa"/>
            <w:left w:w="0" w:type="dxa"/>
            <w:bottom w:w="0" w:type="dxa"/>
            <w:right w:w="0" w:type="dxa"/>
          </w:tblCellMar>
        </w:tblPrEx>
        <w:trPr>
          <w:trHeight w:val="852" w:hRule="atLeast"/>
        </w:trPr>
        <w:tc>
          <w:tcPr>
            <w:tcW w:w="1092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4CC4B">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评估小组签字：</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E24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合计得分</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B40C">
            <w:pPr>
              <w:rPr>
                <w:rFonts w:hint="eastAsia" w:ascii="宋体" w:hAnsi="宋体" w:eastAsia="宋体" w:cs="宋体"/>
                <w:i w:val="0"/>
                <w:color w:val="000000"/>
                <w:sz w:val="20"/>
                <w:szCs w:val="20"/>
                <w:u w:val="none"/>
              </w:rPr>
            </w:pPr>
          </w:p>
        </w:tc>
      </w:tr>
      <w:tr w14:paraId="48A3DEA7">
        <w:tblPrEx>
          <w:tblCellMar>
            <w:top w:w="0" w:type="dxa"/>
            <w:left w:w="0" w:type="dxa"/>
            <w:bottom w:w="0" w:type="dxa"/>
            <w:right w:w="0" w:type="dxa"/>
          </w:tblCellMar>
        </w:tblPrEx>
        <w:trPr>
          <w:trHeight w:val="445" w:hRule="atLeast"/>
        </w:trPr>
        <w:tc>
          <w:tcPr>
            <w:tcW w:w="13908" w:type="dxa"/>
            <w:gridSpan w:val="6"/>
            <w:tcBorders>
              <w:top w:val="nil"/>
              <w:left w:val="nil"/>
              <w:bottom w:val="nil"/>
              <w:right w:val="nil"/>
            </w:tcBorders>
            <w:shd w:val="clear" w:color="auto" w:fill="auto"/>
            <w:noWrap/>
            <w:tcMar>
              <w:top w:w="15" w:type="dxa"/>
              <w:left w:w="15" w:type="dxa"/>
              <w:right w:w="15" w:type="dxa"/>
            </w:tcMar>
            <w:vAlign w:val="center"/>
          </w:tcPr>
          <w:p w14:paraId="604A59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备注：评估得分</w:t>
            </w:r>
            <w:r>
              <w:rPr>
                <w:rFonts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80分的，评估为“合格”。</w:t>
            </w:r>
          </w:p>
        </w:tc>
      </w:tr>
    </w:tbl>
    <w:p w14:paraId="6B6A5F72">
      <w:pPr>
        <w:numPr>
          <w:ilvl w:val="0"/>
          <w:numId w:val="0"/>
        </w:numPr>
        <w:rPr>
          <w:rFonts w:hint="eastAsia" w:ascii="宋体" w:hAnsi="宋体" w:cs="宋体"/>
          <w:b w:val="0"/>
          <w:bCs w:val="0"/>
          <w:color w:val="000000"/>
          <w:kern w:val="0"/>
          <w:sz w:val="20"/>
          <w:szCs w:val="20"/>
        </w:rPr>
      </w:pPr>
    </w:p>
    <w:p w14:paraId="0AA5EEE2">
      <w:pPr>
        <w:numPr>
          <w:ilvl w:val="0"/>
          <w:numId w:val="0"/>
        </w:numP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经办机构主要负责人签字</w:t>
      </w:r>
      <w:r>
        <w:rPr>
          <w:rFonts w:hint="eastAsia" w:ascii="宋体" w:hAnsi="宋体" w:cs="宋体"/>
          <w:b w:val="0"/>
          <w:bCs w:val="0"/>
          <w:color w:val="000000"/>
          <w:kern w:val="0"/>
          <w:sz w:val="20"/>
          <w:szCs w:val="20"/>
          <w:lang w:eastAsia="zh-CN"/>
        </w:rPr>
        <w:t>（</w:t>
      </w:r>
      <w:r>
        <w:rPr>
          <w:rFonts w:hint="eastAsia" w:ascii="宋体" w:hAnsi="宋体" w:cs="宋体"/>
          <w:b w:val="0"/>
          <w:bCs w:val="0"/>
          <w:color w:val="000000"/>
          <w:kern w:val="0"/>
          <w:sz w:val="20"/>
          <w:szCs w:val="20"/>
        </w:rPr>
        <w:t>盖章</w:t>
      </w:r>
      <w:r>
        <w:rPr>
          <w:rFonts w:hint="eastAsia" w:ascii="宋体" w:hAnsi="宋体" w:cs="宋体"/>
          <w:b w:val="0"/>
          <w:bCs w:val="0"/>
          <w:color w:val="000000"/>
          <w:kern w:val="0"/>
          <w:sz w:val="20"/>
          <w:szCs w:val="20"/>
          <w:lang w:eastAsia="zh-CN"/>
        </w:rPr>
        <w:t>）</w:t>
      </w:r>
      <w:r>
        <w:rPr>
          <w:rFonts w:hint="eastAsia" w:ascii="宋体" w:hAnsi="宋体" w:cs="宋体"/>
          <w:b w:val="0"/>
          <w:bCs w:val="0"/>
          <w:color w:val="000000"/>
          <w:kern w:val="0"/>
          <w:sz w:val="20"/>
          <w:szCs w:val="20"/>
        </w:rPr>
        <w:t>：</w:t>
      </w:r>
    </w:p>
    <w:p w14:paraId="23F06F85">
      <w:pPr>
        <w:pStyle w:val="2"/>
        <w:rPr>
          <w:rFonts w:hint="eastAsia" w:ascii="宋体" w:hAnsi="宋体" w:cs="宋体"/>
          <w:b w:val="0"/>
          <w:bCs w:val="0"/>
          <w:color w:val="000000"/>
          <w:kern w:val="0"/>
          <w:sz w:val="20"/>
          <w:szCs w:val="20"/>
        </w:rPr>
      </w:pPr>
    </w:p>
    <w:p w14:paraId="113E787B">
      <w:pPr>
        <w:rPr>
          <w:rFonts w:hint="eastAsia" w:ascii="宋体" w:hAnsi="宋体" w:cs="宋体"/>
          <w:b w:val="0"/>
          <w:bCs w:val="0"/>
          <w:color w:val="000000"/>
          <w:kern w:val="0"/>
          <w:sz w:val="20"/>
          <w:szCs w:val="20"/>
        </w:rPr>
      </w:pPr>
    </w:p>
    <w:p w14:paraId="223F6B77">
      <w:pPr>
        <w:pStyle w:val="2"/>
        <w:rPr>
          <w:rFonts w:hint="eastAsia" w:ascii="宋体" w:hAnsi="宋体" w:cs="宋体"/>
          <w:b w:val="0"/>
          <w:bCs w:val="0"/>
          <w:color w:val="000000"/>
          <w:kern w:val="0"/>
          <w:sz w:val="20"/>
          <w:szCs w:val="20"/>
        </w:rPr>
      </w:pPr>
    </w:p>
    <w:p w14:paraId="4F694599">
      <w:pPr>
        <w:rPr>
          <w:rFonts w:hint="eastAsia"/>
        </w:rPr>
      </w:pPr>
    </w:p>
    <w:tbl>
      <w:tblPr>
        <w:tblStyle w:val="9"/>
        <w:tblW w:w="13340" w:type="dxa"/>
        <w:tblInd w:w="0" w:type="dxa"/>
        <w:shd w:val="clear" w:color="auto" w:fill="auto"/>
        <w:tblLayout w:type="fixed"/>
        <w:tblCellMar>
          <w:top w:w="0" w:type="dxa"/>
          <w:left w:w="0" w:type="dxa"/>
          <w:bottom w:w="0" w:type="dxa"/>
          <w:right w:w="0" w:type="dxa"/>
        </w:tblCellMar>
      </w:tblPr>
      <w:tblGrid>
        <w:gridCol w:w="422"/>
        <w:gridCol w:w="946"/>
        <w:gridCol w:w="4800"/>
        <w:gridCol w:w="4965"/>
        <w:gridCol w:w="1515"/>
        <w:gridCol w:w="692"/>
      </w:tblGrid>
      <w:tr w14:paraId="167BD1A1">
        <w:tblPrEx>
          <w:shd w:val="clear" w:color="auto" w:fill="auto"/>
          <w:tblCellMar>
            <w:top w:w="0" w:type="dxa"/>
            <w:left w:w="0" w:type="dxa"/>
            <w:bottom w:w="0" w:type="dxa"/>
            <w:right w:w="0" w:type="dxa"/>
          </w:tblCellMar>
        </w:tblPrEx>
        <w:trPr>
          <w:trHeight w:val="925" w:hRule="atLeast"/>
        </w:trPr>
        <w:tc>
          <w:tcPr>
            <w:tcW w:w="13340" w:type="dxa"/>
            <w:gridSpan w:val="6"/>
            <w:tcBorders>
              <w:top w:val="nil"/>
              <w:left w:val="nil"/>
              <w:bottom w:val="nil"/>
              <w:right w:val="nil"/>
            </w:tcBorders>
            <w:shd w:val="clear" w:color="auto" w:fill="auto"/>
            <w:noWrap/>
            <w:tcMar>
              <w:top w:w="15" w:type="dxa"/>
              <w:left w:w="15" w:type="dxa"/>
              <w:right w:w="15" w:type="dxa"/>
            </w:tcMar>
            <w:vAlign w:val="center"/>
          </w:tcPr>
          <w:p w14:paraId="33730928">
            <w:pPr>
              <w:keepNext w:val="0"/>
              <w:keepLines w:val="0"/>
              <w:widowControl/>
              <w:suppressLineNumbers w:val="0"/>
              <w:jc w:val="both"/>
              <w:textAlignment w:val="center"/>
              <w:rPr>
                <w:rFonts w:ascii="方正小标宋简体" w:hAnsi="方正小标宋简体" w:eastAsia="方正小标宋简体" w:cs="方正小标宋简体"/>
                <w:i w:val="0"/>
                <w:color w:val="000000"/>
                <w:sz w:val="36"/>
                <w:szCs w:val="36"/>
                <w:u w:val="none"/>
              </w:rPr>
            </w:pPr>
            <w:r>
              <w:rPr>
                <w:rFonts w:hint="eastAsia" w:ascii="黑体" w:hAnsi="黑体" w:eastAsia="黑体" w:cs="黑体"/>
                <w:color w:val="auto"/>
                <w:sz w:val="32"/>
                <w:szCs w:val="32"/>
                <w:lang w:val="en-US" w:eastAsia="zh-CN"/>
              </w:rPr>
              <w:t xml:space="preserve">附件5 </w:t>
            </w:r>
            <w:r>
              <w:rPr>
                <w:rFonts w:hint="eastAsia" w:ascii="方正小标宋简体" w:eastAsia="方正小标宋简体"/>
                <w:bCs/>
                <w:color w:val="auto"/>
                <w:sz w:val="36"/>
                <w:szCs w:val="36"/>
                <w:lang w:val="en-US" w:eastAsia="zh-CN"/>
              </w:rPr>
              <w:t xml:space="preserve">            济宁市基本医疗保险新增定点零售药店评估标准</w:t>
            </w:r>
          </w:p>
        </w:tc>
      </w:tr>
      <w:tr w14:paraId="27828839">
        <w:tblPrEx>
          <w:tblCellMar>
            <w:top w:w="0" w:type="dxa"/>
            <w:left w:w="0" w:type="dxa"/>
            <w:bottom w:w="0" w:type="dxa"/>
            <w:right w:w="0" w:type="dxa"/>
          </w:tblCellMar>
        </w:tblPrEx>
        <w:trPr>
          <w:trHeight w:val="511" w:hRule="atLeast"/>
        </w:trPr>
        <w:tc>
          <w:tcPr>
            <w:tcW w:w="6168" w:type="dxa"/>
            <w:gridSpan w:val="3"/>
            <w:tcBorders>
              <w:top w:val="nil"/>
              <w:left w:val="nil"/>
              <w:bottom w:val="nil"/>
              <w:right w:val="nil"/>
            </w:tcBorders>
            <w:shd w:val="clear" w:color="auto" w:fill="auto"/>
            <w:noWrap/>
            <w:tcMar>
              <w:top w:w="15" w:type="dxa"/>
              <w:left w:w="15" w:type="dxa"/>
              <w:right w:w="15" w:type="dxa"/>
            </w:tcMar>
            <w:vAlign w:val="center"/>
          </w:tcPr>
          <w:p w14:paraId="1786B85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零售药店名称：（加盖公章）</w:t>
            </w:r>
          </w:p>
        </w:tc>
        <w:tc>
          <w:tcPr>
            <w:tcW w:w="7172" w:type="dxa"/>
            <w:gridSpan w:val="3"/>
            <w:tcBorders>
              <w:top w:val="nil"/>
              <w:left w:val="nil"/>
              <w:bottom w:val="nil"/>
              <w:right w:val="nil"/>
            </w:tcBorders>
            <w:shd w:val="clear" w:color="auto" w:fill="auto"/>
            <w:noWrap/>
            <w:tcMar>
              <w:top w:w="15" w:type="dxa"/>
              <w:left w:w="15" w:type="dxa"/>
              <w:right w:w="15" w:type="dxa"/>
            </w:tcMar>
            <w:vAlign w:val="center"/>
          </w:tcPr>
          <w:p w14:paraId="7B0F653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评估日期：       年    月    日</w:t>
            </w:r>
          </w:p>
        </w:tc>
      </w:tr>
      <w:tr w14:paraId="0C003A6C">
        <w:tblPrEx>
          <w:tblCellMar>
            <w:top w:w="0" w:type="dxa"/>
            <w:left w:w="0" w:type="dxa"/>
            <w:bottom w:w="0" w:type="dxa"/>
            <w:right w:w="0" w:type="dxa"/>
          </w:tblCellMar>
        </w:tblPrEx>
        <w:trPr>
          <w:trHeight w:val="745"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4E0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479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评估项目</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A4B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评估内容及分值</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2FB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评估办法</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639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存在问题及扣分原因</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517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14:paraId="5DBC003A">
        <w:tblPrEx>
          <w:tblCellMar>
            <w:top w:w="0" w:type="dxa"/>
            <w:left w:w="0" w:type="dxa"/>
            <w:bottom w:w="0" w:type="dxa"/>
            <w:right w:w="0" w:type="dxa"/>
          </w:tblCellMar>
        </w:tblPrEx>
        <w:trPr>
          <w:trHeight w:val="994" w:hRule="atLeast"/>
        </w:trPr>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E15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EEB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基本条件（20分）</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7822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《药品经营许可证》《营业执照》等证照齐全，并未违反经营许可范围。（10分）</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656AD">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1.药品经营许可证和营业执照以行政部门颁发的有效证件为准，缺少证照或证照无效的暂不纳入；2.经营或摆放化妆品、生活用品等非医疗物品的暂不纳入。</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B24F3">
            <w:pPr>
              <w:jc w:val="center"/>
              <w:rPr>
                <w:rFonts w:hint="eastAsia" w:ascii="宋体" w:hAnsi="宋体" w:eastAsia="宋体" w:cs="宋体"/>
                <w:i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0A1C4">
            <w:pPr>
              <w:jc w:val="both"/>
              <w:rPr>
                <w:rFonts w:hint="eastAsia" w:ascii="宋体" w:hAnsi="宋体" w:eastAsia="宋体" w:cs="宋体"/>
                <w:i w:val="0"/>
                <w:color w:val="000000"/>
                <w:sz w:val="20"/>
                <w:szCs w:val="20"/>
                <w:u w:val="none"/>
              </w:rPr>
            </w:pPr>
          </w:p>
        </w:tc>
      </w:tr>
      <w:tr w14:paraId="2CA6E593">
        <w:tblPrEx>
          <w:tblCellMar>
            <w:top w:w="0" w:type="dxa"/>
            <w:left w:w="0" w:type="dxa"/>
            <w:bottom w:w="0" w:type="dxa"/>
            <w:right w:w="0" w:type="dxa"/>
          </w:tblCellMar>
        </w:tblPrEx>
        <w:trPr>
          <w:trHeight w:val="1314" w:hRule="atLeast"/>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5FA1F">
            <w:pPr>
              <w:jc w:val="center"/>
              <w:rPr>
                <w:rFonts w:hint="eastAsia" w:ascii="宋体" w:hAnsi="宋体" w:eastAsia="宋体" w:cs="宋体"/>
                <w:i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77780">
            <w:pPr>
              <w:jc w:val="center"/>
              <w:rPr>
                <w:rFonts w:hint="eastAsia" w:ascii="宋体" w:hAnsi="宋体" w:eastAsia="宋体" w:cs="宋体"/>
                <w:i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7716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药店法定代表人、企业负责人、实际控制人信用良好，符合医保定点申请要求；在注册地址正式经营至少3个月，正式经营时间满3个月得7分，每增加1个月，增加0.5分。（10分）</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BC2B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1.药店法定代表人、企业负责人、实际控制人被列入失信人员名单的暂不纳入；2.经营时间以行政部门颁发的《药品经营许可证》批准时间为准；3.正式经营时间少于3个月的暂不纳入。</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7A7C">
            <w:pPr>
              <w:jc w:val="center"/>
              <w:rPr>
                <w:rFonts w:hint="eastAsia" w:ascii="宋体" w:hAnsi="宋体" w:eastAsia="宋体" w:cs="宋体"/>
                <w:i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A8A9D">
            <w:pPr>
              <w:jc w:val="both"/>
              <w:rPr>
                <w:rFonts w:hint="eastAsia" w:ascii="宋体" w:hAnsi="宋体" w:eastAsia="宋体" w:cs="宋体"/>
                <w:i w:val="0"/>
                <w:color w:val="000000"/>
                <w:sz w:val="20"/>
                <w:szCs w:val="20"/>
                <w:u w:val="none"/>
              </w:rPr>
            </w:pPr>
          </w:p>
        </w:tc>
      </w:tr>
      <w:tr w14:paraId="42FC238A">
        <w:tblPrEx>
          <w:tblCellMar>
            <w:top w:w="0" w:type="dxa"/>
            <w:left w:w="0" w:type="dxa"/>
            <w:bottom w:w="0" w:type="dxa"/>
            <w:right w:w="0" w:type="dxa"/>
          </w:tblCellMar>
        </w:tblPrEx>
        <w:trPr>
          <w:trHeight w:val="994"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D57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5CE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制度管理（5分）</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A8058">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具有符合医保协议管理要求的医保药品管理制度、财务管理制度、医保人员管理制度、统计信息管理制度和医保费用结算制度。（5分）</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42DD2">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细分医保药品管理制度（1分）、财务管理制度（1分）、医保人员管理制度（1分）、统计信息制度（1分）、医保费用结算制度（1分）五个小项分别计分。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C9F0F">
            <w:pPr>
              <w:jc w:val="center"/>
              <w:rPr>
                <w:rFonts w:hint="eastAsia" w:ascii="宋体" w:hAnsi="宋体" w:eastAsia="宋体" w:cs="宋体"/>
                <w:i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350F3">
            <w:pPr>
              <w:jc w:val="both"/>
              <w:rPr>
                <w:rFonts w:hint="eastAsia" w:ascii="宋体" w:hAnsi="宋体" w:eastAsia="宋体" w:cs="宋体"/>
                <w:i w:val="0"/>
                <w:color w:val="000000"/>
                <w:sz w:val="20"/>
                <w:szCs w:val="20"/>
                <w:u w:val="none"/>
              </w:rPr>
            </w:pPr>
          </w:p>
        </w:tc>
      </w:tr>
      <w:tr w14:paraId="1852FD37">
        <w:tblPrEx>
          <w:tblCellMar>
            <w:top w:w="0" w:type="dxa"/>
            <w:left w:w="0" w:type="dxa"/>
            <w:bottom w:w="0" w:type="dxa"/>
            <w:right w:w="0" w:type="dxa"/>
          </w:tblCellMar>
        </w:tblPrEx>
        <w:trPr>
          <w:trHeight w:val="673" w:hRule="atLeast"/>
        </w:trPr>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AD3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37E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管理服务  （40分）</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803C7">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药品品种数不足500的,不得分；药品品种数500以上，每满100种药品，得1分。（15分）</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4E808">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1.以药品批准文号为计算单位进行统计；2.药品经营品种含中药饮片。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1387A">
            <w:pPr>
              <w:jc w:val="center"/>
              <w:rPr>
                <w:rFonts w:hint="eastAsia" w:ascii="宋体" w:hAnsi="宋体" w:eastAsia="宋体" w:cs="宋体"/>
                <w:i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8BD69">
            <w:pPr>
              <w:jc w:val="both"/>
              <w:rPr>
                <w:rFonts w:hint="eastAsia" w:ascii="宋体" w:hAnsi="宋体" w:eastAsia="宋体" w:cs="宋体"/>
                <w:i w:val="0"/>
                <w:color w:val="000000"/>
                <w:sz w:val="20"/>
                <w:szCs w:val="20"/>
                <w:u w:val="none"/>
              </w:rPr>
            </w:pPr>
          </w:p>
        </w:tc>
      </w:tr>
      <w:tr w14:paraId="7BA3EDBD">
        <w:tblPrEx>
          <w:tblCellMar>
            <w:top w:w="0" w:type="dxa"/>
            <w:left w:w="0" w:type="dxa"/>
            <w:bottom w:w="0" w:type="dxa"/>
            <w:right w:w="0" w:type="dxa"/>
          </w:tblCellMar>
        </w:tblPrEx>
        <w:trPr>
          <w:trHeight w:val="673" w:hRule="atLeast"/>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E19CB">
            <w:pPr>
              <w:jc w:val="center"/>
              <w:rPr>
                <w:rFonts w:hint="eastAsia" w:ascii="宋体" w:hAnsi="宋体" w:eastAsia="宋体" w:cs="宋体"/>
                <w:i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C9BD6">
            <w:pPr>
              <w:jc w:val="center"/>
              <w:rPr>
                <w:rFonts w:hint="eastAsia" w:ascii="宋体" w:hAnsi="宋体" w:eastAsia="宋体" w:cs="宋体"/>
                <w:i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35A22">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按药品经营质量管理规范要求，开展药品分类分区管理，并对所售药品设立明确的医保药品标识。（6分）</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14148">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1.未执行药品分类分区管理的，每一种扣2分；2.药品未按规定条件储存的，每一种扣2分。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622C7">
            <w:pPr>
              <w:jc w:val="center"/>
              <w:rPr>
                <w:rFonts w:hint="eastAsia" w:ascii="宋体" w:hAnsi="宋体" w:eastAsia="宋体" w:cs="宋体"/>
                <w:i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5AB48">
            <w:pPr>
              <w:jc w:val="both"/>
              <w:rPr>
                <w:rFonts w:hint="eastAsia" w:ascii="宋体" w:hAnsi="宋体" w:eastAsia="宋体" w:cs="宋体"/>
                <w:i w:val="0"/>
                <w:color w:val="000000"/>
                <w:sz w:val="20"/>
                <w:szCs w:val="20"/>
                <w:u w:val="none"/>
              </w:rPr>
            </w:pPr>
          </w:p>
        </w:tc>
      </w:tr>
      <w:tr w14:paraId="534B4542">
        <w:tblPrEx>
          <w:tblCellMar>
            <w:top w:w="0" w:type="dxa"/>
            <w:left w:w="0" w:type="dxa"/>
            <w:bottom w:w="0" w:type="dxa"/>
            <w:right w:w="0" w:type="dxa"/>
          </w:tblCellMar>
        </w:tblPrEx>
        <w:trPr>
          <w:trHeight w:val="994" w:hRule="atLeast"/>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0F0F9">
            <w:pPr>
              <w:jc w:val="center"/>
              <w:rPr>
                <w:rFonts w:hint="eastAsia" w:ascii="宋体" w:hAnsi="宋体" w:eastAsia="宋体" w:cs="宋体"/>
                <w:i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A17E6">
            <w:pPr>
              <w:jc w:val="center"/>
              <w:rPr>
                <w:rFonts w:hint="eastAsia" w:ascii="宋体" w:hAnsi="宋体" w:eastAsia="宋体" w:cs="宋体"/>
                <w:i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2578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药品和医用器材购进有合法票据；按规定建立购进记录台账，做到票、账、货相符。（10分）</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DD95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1.现场查看药品、器材购进票据和台账，并抽查5种药品进行票、账、货核对；2.药品、器材购进无合法票据的，不得分；3.票、账、货不符的，每种扣2分。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34566">
            <w:pPr>
              <w:jc w:val="left"/>
              <w:rPr>
                <w:rFonts w:hint="eastAsia" w:ascii="宋体" w:hAnsi="宋体" w:eastAsia="宋体" w:cs="宋体"/>
                <w:i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62483">
            <w:pPr>
              <w:jc w:val="both"/>
              <w:rPr>
                <w:rFonts w:hint="eastAsia" w:ascii="宋体" w:hAnsi="宋体" w:eastAsia="宋体" w:cs="宋体"/>
                <w:i w:val="0"/>
                <w:color w:val="000000"/>
                <w:sz w:val="20"/>
                <w:szCs w:val="20"/>
                <w:u w:val="none"/>
              </w:rPr>
            </w:pPr>
          </w:p>
        </w:tc>
      </w:tr>
      <w:tr w14:paraId="76CE681D">
        <w:tblPrEx>
          <w:tblCellMar>
            <w:top w:w="0" w:type="dxa"/>
            <w:left w:w="0" w:type="dxa"/>
            <w:bottom w:w="0" w:type="dxa"/>
            <w:right w:w="0" w:type="dxa"/>
          </w:tblCellMar>
        </w:tblPrEx>
        <w:trPr>
          <w:trHeight w:val="994" w:hRule="atLeast"/>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BBE6D">
            <w:pPr>
              <w:jc w:val="center"/>
              <w:rPr>
                <w:rFonts w:hint="eastAsia" w:ascii="宋体" w:hAnsi="宋体" w:eastAsia="宋体" w:cs="宋体"/>
                <w:i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B8D0E">
            <w:pPr>
              <w:jc w:val="center"/>
              <w:rPr>
                <w:rFonts w:hint="eastAsia" w:ascii="宋体" w:hAnsi="宋体" w:eastAsia="宋体" w:cs="宋体"/>
                <w:i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21000">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外配处方实行审方、配方、复核程序，并有经办人签字；处方审核人员应是执业药师；处方药品不得以开架自选的方式销售。（9分）</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AB0F0">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1.每缺一项程序的，每张处方扣1分；2.签字不规范的，每张处方扣1分；3.以开架自选的方式销售处方药的，每种扣3分。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C7D7A">
            <w:pPr>
              <w:jc w:val="center"/>
              <w:rPr>
                <w:rFonts w:hint="eastAsia" w:ascii="宋体" w:hAnsi="宋体" w:eastAsia="宋体" w:cs="宋体"/>
                <w:i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DF918">
            <w:pPr>
              <w:jc w:val="both"/>
              <w:rPr>
                <w:rFonts w:hint="eastAsia" w:ascii="宋体" w:hAnsi="宋体" w:eastAsia="宋体" w:cs="宋体"/>
                <w:i w:val="0"/>
                <w:color w:val="000000"/>
                <w:sz w:val="20"/>
                <w:szCs w:val="20"/>
                <w:u w:val="none"/>
              </w:rPr>
            </w:pPr>
          </w:p>
        </w:tc>
      </w:tr>
      <w:tr w14:paraId="568EEBDC">
        <w:tblPrEx>
          <w:tblCellMar>
            <w:top w:w="0" w:type="dxa"/>
            <w:left w:w="0" w:type="dxa"/>
            <w:bottom w:w="0" w:type="dxa"/>
            <w:right w:w="0" w:type="dxa"/>
          </w:tblCellMar>
        </w:tblPrEx>
        <w:trPr>
          <w:trHeight w:val="745"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685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0DD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信息系统（5分）</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E61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有完善的药品、医疗器材进销存信息管理系统并实现实时录入，信息系统具备开展直接联网结算的条件。（5分）</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E898D">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1.系统不完善、数据不完整、核对不一致，每项扣1分；2.不具备开展直接联网结算条件的，不得分。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50548">
            <w:pPr>
              <w:jc w:val="center"/>
              <w:rPr>
                <w:rFonts w:hint="eastAsia" w:ascii="宋体" w:hAnsi="宋体" w:eastAsia="宋体" w:cs="宋体"/>
                <w:i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E5093">
            <w:pPr>
              <w:jc w:val="both"/>
              <w:rPr>
                <w:rFonts w:hint="eastAsia" w:ascii="宋体" w:hAnsi="宋体" w:eastAsia="宋体" w:cs="宋体"/>
                <w:i w:val="0"/>
                <w:color w:val="000000"/>
                <w:sz w:val="20"/>
                <w:szCs w:val="20"/>
                <w:u w:val="none"/>
              </w:rPr>
            </w:pPr>
          </w:p>
        </w:tc>
      </w:tr>
      <w:tr w14:paraId="7F19A6D4">
        <w:tblPrEx>
          <w:tblCellMar>
            <w:top w:w="0" w:type="dxa"/>
            <w:left w:w="0" w:type="dxa"/>
            <w:bottom w:w="0" w:type="dxa"/>
            <w:right w:w="0" w:type="dxa"/>
          </w:tblCellMar>
        </w:tblPrEx>
        <w:trPr>
          <w:trHeight w:val="1269" w:hRule="atLeast"/>
        </w:trPr>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88C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16C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人员配备（20分）</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964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至少配备1名专职执业药师，且在本店注册3个月（含）以上，得7分；配备1名药师的，得3分，配备2名药师的，得5分；至少配备2名熟悉医疗保障法律法规和相关制度规定的专（兼）职医保管理人员负责管理医保费用，得3分。（15分）</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83C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执业药师信息真实，执业地址、执业类别等与实际相符；2.执业药师如有流动的，核对有关证明，确定无断档月份；3.未配备2名专（兼）职医保管理人员的暂不纳入；4.执业药师、药师、专（兼）职医保管理人员须签订1年以上劳动合同且在合同期内，不符合的暂不纳入。</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ED796">
            <w:pPr>
              <w:jc w:val="center"/>
              <w:rPr>
                <w:rFonts w:hint="eastAsia" w:ascii="宋体" w:hAnsi="宋体" w:eastAsia="宋体" w:cs="宋体"/>
                <w:i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5B71">
            <w:pPr>
              <w:jc w:val="both"/>
              <w:rPr>
                <w:rFonts w:hint="eastAsia" w:ascii="宋体" w:hAnsi="宋体" w:eastAsia="宋体" w:cs="宋体"/>
                <w:i w:val="0"/>
                <w:color w:val="000000"/>
                <w:sz w:val="20"/>
                <w:szCs w:val="20"/>
                <w:u w:val="none"/>
              </w:rPr>
            </w:pPr>
          </w:p>
        </w:tc>
      </w:tr>
      <w:tr w14:paraId="14D1F066">
        <w:tblPrEx>
          <w:tblCellMar>
            <w:top w:w="0" w:type="dxa"/>
            <w:left w:w="0" w:type="dxa"/>
            <w:bottom w:w="0" w:type="dxa"/>
            <w:right w:w="0" w:type="dxa"/>
          </w:tblCellMar>
        </w:tblPrEx>
        <w:trPr>
          <w:trHeight w:val="775" w:hRule="atLeast"/>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B7282">
            <w:pPr>
              <w:jc w:val="center"/>
              <w:rPr>
                <w:rFonts w:hint="eastAsia" w:ascii="宋体" w:hAnsi="宋体" w:eastAsia="宋体" w:cs="宋体"/>
                <w:i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19258">
            <w:pPr>
              <w:jc w:val="center"/>
              <w:rPr>
                <w:rFonts w:hint="eastAsia" w:ascii="宋体" w:hAnsi="宋体" w:eastAsia="宋体" w:cs="宋体"/>
                <w:i w:val="0"/>
                <w:color w:val="000000"/>
                <w:sz w:val="20"/>
                <w:szCs w:val="20"/>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E46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单位为全员缴纳社会保险的，得5分；每1人未参保扣2分，少参加一项，一人扣1分,扣完为止。（5分）</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7A8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比对从业人员名册，查看缴费证明或个人权益记录单等资料，现场核查。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7A25D">
            <w:pPr>
              <w:jc w:val="center"/>
              <w:rPr>
                <w:rFonts w:hint="eastAsia" w:ascii="宋体" w:hAnsi="宋体" w:eastAsia="宋体" w:cs="宋体"/>
                <w:i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FDFE">
            <w:pPr>
              <w:jc w:val="both"/>
              <w:rPr>
                <w:rFonts w:hint="eastAsia" w:ascii="宋体" w:hAnsi="宋体" w:eastAsia="宋体" w:cs="宋体"/>
                <w:i w:val="0"/>
                <w:color w:val="000000"/>
                <w:sz w:val="20"/>
                <w:szCs w:val="20"/>
                <w:u w:val="none"/>
              </w:rPr>
            </w:pPr>
          </w:p>
        </w:tc>
      </w:tr>
      <w:tr w14:paraId="1ADB019A">
        <w:tblPrEx>
          <w:tblCellMar>
            <w:top w:w="0" w:type="dxa"/>
            <w:left w:w="0" w:type="dxa"/>
            <w:bottom w:w="0" w:type="dxa"/>
            <w:right w:w="0" w:type="dxa"/>
          </w:tblCellMar>
        </w:tblPrEx>
        <w:trPr>
          <w:trHeight w:val="994"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D5E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3E5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经营状况（10分）</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187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药店布置合理、整洁卫生，经营场所面积每满10平方，得1分。药品存放符合要求，营业、办公和仓储实行区域划分或实现隔离，不符合的不得分。（10分）</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87C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查看经营场所的房产证明或租赁协议，实地测量使用面积。</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2B4CA">
            <w:pPr>
              <w:jc w:val="center"/>
              <w:rPr>
                <w:rFonts w:hint="eastAsia" w:ascii="宋体" w:hAnsi="宋体" w:eastAsia="宋体" w:cs="宋体"/>
                <w:i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17A52">
            <w:pPr>
              <w:jc w:val="both"/>
              <w:rPr>
                <w:rFonts w:hint="eastAsia" w:ascii="宋体" w:hAnsi="宋体" w:eastAsia="宋体" w:cs="宋体"/>
                <w:i w:val="0"/>
                <w:color w:val="000000"/>
                <w:sz w:val="20"/>
                <w:szCs w:val="20"/>
                <w:u w:val="none"/>
              </w:rPr>
            </w:pPr>
          </w:p>
        </w:tc>
      </w:tr>
      <w:tr w14:paraId="3FF248A2">
        <w:tblPrEx>
          <w:tblCellMar>
            <w:top w:w="0" w:type="dxa"/>
            <w:left w:w="0" w:type="dxa"/>
            <w:bottom w:w="0" w:type="dxa"/>
            <w:right w:w="0" w:type="dxa"/>
          </w:tblCellMar>
        </w:tblPrEx>
        <w:trPr>
          <w:trHeight w:val="1047" w:hRule="atLeast"/>
        </w:trPr>
        <w:tc>
          <w:tcPr>
            <w:tcW w:w="111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DDC01">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评估小组签字：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E1F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合计得分</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7952">
            <w:pPr>
              <w:rPr>
                <w:rFonts w:hint="eastAsia" w:ascii="宋体" w:hAnsi="宋体" w:eastAsia="宋体" w:cs="宋体"/>
                <w:i w:val="0"/>
                <w:color w:val="000000"/>
                <w:sz w:val="20"/>
                <w:szCs w:val="20"/>
                <w:u w:val="none"/>
              </w:rPr>
            </w:pPr>
          </w:p>
        </w:tc>
      </w:tr>
      <w:tr w14:paraId="45F69CA3">
        <w:tblPrEx>
          <w:tblCellMar>
            <w:top w:w="0" w:type="dxa"/>
            <w:left w:w="0" w:type="dxa"/>
            <w:bottom w:w="0" w:type="dxa"/>
            <w:right w:w="0" w:type="dxa"/>
          </w:tblCellMar>
        </w:tblPrEx>
        <w:trPr>
          <w:trHeight w:val="692" w:hRule="atLeast"/>
        </w:trPr>
        <w:tc>
          <w:tcPr>
            <w:tcW w:w="13340" w:type="dxa"/>
            <w:gridSpan w:val="6"/>
            <w:tcBorders>
              <w:top w:val="nil"/>
              <w:left w:val="nil"/>
              <w:bottom w:val="nil"/>
              <w:right w:val="nil"/>
            </w:tcBorders>
            <w:shd w:val="clear" w:color="auto" w:fill="auto"/>
            <w:noWrap/>
            <w:tcMar>
              <w:top w:w="15" w:type="dxa"/>
              <w:left w:w="15" w:type="dxa"/>
              <w:right w:w="15" w:type="dxa"/>
            </w:tcMar>
            <w:vAlign w:val="center"/>
          </w:tcPr>
          <w:p w14:paraId="145E94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备注：评估得分</w:t>
            </w:r>
            <w:r>
              <w:rPr>
                <w:rStyle w:val="21"/>
                <w:rFonts w:eastAsia="宋体"/>
                <w:lang w:val="en-US" w:eastAsia="zh-CN" w:bidi="ar"/>
              </w:rPr>
              <w:t>≥</w:t>
            </w:r>
            <w:r>
              <w:rPr>
                <w:rFonts w:hint="eastAsia" w:ascii="宋体" w:hAnsi="宋体" w:eastAsia="宋体" w:cs="宋体"/>
                <w:i w:val="0"/>
                <w:color w:val="000000"/>
                <w:kern w:val="0"/>
                <w:sz w:val="20"/>
                <w:szCs w:val="20"/>
                <w:u w:val="none"/>
                <w:lang w:val="en-US" w:eastAsia="zh-CN" w:bidi="ar"/>
              </w:rPr>
              <w:t>80分的，评估为“合格”。</w:t>
            </w:r>
          </w:p>
        </w:tc>
      </w:tr>
    </w:tbl>
    <w:p w14:paraId="2708D88C">
      <w:pPr>
        <w:numPr>
          <w:ilvl w:val="0"/>
          <w:numId w:val="0"/>
        </w:numPr>
        <w:rPr>
          <w:rFonts w:hint="eastAsia" w:ascii="宋体" w:hAnsi="宋体" w:cs="宋体"/>
          <w:b w:val="0"/>
          <w:bCs w:val="0"/>
          <w:color w:val="000000"/>
          <w:kern w:val="0"/>
          <w:sz w:val="20"/>
          <w:szCs w:val="20"/>
        </w:rPr>
      </w:pPr>
    </w:p>
    <w:p w14:paraId="606BC537">
      <w:pPr>
        <w:numPr>
          <w:ilvl w:val="0"/>
          <w:numId w:val="0"/>
        </w:numP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经办机构主要负责人签字</w:t>
      </w:r>
      <w:r>
        <w:rPr>
          <w:rFonts w:hint="eastAsia" w:ascii="宋体" w:hAnsi="宋体" w:cs="宋体"/>
          <w:b w:val="0"/>
          <w:bCs w:val="0"/>
          <w:color w:val="000000"/>
          <w:kern w:val="0"/>
          <w:sz w:val="20"/>
          <w:szCs w:val="20"/>
          <w:lang w:eastAsia="zh-CN"/>
        </w:rPr>
        <w:t>（</w:t>
      </w:r>
      <w:r>
        <w:rPr>
          <w:rFonts w:hint="eastAsia" w:ascii="宋体" w:hAnsi="宋体" w:cs="宋体"/>
          <w:b w:val="0"/>
          <w:bCs w:val="0"/>
          <w:color w:val="000000"/>
          <w:kern w:val="0"/>
          <w:sz w:val="20"/>
          <w:szCs w:val="20"/>
        </w:rPr>
        <w:t>盖章</w:t>
      </w:r>
      <w:r>
        <w:rPr>
          <w:rFonts w:hint="eastAsia" w:ascii="宋体" w:hAnsi="宋体" w:cs="宋体"/>
          <w:b w:val="0"/>
          <w:bCs w:val="0"/>
          <w:color w:val="000000"/>
          <w:kern w:val="0"/>
          <w:sz w:val="20"/>
          <w:szCs w:val="20"/>
          <w:lang w:eastAsia="zh-CN"/>
        </w:rPr>
        <w:t>）</w:t>
      </w:r>
      <w:r>
        <w:rPr>
          <w:rFonts w:hint="eastAsia" w:ascii="宋体" w:hAnsi="宋体" w:cs="宋体"/>
          <w:b w:val="0"/>
          <w:bCs w:val="0"/>
          <w:color w:val="000000"/>
          <w:kern w:val="0"/>
          <w:sz w:val="20"/>
          <w:szCs w:val="20"/>
        </w:rPr>
        <w:t>：</w:t>
      </w:r>
    </w:p>
    <w:p w14:paraId="3C5A37B2">
      <w:pPr>
        <w:spacing w:line="600" w:lineRule="exact"/>
        <w:rPr>
          <w:rFonts w:hint="eastAsia" w:ascii="黑体" w:hAnsi="黑体" w:eastAsia="黑体" w:cs="黑体"/>
          <w:color w:val="000000"/>
          <w:sz w:val="32"/>
          <w:szCs w:val="32"/>
        </w:rPr>
      </w:pPr>
    </w:p>
    <w:p w14:paraId="55C388E2">
      <w:pPr>
        <w:rPr>
          <w:rFonts w:hint="default"/>
          <w:lang w:val="en-US" w:eastAsia="zh-CN"/>
        </w:rPr>
        <w:sectPr>
          <w:pgSz w:w="16838" w:h="11906" w:orient="landscape"/>
          <w:pgMar w:top="1417" w:right="1701" w:bottom="1531" w:left="1701" w:header="851" w:footer="992" w:gutter="0"/>
          <w:pgNumType w:fmt="decimal"/>
          <w:cols w:space="720" w:num="1"/>
          <w:docGrid w:type="lines" w:linePitch="312" w:charSpace="0"/>
        </w:sectPr>
      </w:pPr>
    </w:p>
    <w:p w14:paraId="1E0BCA08">
      <w:pPr>
        <w:spacing w:line="600" w:lineRule="exact"/>
        <w:rPr>
          <w:rFonts w:ascii="仿宋_GB2312" w:hAnsi="仿宋_GB2312" w:eastAsia="仿宋_GB2312" w:cs="仿宋_GB2312"/>
          <w:color w:val="000000"/>
          <w:sz w:val="32"/>
          <w:szCs w:val="32"/>
        </w:rPr>
      </w:pPr>
      <w:r>
        <w:rPr>
          <w:rFonts w:hint="eastAsia" w:ascii="宋体" w:hAnsi="宋体" w:cs="宋体"/>
          <w:b w:val="0"/>
          <w:bCs/>
          <w:color w:val="000000"/>
          <w:kern w:val="0"/>
          <w:szCs w:val="21"/>
        </w:rPr>
        <w:t xml:space="preserve"> </w:t>
      </w:r>
      <w:r>
        <w:rPr>
          <w:rFonts w:hint="eastAsia" w:ascii="黑体" w:hAnsi="黑体" w:eastAsia="黑体" w:cs="黑体"/>
          <w:color w:val="000000"/>
          <w:kern w:val="2"/>
          <w:sz w:val="32"/>
          <w:szCs w:val="32"/>
          <w:lang w:val="en-US" w:eastAsia="zh-CN" w:bidi="ar-SA"/>
        </w:rPr>
        <w:t>附件6</w:t>
      </w:r>
    </w:p>
    <w:p w14:paraId="5A0C31F8">
      <w:pPr>
        <w:pStyle w:val="8"/>
        <w:spacing w:line="520" w:lineRule="exact"/>
        <w:ind w:firstLine="1760" w:firstLineChars="400"/>
        <w:rPr>
          <w:rFonts w:ascii="方正小标宋简体" w:hAnsi="方正小标宋简体" w:eastAsia="方正小标宋简体" w:cs="方正小标宋简体"/>
          <w:color w:val="000000"/>
          <w:sz w:val="44"/>
          <w:szCs w:val="44"/>
        </w:rPr>
      </w:pPr>
    </w:p>
    <w:p w14:paraId="68950336">
      <w:pPr>
        <w:pStyle w:val="8"/>
        <w:spacing w:line="520" w:lineRule="exact"/>
        <w:ind w:firstLine="1760" w:firstLineChars="40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 xml:space="preserve">关于对******评估结果的公示  </w:t>
      </w:r>
    </w:p>
    <w:p w14:paraId="0C147780">
      <w:pPr>
        <w:pStyle w:val="8"/>
        <w:spacing w:line="520" w:lineRule="exact"/>
        <w:ind w:firstLine="0" w:firstLineChars="0"/>
        <w:rPr>
          <w:rFonts w:ascii="宋体" w:hAnsi="宋体" w:eastAsia="宋体" w:cs="宋体"/>
          <w:color w:val="000000"/>
          <w:sz w:val="32"/>
          <w:szCs w:val="32"/>
        </w:rPr>
      </w:pPr>
    </w:p>
    <w:p w14:paraId="2366B15A">
      <w:pPr>
        <w:pStyle w:val="8"/>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依据《</w:t>
      </w:r>
      <w:r>
        <w:rPr>
          <w:rFonts w:hint="eastAsia" w:ascii="仿宋_GB2312" w:hAnsi="仿宋_GB2312" w:eastAsia="仿宋_GB2312" w:cs="仿宋_GB2312"/>
          <w:color w:val="000000"/>
          <w:sz w:val="32"/>
          <w:szCs w:val="32"/>
          <w:lang w:eastAsia="zh-CN"/>
        </w:rPr>
        <w:t>济宁</w:t>
      </w:r>
      <w:r>
        <w:rPr>
          <w:rFonts w:hint="eastAsia" w:ascii="仿宋_GB2312" w:hAnsi="仿宋_GB2312" w:eastAsia="仿宋_GB2312" w:cs="仿宋_GB2312"/>
          <w:color w:val="000000"/>
          <w:sz w:val="32"/>
          <w:szCs w:val="32"/>
        </w:rPr>
        <w:t>市基本医疗保险定点医药机构服务协议管理经办规程》，我单位于*年*月*日对***进行了评估，评估结果为合格。拟将***新增为***********，现进行公示，公示期从*年*月*日至*年*月*日。</w:t>
      </w:r>
    </w:p>
    <w:p w14:paraId="73F2279E">
      <w:pPr>
        <w:pStyle w:val="8"/>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对以上结果有异议的，请以书面形式于*年*月*日前向  我单位反馈。</w:t>
      </w:r>
    </w:p>
    <w:p w14:paraId="21778813">
      <w:pPr>
        <w:pStyle w:val="8"/>
        <w:spacing w:line="520" w:lineRule="exact"/>
        <w:ind w:firstLine="640"/>
        <w:rPr>
          <w:rFonts w:ascii="仿宋_GB2312" w:hAnsi="仿宋_GB2312" w:eastAsia="仿宋_GB2312" w:cs="仿宋_GB2312"/>
          <w:color w:val="000000"/>
          <w:sz w:val="32"/>
          <w:szCs w:val="32"/>
        </w:rPr>
      </w:pPr>
    </w:p>
    <w:p w14:paraId="08903885">
      <w:pPr>
        <w:pStyle w:val="8"/>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电话：</w:t>
      </w:r>
    </w:p>
    <w:p w14:paraId="2FC2BA96">
      <w:pPr>
        <w:pStyle w:val="8"/>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邮箱：</w:t>
      </w:r>
    </w:p>
    <w:p w14:paraId="1897A2FE">
      <w:pPr>
        <w:pStyle w:val="8"/>
        <w:spacing w:line="520" w:lineRule="exact"/>
        <w:ind w:firstLine="640"/>
        <w:rPr>
          <w:rFonts w:ascii="仿宋_GB2312" w:hAnsi="仿宋_GB2312" w:eastAsia="仿宋_GB2312" w:cs="仿宋_GB2312"/>
          <w:color w:val="000000"/>
          <w:sz w:val="32"/>
          <w:szCs w:val="32"/>
        </w:rPr>
      </w:pPr>
    </w:p>
    <w:p w14:paraId="1F713D5F">
      <w:pPr>
        <w:pStyle w:val="8"/>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3F87E0B0">
      <w:pPr>
        <w:pStyle w:val="8"/>
        <w:spacing w:line="520" w:lineRule="exact"/>
        <w:ind w:firstLine="960" w:firstLineChars="3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单位名称</w:t>
      </w:r>
      <w:r>
        <w:rPr>
          <w:rFonts w:hint="eastAsia" w:ascii="仿宋_GB2312" w:eastAsia="仿宋_GB2312"/>
          <w:color w:val="000000"/>
          <w:sz w:val="32"/>
          <w:szCs w:val="32"/>
        </w:rPr>
        <w:t>（章）</w:t>
      </w:r>
      <w:r>
        <w:rPr>
          <w:rFonts w:hint="eastAsia" w:ascii="仿宋_GB2312" w:hAnsi="仿宋_GB2312" w:eastAsia="仿宋_GB2312" w:cs="仿宋_GB2312"/>
          <w:color w:val="000000"/>
          <w:sz w:val="32"/>
          <w:szCs w:val="32"/>
        </w:rPr>
        <w:t xml:space="preserve">  </w:t>
      </w:r>
    </w:p>
    <w:p w14:paraId="44D578AB">
      <w:pPr>
        <w:ind w:left="6078" w:leftChars="456" w:hanging="5120" w:hangingChars="1600"/>
        <w:jc w:val="center"/>
        <w:rPr>
          <w:rFonts w:ascii="仿宋_GB2312" w:eastAsia="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eastAsia="仿宋_GB2312"/>
          <w:color w:val="000000"/>
          <w:sz w:val="32"/>
          <w:szCs w:val="32"/>
        </w:rPr>
        <w:t xml:space="preserve">年  月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日</w:t>
      </w:r>
    </w:p>
    <w:p w14:paraId="5917F65A">
      <w:pPr>
        <w:pStyle w:val="8"/>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38FFCFC1">
      <w:pPr>
        <w:spacing w:line="520" w:lineRule="exact"/>
        <w:ind w:firstLine="640" w:firstLineChars="200"/>
        <w:rPr>
          <w:rFonts w:ascii="仿宋_GB2312" w:hAnsi="仿宋_GB2312" w:eastAsia="仿宋_GB2312" w:cs="仿宋_GB2312"/>
          <w:color w:val="000000"/>
          <w:kern w:val="0"/>
          <w:sz w:val="32"/>
          <w:szCs w:val="32"/>
        </w:rPr>
      </w:pPr>
    </w:p>
    <w:p w14:paraId="4114D3EE">
      <w:pPr>
        <w:pStyle w:val="8"/>
        <w:ind w:firstLine="640"/>
        <w:rPr>
          <w:rFonts w:ascii="仿宋_GB2312" w:hAnsi="仿宋_GB2312" w:eastAsia="仿宋_GB2312" w:cs="仿宋_GB2312"/>
          <w:color w:val="000000"/>
          <w:sz w:val="32"/>
          <w:szCs w:val="32"/>
        </w:rPr>
      </w:pPr>
    </w:p>
    <w:p w14:paraId="6BE2FD25">
      <w:pPr>
        <w:pStyle w:val="8"/>
        <w:ind w:firstLine="640"/>
        <w:rPr>
          <w:rFonts w:ascii="仿宋_GB2312" w:hAnsi="仿宋_GB2312" w:eastAsia="仿宋_GB2312" w:cs="仿宋_GB2312"/>
          <w:color w:val="000000"/>
          <w:sz w:val="32"/>
          <w:szCs w:val="32"/>
        </w:rPr>
      </w:pPr>
    </w:p>
    <w:p w14:paraId="7E2FE984">
      <w:pPr>
        <w:pStyle w:val="8"/>
        <w:ind w:firstLine="640"/>
        <w:rPr>
          <w:rFonts w:ascii="仿宋_GB2312" w:hAnsi="仿宋_GB2312" w:eastAsia="仿宋_GB2312" w:cs="仿宋_GB2312"/>
          <w:color w:val="000000"/>
          <w:sz w:val="32"/>
          <w:szCs w:val="32"/>
        </w:rPr>
      </w:pPr>
    </w:p>
    <w:p w14:paraId="28690835">
      <w:pPr>
        <w:pStyle w:val="8"/>
        <w:ind w:firstLine="640"/>
        <w:rPr>
          <w:rFonts w:ascii="仿宋_GB2312" w:hAnsi="仿宋_GB2312" w:eastAsia="仿宋_GB2312" w:cs="仿宋_GB2312"/>
          <w:color w:val="000000"/>
          <w:sz w:val="32"/>
          <w:szCs w:val="32"/>
        </w:rPr>
      </w:pPr>
    </w:p>
    <w:p w14:paraId="3B89862D">
      <w:pPr>
        <w:pStyle w:val="8"/>
        <w:ind w:firstLine="640"/>
        <w:rPr>
          <w:rFonts w:ascii="仿宋_GB2312" w:hAnsi="仿宋_GB2312" w:eastAsia="仿宋_GB2312" w:cs="仿宋_GB2312"/>
          <w:color w:val="000000"/>
          <w:sz w:val="32"/>
          <w:szCs w:val="32"/>
        </w:rPr>
      </w:pPr>
    </w:p>
    <w:p w14:paraId="3373AD4B">
      <w:pPr>
        <w:ind w:right="128" w:rightChars="61"/>
        <w:rPr>
          <w:rFonts w:ascii="宋体" w:hAnsi="宋体" w:cs="宋体"/>
          <w:bCs/>
          <w:color w:val="000000"/>
          <w:sz w:val="32"/>
          <w:szCs w:val="32"/>
        </w:rPr>
      </w:pPr>
    </w:p>
    <w:p w14:paraId="04700B25">
      <w:pPr>
        <w:pStyle w:val="8"/>
        <w:ind w:firstLine="0" w:firstLineChars="0"/>
        <w:rPr>
          <w:rFonts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bidi="ar-SA"/>
        </w:rPr>
        <w:t>附件7</w:t>
      </w:r>
    </w:p>
    <w:p w14:paraId="75B682F5">
      <w:pPr>
        <w:pStyle w:val="8"/>
        <w:ind w:firstLine="0" w:firstLineChars="0"/>
        <w:rPr>
          <w:rFonts w:ascii="仿宋_GB2312" w:hAnsi="仿宋_GB2312" w:eastAsia="仿宋_GB2312" w:cs="仿宋_GB2312"/>
          <w:color w:val="000000"/>
          <w:sz w:val="32"/>
          <w:szCs w:val="32"/>
        </w:rPr>
      </w:pPr>
    </w:p>
    <w:p w14:paraId="6211931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宋体" w:eastAsia="方正小标宋简体" w:cs="宋体"/>
          <w:color w:val="000000"/>
          <w:w w:val="86"/>
          <w:kern w:val="0"/>
          <w:sz w:val="44"/>
          <w:szCs w:val="44"/>
        </w:rPr>
      </w:pPr>
      <w:r>
        <w:rPr>
          <w:rFonts w:hint="eastAsia" w:ascii="方正小标宋简体" w:hAnsi="宋体" w:eastAsia="方正小标宋简体" w:cs="宋体"/>
          <w:color w:val="000000"/>
          <w:w w:val="86"/>
          <w:kern w:val="0"/>
          <w:sz w:val="44"/>
          <w:szCs w:val="44"/>
          <w:lang w:eastAsia="zh-CN"/>
        </w:rPr>
        <w:t>汶上县</w:t>
      </w:r>
      <w:r>
        <w:rPr>
          <w:rFonts w:hint="eastAsia" w:ascii="方正小标宋简体" w:hAnsi="宋体" w:eastAsia="方正小标宋简体" w:cs="宋体"/>
          <w:color w:val="000000"/>
          <w:w w:val="86"/>
          <w:kern w:val="0"/>
          <w:sz w:val="44"/>
          <w:szCs w:val="44"/>
        </w:rPr>
        <w:t>关于新增</w:t>
      </w:r>
      <w:r>
        <w:rPr>
          <w:rFonts w:hint="eastAsia" w:ascii="方正小标宋简体" w:hAnsi="宋体" w:eastAsia="方正小标宋简体" w:cs="宋体"/>
          <w:color w:val="000000"/>
          <w:w w:val="86"/>
          <w:kern w:val="0"/>
          <w:sz w:val="44"/>
          <w:szCs w:val="44"/>
          <w:lang w:eastAsia="zh-CN"/>
        </w:rPr>
        <w:t>协议</w:t>
      </w:r>
      <w:r>
        <w:rPr>
          <w:rFonts w:hint="eastAsia" w:ascii="方正小标宋简体" w:hAnsi="宋体" w:eastAsia="方正小标宋简体" w:cs="宋体"/>
          <w:color w:val="000000"/>
          <w:w w:val="86"/>
          <w:kern w:val="0"/>
          <w:sz w:val="44"/>
          <w:szCs w:val="44"/>
        </w:rPr>
        <w:t>定点医药机构的备案报告</w:t>
      </w:r>
    </w:p>
    <w:p w14:paraId="5FE7EE6C">
      <w:pPr>
        <w:pStyle w:val="8"/>
      </w:pPr>
    </w:p>
    <w:p w14:paraId="46C331B0">
      <w:pPr>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济宁</w:t>
      </w:r>
      <w:r>
        <w:rPr>
          <w:rFonts w:hint="eastAsia" w:ascii="仿宋_GB2312" w:hAnsi="宋体" w:eastAsia="仿宋_GB2312" w:cs="宋体"/>
          <w:color w:val="000000"/>
          <w:kern w:val="0"/>
          <w:sz w:val="32"/>
          <w:szCs w:val="32"/>
        </w:rPr>
        <w:t>市医疗保险事业中心：</w:t>
      </w:r>
    </w:p>
    <w:p w14:paraId="6C0F804B">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经</w:t>
      </w:r>
      <w:r>
        <w:rPr>
          <w:rFonts w:hint="eastAsia" w:ascii="仿宋_GB2312" w:eastAsia="仿宋_GB2312"/>
          <w:color w:val="000000"/>
          <w:sz w:val="32"/>
          <w:szCs w:val="32"/>
          <w:lang w:eastAsia="zh-CN"/>
        </w:rPr>
        <w:t>济宁康明眼科医院</w:t>
      </w:r>
      <w:r>
        <w:rPr>
          <w:rFonts w:hint="eastAsia" w:ascii="仿宋_GB2312" w:eastAsia="仿宋_GB2312"/>
          <w:color w:val="000000"/>
          <w:sz w:val="32"/>
          <w:szCs w:val="32"/>
        </w:rPr>
        <w:t>自愿申请，我中心于*年*月*日对其进行了评估，评估结果为***，评估结果于*年*月*日至*年*</w:t>
      </w:r>
      <w:bookmarkStart w:id="0" w:name="_GoBack"/>
      <w:bookmarkEnd w:id="0"/>
      <w:r>
        <w:rPr>
          <w:rFonts w:hint="eastAsia" w:ascii="仿宋_GB2312" w:eastAsia="仿宋_GB2312"/>
          <w:color w:val="000000"/>
          <w:sz w:val="32"/>
          <w:szCs w:val="32"/>
        </w:rPr>
        <w:t>月*日进行了公示，公示期间未收到异议。我中心与***进行了协商谈判并达成一致意见，并和***于*年*月*日签订了*年服务协议，现申请备案。</w:t>
      </w:r>
    </w:p>
    <w:p w14:paraId="434A246E">
      <w:pPr>
        <w:jc w:val="left"/>
        <w:rPr>
          <w:rFonts w:ascii="仿宋_GB2312" w:eastAsia="仿宋_GB2312"/>
          <w:color w:val="000000"/>
          <w:sz w:val="32"/>
          <w:szCs w:val="32"/>
        </w:rPr>
      </w:pPr>
    </w:p>
    <w:p w14:paraId="40AED751">
      <w:pPr>
        <w:jc w:val="right"/>
        <w:rPr>
          <w:rFonts w:ascii="仿宋_GB2312" w:eastAsia="仿宋_GB2312"/>
          <w:color w:val="000000"/>
          <w:sz w:val="32"/>
          <w:szCs w:val="32"/>
        </w:rPr>
      </w:pPr>
      <w:r>
        <w:rPr>
          <w:rFonts w:hint="eastAsia" w:ascii="仿宋_GB2312" w:eastAsia="仿宋_GB2312"/>
          <w:color w:val="000000"/>
          <w:sz w:val="32"/>
          <w:szCs w:val="32"/>
        </w:rPr>
        <w:t>单位名称（章）</w:t>
      </w:r>
    </w:p>
    <w:p w14:paraId="21270498">
      <w:pPr>
        <w:ind w:left="6078" w:leftChars="456" w:hanging="5120" w:hangingChars="1600"/>
        <w:jc w:val="center"/>
        <w:rPr>
          <w:rFonts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 xml:space="preserve">  年  月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日</w:t>
      </w:r>
    </w:p>
    <w:p w14:paraId="2B29005B">
      <w:pPr>
        <w:pStyle w:val="8"/>
        <w:ind w:firstLine="640"/>
        <w:rPr>
          <w:rFonts w:ascii="仿宋_GB2312" w:eastAsia="仿宋_GB2312"/>
          <w:color w:val="000000"/>
          <w:sz w:val="32"/>
          <w:szCs w:val="32"/>
        </w:rPr>
      </w:pPr>
    </w:p>
    <w:p w14:paraId="19A7E4CB">
      <w:pPr>
        <w:pStyle w:val="8"/>
        <w:ind w:firstLine="0" w:firstLineChars="0"/>
        <w:rPr>
          <w:rFonts w:ascii="仿宋_GB2312" w:eastAsia="仿宋_GB2312"/>
          <w:color w:val="000000"/>
          <w:sz w:val="32"/>
          <w:szCs w:val="32"/>
        </w:rPr>
      </w:pPr>
    </w:p>
    <w:p w14:paraId="1234765F">
      <w:pPr>
        <w:wordWrap w:val="0"/>
        <w:ind w:right="128" w:rightChars="61"/>
        <w:jc w:val="right"/>
        <w:rPr>
          <w:rFonts w:ascii="黑体" w:hAnsi="宋体" w:eastAsia="黑体" w:cs="宋体"/>
          <w:b/>
          <w:bCs/>
          <w:color w:val="000000"/>
          <w:kern w:val="0"/>
          <w:sz w:val="36"/>
          <w:szCs w:val="36"/>
        </w:rPr>
      </w:pPr>
    </w:p>
    <w:p w14:paraId="272D2D85">
      <w:pPr>
        <w:widowControl/>
        <w:ind w:firstLine="1500" w:firstLineChars="500"/>
        <w:jc w:val="left"/>
        <w:rPr>
          <w:rFonts w:ascii="仿宋_GB2312" w:hAnsi="宋体" w:eastAsia="仿宋_GB2312" w:cs="宋体"/>
          <w:color w:val="000000"/>
          <w:kern w:val="0"/>
          <w:sz w:val="30"/>
          <w:szCs w:val="30"/>
        </w:rPr>
      </w:pPr>
    </w:p>
    <w:p w14:paraId="6A3C454B">
      <w:pPr>
        <w:pStyle w:val="8"/>
        <w:ind w:firstLine="600"/>
        <w:rPr>
          <w:rFonts w:ascii="仿宋_GB2312" w:hAnsi="宋体" w:eastAsia="仿宋_GB2312" w:cs="宋体"/>
          <w:color w:val="000000"/>
          <w:sz w:val="30"/>
          <w:szCs w:val="30"/>
        </w:rPr>
      </w:pPr>
    </w:p>
    <w:p w14:paraId="00977D06">
      <w:pPr>
        <w:pStyle w:val="8"/>
        <w:ind w:firstLine="600"/>
        <w:rPr>
          <w:rFonts w:ascii="仿宋_GB2312" w:hAnsi="宋体" w:eastAsia="仿宋_GB2312" w:cs="宋体"/>
          <w:color w:val="000000"/>
          <w:sz w:val="30"/>
          <w:szCs w:val="30"/>
        </w:rPr>
      </w:pPr>
    </w:p>
    <w:p w14:paraId="08AB24F7">
      <w:pPr>
        <w:pStyle w:val="8"/>
        <w:ind w:firstLine="600"/>
        <w:rPr>
          <w:rFonts w:ascii="仿宋_GB2312" w:hAnsi="宋体" w:eastAsia="仿宋_GB2312" w:cs="宋体"/>
          <w:color w:val="000000"/>
          <w:sz w:val="30"/>
          <w:szCs w:val="30"/>
        </w:rPr>
      </w:pPr>
    </w:p>
    <w:p w14:paraId="54BD7F57">
      <w:pPr>
        <w:pStyle w:val="8"/>
        <w:ind w:firstLine="600"/>
        <w:rPr>
          <w:rFonts w:ascii="仿宋_GB2312" w:hAnsi="宋体" w:eastAsia="仿宋_GB2312" w:cs="宋体"/>
          <w:color w:val="000000"/>
          <w:sz w:val="30"/>
          <w:szCs w:val="30"/>
        </w:rPr>
      </w:pPr>
    </w:p>
    <w:p w14:paraId="3DFD2CFF">
      <w:pPr>
        <w:pStyle w:val="8"/>
        <w:ind w:left="0" w:leftChars="0" w:firstLine="0" w:firstLineChars="0"/>
        <w:rPr>
          <w:rFonts w:eastAsia="宋体"/>
          <w:color w:val="000000"/>
        </w:rPr>
      </w:pPr>
    </w:p>
    <w:p w14:paraId="4FCEC09A">
      <w:pPr>
        <w:pStyle w:val="8"/>
        <w:ind w:firstLine="0" w:firstLineChars="0"/>
        <w:rPr>
          <w:rFonts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bidi="ar-SA"/>
        </w:rPr>
        <w:t>附件8</w:t>
      </w:r>
    </w:p>
    <w:p w14:paraId="2B0C2FD7">
      <w:pPr>
        <w:pStyle w:val="8"/>
        <w:ind w:firstLine="400"/>
        <w:rPr>
          <w:color w:val="000000"/>
        </w:rPr>
      </w:pPr>
    </w:p>
    <w:p w14:paraId="1B790CC5">
      <w:pPr>
        <w:widowControl/>
        <w:spacing w:line="560" w:lineRule="exact"/>
        <w:jc w:val="center"/>
        <w:rPr>
          <w:rFonts w:ascii="方正小标宋简体" w:hAnsi="方正小标宋简体" w:eastAsia="方正小标宋简体" w:cs="方正小标宋简体"/>
          <w:color w:val="000000"/>
          <w:w w:val="95"/>
          <w:kern w:val="0"/>
          <w:sz w:val="44"/>
          <w:szCs w:val="44"/>
        </w:rPr>
      </w:pPr>
      <w:r>
        <w:rPr>
          <w:rFonts w:hint="eastAsia" w:ascii="方正小标宋简体" w:hAnsi="方正小标宋简体" w:eastAsia="方正小标宋简体" w:cs="方正小标宋简体"/>
          <w:color w:val="000000"/>
          <w:w w:val="95"/>
          <w:kern w:val="0"/>
          <w:sz w:val="44"/>
          <w:szCs w:val="44"/>
        </w:rPr>
        <w:t>***</w:t>
      </w:r>
      <w:r>
        <w:rPr>
          <w:rFonts w:hint="eastAsia" w:ascii="方正小标宋简体" w:hAnsi="宋体" w:eastAsia="方正小标宋简体" w:cs="宋体"/>
          <w:color w:val="000000"/>
          <w:w w:val="86"/>
          <w:kern w:val="0"/>
          <w:sz w:val="44"/>
          <w:szCs w:val="44"/>
          <w:lang w:eastAsia="zh-CN"/>
        </w:rPr>
        <w:t>县（</w:t>
      </w:r>
      <w:r>
        <w:rPr>
          <w:rFonts w:hint="eastAsia" w:ascii="方正小标宋简体" w:hAnsi="宋体" w:eastAsia="方正小标宋简体" w:cs="宋体"/>
          <w:color w:val="000000"/>
          <w:w w:val="86"/>
          <w:kern w:val="0"/>
          <w:sz w:val="44"/>
          <w:szCs w:val="44"/>
        </w:rPr>
        <w:t>市</w:t>
      </w:r>
      <w:r>
        <w:rPr>
          <w:rFonts w:hint="eastAsia" w:ascii="方正小标宋简体" w:hAnsi="宋体" w:eastAsia="方正小标宋简体" w:cs="宋体"/>
          <w:color w:val="000000"/>
          <w:w w:val="86"/>
          <w:kern w:val="0"/>
          <w:sz w:val="44"/>
          <w:szCs w:val="44"/>
          <w:lang w:eastAsia="zh-CN"/>
        </w:rPr>
        <w:t>、</w:t>
      </w:r>
      <w:r>
        <w:rPr>
          <w:rFonts w:hint="eastAsia" w:ascii="方正小标宋简体" w:hAnsi="宋体" w:eastAsia="方正小标宋简体" w:cs="宋体"/>
          <w:color w:val="000000"/>
          <w:w w:val="86"/>
          <w:kern w:val="0"/>
          <w:sz w:val="44"/>
          <w:szCs w:val="44"/>
        </w:rPr>
        <w:t>区）</w:t>
      </w:r>
      <w:r>
        <w:rPr>
          <w:rFonts w:hint="eastAsia" w:ascii="方正小标宋简体" w:hAnsi="方正小标宋简体" w:eastAsia="方正小标宋简体" w:cs="方正小标宋简体"/>
          <w:color w:val="000000"/>
          <w:w w:val="95"/>
          <w:kern w:val="0"/>
          <w:sz w:val="44"/>
          <w:szCs w:val="44"/>
        </w:rPr>
        <w:t>关于中止/解除***医药机构服务协议的备案报告</w:t>
      </w:r>
    </w:p>
    <w:p w14:paraId="0C065CED">
      <w:pPr>
        <w:pStyle w:val="8"/>
        <w:ind w:firstLine="400"/>
        <w:rPr>
          <w:color w:val="000000"/>
        </w:rPr>
      </w:pPr>
    </w:p>
    <w:p w14:paraId="515AE150">
      <w:pPr>
        <w:pStyle w:val="8"/>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济宁</w:t>
      </w:r>
      <w:r>
        <w:rPr>
          <w:rFonts w:hint="eastAsia" w:ascii="仿宋_GB2312" w:hAnsi="仿宋_GB2312" w:eastAsia="仿宋_GB2312" w:cs="仿宋_GB2312"/>
          <w:color w:val="000000"/>
          <w:sz w:val="32"/>
          <w:szCs w:val="32"/>
        </w:rPr>
        <w:t>市医疗保险事业中心：</w:t>
      </w:r>
    </w:p>
    <w:p w14:paraId="42DA2F73">
      <w:pPr>
        <w:pStyle w:val="8"/>
        <w:ind w:firstLine="0" w:firstLineChars="0"/>
        <w:rPr>
          <w:rFonts w:ascii="仿宋_GB2312" w:hAnsi="仿宋_GB2312" w:eastAsia="仿宋_GB2312" w:cs="仿宋_GB2312"/>
          <w:color w:val="000000"/>
          <w:sz w:val="44"/>
          <w:szCs w:val="44"/>
        </w:rPr>
      </w:pPr>
      <w:r>
        <w:rPr>
          <w:rFonts w:hint="eastAsia" w:ascii="仿宋_GB2312" w:hAnsi="仿宋_GB2312" w:eastAsia="仿宋_GB2312" w:cs="仿宋_GB2312"/>
          <w:color w:val="000000"/>
          <w:sz w:val="32"/>
          <w:szCs w:val="32"/>
        </w:rPr>
        <w:t xml:space="preserve">     ****医药机构存在******情况，我中心经过核查后，依据《***》等相关规定，决定**********，现申请备案。</w:t>
      </w:r>
    </w:p>
    <w:p w14:paraId="7AC1F0D0">
      <w:pPr>
        <w:pStyle w:val="8"/>
        <w:ind w:firstLine="0" w:firstLineChars="0"/>
        <w:rPr>
          <w:rFonts w:ascii="仿宋_GB2312" w:hAnsi="仿宋_GB2312" w:eastAsia="仿宋_GB2312" w:cs="仿宋_GB2312"/>
          <w:color w:val="000000"/>
          <w:sz w:val="44"/>
          <w:szCs w:val="44"/>
        </w:rPr>
      </w:pPr>
    </w:p>
    <w:p w14:paraId="2A1DD15F">
      <w:pPr>
        <w:pStyle w:val="8"/>
        <w:ind w:firstLine="0" w:firstLineChars="0"/>
        <w:rPr>
          <w:rFonts w:ascii="仿宋_GB2312" w:hAnsi="仿宋_GB2312" w:eastAsia="仿宋_GB2312" w:cs="仿宋_GB2312"/>
          <w:color w:val="000000"/>
          <w:sz w:val="44"/>
          <w:szCs w:val="44"/>
        </w:rPr>
      </w:pPr>
    </w:p>
    <w:p w14:paraId="7E427255">
      <w:pPr>
        <w:pStyle w:val="8"/>
        <w:ind w:firstLine="0" w:firstLineChars="0"/>
        <w:rPr>
          <w:rFonts w:ascii="仿宋_GB2312" w:hAnsi="仿宋_GB2312" w:eastAsia="仿宋_GB2312" w:cs="仿宋_GB2312"/>
          <w:color w:val="000000"/>
          <w:sz w:val="44"/>
          <w:szCs w:val="44"/>
        </w:rPr>
      </w:pPr>
    </w:p>
    <w:p w14:paraId="1E440890">
      <w:pPr>
        <w:jc w:val="right"/>
        <w:rPr>
          <w:rFonts w:ascii="仿宋_GB2312" w:eastAsia="仿宋_GB2312"/>
          <w:color w:val="000000"/>
          <w:sz w:val="32"/>
          <w:szCs w:val="32"/>
        </w:rPr>
      </w:pPr>
      <w:r>
        <w:rPr>
          <w:rFonts w:hint="eastAsia" w:ascii="仿宋_GB2312" w:eastAsia="仿宋_GB2312"/>
          <w:color w:val="000000"/>
          <w:sz w:val="32"/>
          <w:szCs w:val="32"/>
        </w:rPr>
        <w:t>单位名称（章）</w:t>
      </w:r>
    </w:p>
    <w:p w14:paraId="0949C256">
      <w:pPr>
        <w:ind w:left="6078" w:leftChars="456" w:hanging="5120" w:hangingChars="1600"/>
        <w:jc w:val="center"/>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 xml:space="preserve">年  月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日</w:t>
      </w:r>
    </w:p>
    <w:p w14:paraId="3FEDAFFD">
      <w:pPr>
        <w:pStyle w:val="8"/>
        <w:ind w:firstLine="0" w:firstLineChars="0"/>
        <w:rPr>
          <w:rFonts w:ascii="仿宋_GB2312" w:hAnsi="仿宋_GB2312" w:eastAsia="仿宋_GB2312" w:cs="仿宋_GB2312"/>
          <w:color w:val="000000"/>
          <w:sz w:val="44"/>
          <w:szCs w:val="44"/>
        </w:rPr>
      </w:pPr>
    </w:p>
    <w:p w14:paraId="66E3242A">
      <w:pPr>
        <w:widowControl/>
        <w:spacing w:line="560" w:lineRule="exact"/>
        <w:jc w:val="center"/>
        <w:rPr>
          <w:rFonts w:ascii="宋体" w:hAnsi="宋体" w:cs="宋体"/>
          <w:color w:val="000000"/>
          <w:kern w:val="0"/>
          <w:sz w:val="30"/>
          <w:szCs w:val="30"/>
        </w:rPr>
      </w:pPr>
    </w:p>
    <w:p w14:paraId="12F13D11">
      <w:pPr>
        <w:widowControl/>
        <w:spacing w:line="560" w:lineRule="exact"/>
        <w:jc w:val="center"/>
        <w:rPr>
          <w:rFonts w:ascii="宋体" w:hAnsi="宋体" w:cs="宋体"/>
          <w:color w:val="000000"/>
          <w:kern w:val="0"/>
          <w:sz w:val="30"/>
          <w:szCs w:val="30"/>
        </w:rPr>
      </w:pPr>
    </w:p>
    <w:p w14:paraId="2F132FA9">
      <w:pPr>
        <w:widowControl/>
        <w:spacing w:line="560" w:lineRule="exact"/>
        <w:jc w:val="center"/>
        <w:rPr>
          <w:rFonts w:ascii="宋体" w:hAnsi="宋体" w:cs="宋体"/>
          <w:color w:val="000000"/>
          <w:kern w:val="0"/>
          <w:sz w:val="30"/>
          <w:szCs w:val="30"/>
        </w:rPr>
      </w:pPr>
    </w:p>
    <w:p w14:paraId="5A3D8A8B">
      <w:pPr>
        <w:widowControl/>
        <w:spacing w:line="560" w:lineRule="exact"/>
        <w:jc w:val="center"/>
        <w:rPr>
          <w:rFonts w:ascii="宋体" w:hAnsi="宋体" w:cs="宋体"/>
          <w:color w:val="000000"/>
          <w:kern w:val="0"/>
          <w:sz w:val="30"/>
          <w:szCs w:val="30"/>
        </w:rPr>
      </w:pPr>
    </w:p>
    <w:p w14:paraId="3BA22D3D">
      <w:pPr>
        <w:widowControl/>
        <w:spacing w:line="560" w:lineRule="exact"/>
        <w:jc w:val="center"/>
        <w:rPr>
          <w:rFonts w:ascii="宋体" w:hAnsi="宋体" w:cs="宋体"/>
          <w:color w:val="000000"/>
          <w:kern w:val="0"/>
          <w:sz w:val="30"/>
          <w:szCs w:val="30"/>
        </w:rPr>
      </w:pPr>
    </w:p>
    <w:p w14:paraId="2B020ADB">
      <w:pPr>
        <w:widowControl/>
        <w:spacing w:line="560" w:lineRule="exact"/>
        <w:jc w:val="center"/>
        <w:rPr>
          <w:rFonts w:ascii="宋体" w:hAnsi="宋体" w:cs="宋体"/>
          <w:color w:val="000000"/>
          <w:kern w:val="0"/>
          <w:sz w:val="30"/>
          <w:szCs w:val="30"/>
        </w:rPr>
      </w:pPr>
    </w:p>
    <w:p w14:paraId="7A3A3CA2">
      <w:pPr>
        <w:widowControl/>
        <w:spacing w:line="560" w:lineRule="exact"/>
        <w:jc w:val="center"/>
        <w:rPr>
          <w:rFonts w:ascii="宋体" w:hAnsi="宋体" w:cs="宋体"/>
          <w:color w:val="000000"/>
          <w:kern w:val="0"/>
          <w:sz w:val="30"/>
          <w:szCs w:val="30"/>
        </w:rPr>
      </w:pPr>
    </w:p>
    <w:p w14:paraId="1954B6E2">
      <w:pPr>
        <w:widowControl/>
        <w:spacing w:line="560" w:lineRule="exact"/>
        <w:rPr>
          <w:rFonts w:ascii="宋体" w:hAnsi="宋体" w:cs="宋体"/>
          <w:color w:val="000000"/>
          <w:kern w:val="0"/>
          <w:sz w:val="32"/>
          <w:szCs w:val="32"/>
        </w:rPr>
      </w:pPr>
    </w:p>
    <w:p w14:paraId="598C402B">
      <w:pPr>
        <w:pStyle w:val="8"/>
        <w:ind w:firstLine="0" w:firstLineChars="0"/>
        <w:rPr>
          <w:rFonts w:hint="eastAsia" w:ascii="仿宋_GB2312" w:hAnsi="仿宋_GB2312" w:eastAsia="仿宋_GB2312" w:cs="仿宋_GB2312"/>
          <w:color w:val="000000"/>
          <w:sz w:val="32"/>
          <w:szCs w:val="32"/>
        </w:rPr>
      </w:pPr>
    </w:p>
    <w:p w14:paraId="1363BCBF">
      <w:pPr>
        <w:pStyle w:val="8"/>
        <w:ind w:firstLine="0" w:firstLineChars="0"/>
        <w:rPr>
          <w:rFonts w:hint="eastAsia" w:ascii="黑体" w:hAnsi="黑体" w:eastAsia="黑体" w:cs="黑体"/>
          <w:color w:val="000000"/>
          <w:kern w:val="2"/>
          <w:sz w:val="32"/>
          <w:szCs w:val="32"/>
          <w:lang w:val="en-US" w:eastAsia="zh-CN" w:bidi="ar-SA"/>
        </w:rPr>
      </w:pPr>
    </w:p>
    <w:p w14:paraId="3D9551A4">
      <w:pPr>
        <w:pStyle w:val="8"/>
        <w:ind w:firstLine="0" w:firstLineChars="0"/>
        <w:rPr>
          <w:rFonts w:ascii="宋体" w:hAnsi="宋体" w:eastAsia="宋体" w:cs="宋体"/>
          <w:b/>
          <w:bCs/>
          <w:color w:val="000000"/>
          <w:sz w:val="36"/>
          <w:szCs w:val="36"/>
        </w:rPr>
      </w:pPr>
      <w:r>
        <w:rPr>
          <w:rFonts w:hint="eastAsia" w:ascii="黑体" w:hAnsi="黑体" w:eastAsia="黑体" w:cs="黑体"/>
          <w:color w:val="000000"/>
          <w:kern w:val="2"/>
          <w:sz w:val="32"/>
          <w:szCs w:val="32"/>
          <w:lang w:val="en-US" w:eastAsia="zh-CN" w:bidi="ar-SA"/>
        </w:rPr>
        <w:t>附件</w:t>
      </w:r>
      <w:r>
        <w:rPr>
          <w:rFonts w:hint="eastAsia" w:ascii="黑体" w:hAnsi="黑体" w:eastAsia="黑体" w:cs="黑体"/>
          <w:color w:val="auto"/>
          <w:kern w:val="2"/>
          <w:sz w:val="32"/>
          <w:szCs w:val="32"/>
          <w:lang w:val="en-US" w:eastAsia="zh-CN" w:bidi="ar-SA"/>
        </w:rPr>
        <w:t>9</w:t>
      </w:r>
    </w:p>
    <w:p w14:paraId="6FF8DCC1">
      <w:pPr>
        <w:pStyle w:val="8"/>
        <w:spacing w:line="500" w:lineRule="exact"/>
        <w:ind w:firstLine="0" w:firstLineChars="0"/>
        <w:jc w:val="center"/>
        <w:rPr>
          <w:rFonts w:ascii="方正小标宋简体" w:hAnsi="方正小标宋简体" w:eastAsia="方正小标宋简体" w:cs="方正小标宋简体"/>
          <w:color w:val="000000"/>
          <w:sz w:val="44"/>
          <w:szCs w:val="44"/>
        </w:rPr>
      </w:pPr>
      <w:r>
        <w:rPr>
          <w:rFonts w:hint="eastAsia" w:ascii="宋体" w:hAnsi="宋体" w:eastAsia="宋体" w:cs="宋体"/>
          <w:b/>
          <w:bCs/>
          <w:color w:val="000000"/>
          <w:sz w:val="36"/>
          <w:szCs w:val="36"/>
          <w:lang w:eastAsia="zh-CN"/>
        </w:rPr>
        <w:t>济宁</w:t>
      </w:r>
      <w:r>
        <w:rPr>
          <w:rFonts w:hint="eastAsia" w:ascii="宋体" w:hAnsi="宋体" w:eastAsia="宋体" w:cs="宋体"/>
          <w:b/>
          <w:bCs/>
          <w:color w:val="000000"/>
          <w:sz w:val="36"/>
          <w:szCs w:val="36"/>
        </w:rPr>
        <w:t>市医药机构信息变更情况表</w:t>
      </w:r>
    </w:p>
    <w:p w14:paraId="534291F9">
      <w:pPr>
        <w:pStyle w:val="8"/>
        <w:spacing w:line="500" w:lineRule="exact"/>
        <w:ind w:firstLine="0" w:firstLineChars="0"/>
        <w:jc w:val="center"/>
        <w:rPr>
          <w:rFonts w:ascii="方正小标宋简体" w:hAnsi="方正小标宋简体" w:eastAsia="方正小标宋简体" w:cs="方正小标宋简体"/>
          <w:color w:val="000000"/>
          <w:sz w:val="44"/>
          <w:szCs w:val="44"/>
        </w:rPr>
      </w:pPr>
    </w:p>
    <w:tbl>
      <w:tblPr>
        <w:tblStyle w:val="9"/>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830"/>
        <w:gridCol w:w="2010"/>
        <w:gridCol w:w="2325"/>
        <w:gridCol w:w="1900"/>
      </w:tblGrid>
      <w:tr w14:paraId="1743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85" w:type="dxa"/>
            <w:gridSpan w:val="2"/>
            <w:noWrap w:val="0"/>
            <w:vAlign w:val="center"/>
          </w:tcPr>
          <w:p w14:paraId="51953444">
            <w:pPr>
              <w:pStyle w:val="8"/>
              <w:spacing w:line="500" w:lineRule="exact"/>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医药机构名称</w:t>
            </w:r>
          </w:p>
        </w:tc>
        <w:tc>
          <w:tcPr>
            <w:tcW w:w="2010" w:type="dxa"/>
            <w:noWrap w:val="0"/>
            <w:vAlign w:val="center"/>
          </w:tcPr>
          <w:p w14:paraId="2DB77D40">
            <w:pPr>
              <w:pStyle w:val="8"/>
              <w:spacing w:line="500" w:lineRule="exact"/>
              <w:ind w:firstLine="0" w:firstLineChars="0"/>
              <w:jc w:val="center"/>
              <w:rPr>
                <w:rFonts w:ascii="仿宋_GB2312" w:hAnsi="仿宋_GB2312" w:eastAsia="仿宋_GB2312" w:cs="仿宋_GB2312"/>
                <w:color w:val="000000"/>
                <w:sz w:val="30"/>
                <w:szCs w:val="30"/>
              </w:rPr>
            </w:pPr>
          </w:p>
        </w:tc>
        <w:tc>
          <w:tcPr>
            <w:tcW w:w="2325" w:type="dxa"/>
            <w:noWrap w:val="0"/>
            <w:vAlign w:val="center"/>
          </w:tcPr>
          <w:p w14:paraId="1FCB5324">
            <w:pPr>
              <w:pStyle w:val="8"/>
              <w:spacing w:line="500" w:lineRule="exact"/>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医药机构编码</w:t>
            </w:r>
          </w:p>
        </w:tc>
        <w:tc>
          <w:tcPr>
            <w:tcW w:w="1900" w:type="dxa"/>
            <w:noWrap w:val="0"/>
            <w:vAlign w:val="top"/>
          </w:tcPr>
          <w:p w14:paraId="3B1A4A47">
            <w:pPr>
              <w:pStyle w:val="8"/>
              <w:spacing w:line="500" w:lineRule="exact"/>
              <w:ind w:firstLine="600"/>
              <w:rPr>
                <w:rFonts w:ascii="仿宋_GB2312" w:hAnsi="仿宋_GB2312" w:eastAsia="仿宋_GB2312" w:cs="仿宋_GB2312"/>
                <w:color w:val="000000"/>
                <w:sz w:val="30"/>
                <w:szCs w:val="30"/>
              </w:rPr>
            </w:pPr>
          </w:p>
        </w:tc>
      </w:tr>
      <w:tr w14:paraId="4AF3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85" w:type="dxa"/>
            <w:gridSpan w:val="2"/>
            <w:noWrap w:val="0"/>
            <w:vAlign w:val="center"/>
          </w:tcPr>
          <w:p w14:paraId="18013C44">
            <w:pPr>
              <w:pStyle w:val="8"/>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联系人</w:t>
            </w:r>
          </w:p>
        </w:tc>
        <w:tc>
          <w:tcPr>
            <w:tcW w:w="2010" w:type="dxa"/>
            <w:noWrap w:val="0"/>
            <w:vAlign w:val="center"/>
          </w:tcPr>
          <w:p w14:paraId="29F307DC">
            <w:pPr>
              <w:pStyle w:val="8"/>
              <w:ind w:firstLine="600"/>
              <w:jc w:val="center"/>
              <w:rPr>
                <w:rFonts w:ascii="仿宋_GB2312" w:hAnsi="仿宋_GB2312" w:eastAsia="仿宋_GB2312" w:cs="仿宋_GB2312"/>
                <w:color w:val="000000"/>
                <w:sz w:val="30"/>
                <w:szCs w:val="30"/>
              </w:rPr>
            </w:pPr>
          </w:p>
        </w:tc>
        <w:tc>
          <w:tcPr>
            <w:tcW w:w="2325" w:type="dxa"/>
            <w:noWrap w:val="0"/>
            <w:vAlign w:val="center"/>
          </w:tcPr>
          <w:p w14:paraId="3F9BAF39">
            <w:pPr>
              <w:pStyle w:val="8"/>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联系电话</w:t>
            </w:r>
          </w:p>
        </w:tc>
        <w:tc>
          <w:tcPr>
            <w:tcW w:w="1900" w:type="dxa"/>
            <w:noWrap w:val="0"/>
            <w:vAlign w:val="top"/>
          </w:tcPr>
          <w:p w14:paraId="016D8F38">
            <w:pPr>
              <w:pStyle w:val="8"/>
              <w:ind w:firstLine="600"/>
              <w:rPr>
                <w:rFonts w:ascii="仿宋_GB2312" w:hAnsi="仿宋_GB2312" w:eastAsia="仿宋_GB2312" w:cs="仿宋_GB2312"/>
                <w:color w:val="000000"/>
                <w:sz w:val="30"/>
                <w:szCs w:val="30"/>
              </w:rPr>
            </w:pPr>
          </w:p>
        </w:tc>
      </w:tr>
      <w:tr w14:paraId="2115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55" w:type="dxa"/>
            <w:vMerge w:val="restart"/>
            <w:noWrap w:val="0"/>
            <w:vAlign w:val="top"/>
          </w:tcPr>
          <w:p w14:paraId="41630C07">
            <w:pPr>
              <w:pStyle w:val="8"/>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医药机构申报情况</w:t>
            </w:r>
          </w:p>
          <w:p w14:paraId="6D30BB69">
            <w:pPr>
              <w:pStyle w:val="8"/>
              <w:tabs>
                <w:tab w:val="clear" w:pos="4422"/>
              </w:tabs>
              <w:ind w:firstLine="472" w:firstLineChars="0"/>
              <w:rPr>
                <w:color w:val="000000"/>
              </w:rPr>
            </w:pPr>
          </w:p>
          <w:p w14:paraId="30ED66AD">
            <w:pPr>
              <w:rPr>
                <w:color w:val="000000"/>
              </w:rPr>
            </w:pPr>
          </w:p>
          <w:p w14:paraId="5A8757EE">
            <w:pPr>
              <w:tabs>
                <w:tab w:val="left" w:pos="1237"/>
              </w:tabs>
              <w:jc w:val="left"/>
              <w:rPr>
                <w:color w:val="000000"/>
              </w:rPr>
            </w:pPr>
            <w:r>
              <w:rPr>
                <w:rFonts w:hint="eastAsia"/>
                <w:color w:val="000000"/>
              </w:rPr>
              <w:tab/>
            </w:r>
          </w:p>
        </w:tc>
        <w:tc>
          <w:tcPr>
            <w:tcW w:w="1830" w:type="dxa"/>
            <w:noWrap w:val="0"/>
            <w:vAlign w:val="center"/>
          </w:tcPr>
          <w:p w14:paraId="7627C461">
            <w:pPr>
              <w:pStyle w:val="8"/>
              <w:ind w:firstLine="0" w:firstLineChars="0"/>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事项名称</w:t>
            </w:r>
          </w:p>
        </w:tc>
        <w:tc>
          <w:tcPr>
            <w:tcW w:w="6235" w:type="dxa"/>
            <w:gridSpan w:val="3"/>
            <w:noWrap w:val="0"/>
            <w:vAlign w:val="center"/>
          </w:tcPr>
          <w:p w14:paraId="12107E6F">
            <w:pPr>
              <w:pStyle w:val="8"/>
              <w:ind w:firstLine="600"/>
              <w:jc w:val="center"/>
              <w:rPr>
                <w:rFonts w:ascii="仿宋_GB2312" w:hAnsi="仿宋_GB2312" w:eastAsia="仿宋_GB2312" w:cs="仿宋_GB2312"/>
                <w:color w:val="000000"/>
                <w:sz w:val="30"/>
                <w:szCs w:val="30"/>
              </w:rPr>
            </w:pPr>
          </w:p>
        </w:tc>
      </w:tr>
      <w:tr w14:paraId="23CC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5" w:type="dxa"/>
            <w:vMerge w:val="continue"/>
            <w:noWrap w:val="0"/>
            <w:vAlign w:val="top"/>
          </w:tcPr>
          <w:p w14:paraId="159D12BC">
            <w:pPr>
              <w:pStyle w:val="8"/>
              <w:ind w:firstLine="600"/>
              <w:rPr>
                <w:rFonts w:ascii="仿宋_GB2312" w:hAnsi="仿宋_GB2312" w:eastAsia="仿宋_GB2312" w:cs="仿宋_GB2312"/>
                <w:color w:val="000000"/>
                <w:sz w:val="30"/>
                <w:szCs w:val="30"/>
              </w:rPr>
            </w:pPr>
          </w:p>
        </w:tc>
        <w:tc>
          <w:tcPr>
            <w:tcW w:w="1830" w:type="dxa"/>
            <w:noWrap w:val="0"/>
            <w:vAlign w:val="center"/>
          </w:tcPr>
          <w:p w14:paraId="68C1F901">
            <w:pPr>
              <w:pStyle w:val="8"/>
              <w:ind w:firstLine="300" w:firstLineChars="1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变更前</w:t>
            </w:r>
          </w:p>
        </w:tc>
        <w:tc>
          <w:tcPr>
            <w:tcW w:w="6235" w:type="dxa"/>
            <w:gridSpan w:val="3"/>
            <w:noWrap w:val="0"/>
            <w:vAlign w:val="center"/>
          </w:tcPr>
          <w:p w14:paraId="2C470892">
            <w:pPr>
              <w:pStyle w:val="8"/>
              <w:ind w:firstLine="600"/>
              <w:jc w:val="center"/>
              <w:rPr>
                <w:rFonts w:ascii="仿宋_GB2312" w:hAnsi="仿宋_GB2312" w:eastAsia="仿宋_GB2312" w:cs="仿宋_GB2312"/>
                <w:color w:val="000000"/>
                <w:sz w:val="30"/>
                <w:szCs w:val="30"/>
              </w:rPr>
            </w:pPr>
          </w:p>
        </w:tc>
      </w:tr>
      <w:tr w14:paraId="0B94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655" w:type="dxa"/>
            <w:vMerge w:val="continue"/>
            <w:noWrap w:val="0"/>
            <w:vAlign w:val="top"/>
          </w:tcPr>
          <w:p w14:paraId="1CD0EFB6">
            <w:pPr>
              <w:pStyle w:val="8"/>
              <w:ind w:firstLine="600"/>
              <w:rPr>
                <w:rFonts w:ascii="仿宋_GB2312" w:hAnsi="仿宋_GB2312" w:eastAsia="仿宋_GB2312" w:cs="仿宋_GB2312"/>
                <w:color w:val="000000"/>
                <w:sz w:val="30"/>
                <w:szCs w:val="30"/>
              </w:rPr>
            </w:pPr>
          </w:p>
        </w:tc>
        <w:tc>
          <w:tcPr>
            <w:tcW w:w="1830" w:type="dxa"/>
            <w:noWrap w:val="0"/>
            <w:vAlign w:val="center"/>
          </w:tcPr>
          <w:p w14:paraId="063A5035">
            <w:pPr>
              <w:pStyle w:val="8"/>
              <w:ind w:firstLine="300" w:firstLineChars="1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变更后</w:t>
            </w:r>
          </w:p>
        </w:tc>
        <w:tc>
          <w:tcPr>
            <w:tcW w:w="6235" w:type="dxa"/>
            <w:gridSpan w:val="3"/>
            <w:noWrap w:val="0"/>
            <w:vAlign w:val="center"/>
          </w:tcPr>
          <w:p w14:paraId="1B231A76">
            <w:pPr>
              <w:pStyle w:val="8"/>
              <w:ind w:firstLine="600"/>
              <w:jc w:val="center"/>
              <w:rPr>
                <w:rFonts w:ascii="仿宋_GB2312" w:hAnsi="仿宋_GB2312" w:eastAsia="仿宋_GB2312" w:cs="仿宋_GB2312"/>
                <w:color w:val="000000"/>
                <w:sz w:val="30"/>
                <w:szCs w:val="30"/>
              </w:rPr>
            </w:pPr>
          </w:p>
        </w:tc>
      </w:tr>
      <w:tr w14:paraId="6ECB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trPr>
        <w:tc>
          <w:tcPr>
            <w:tcW w:w="655" w:type="dxa"/>
            <w:vMerge w:val="continue"/>
            <w:noWrap w:val="0"/>
            <w:vAlign w:val="bottom"/>
          </w:tcPr>
          <w:p w14:paraId="0D1E4F52">
            <w:pPr>
              <w:tabs>
                <w:tab w:val="left" w:pos="1237"/>
              </w:tabs>
              <w:jc w:val="right"/>
              <w:rPr>
                <w:color w:val="000000"/>
              </w:rPr>
            </w:pPr>
          </w:p>
        </w:tc>
        <w:tc>
          <w:tcPr>
            <w:tcW w:w="8065" w:type="dxa"/>
            <w:gridSpan w:val="4"/>
            <w:noWrap w:val="0"/>
            <w:vAlign w:val="top"/>
          </w:tcPr>
          <w:p w14:paraId="2186D537">
            <w:pPr>
              <w:pStyle w:val="8"/>
              <w:ind w:firstLine="0" w:firstLineChars="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负责人签字及盖章 ：</w:t>
            </w:r>
          </w:p>
          <w:p w14:paraId="19749930">
            <w:pPr>
              <w:pStyle w:val="8"/>
              <w:ind w:left="0" w:leftChars="0" w:firstLine="0" w:firstLineChars="0"/>
              <w:rPr>
                <w:rFonts w:hint="eastAsia" w:ascii="仿宋_GB2312" w:hAnsi="仿宋_GB2312" w:eastAsia="仿宋_GB2312" w:cs="仿宋_GB2312"/>
                <w:color w:val="000000"/>
                <w:sz w:val="30"/>
                <w:szCs w:val="30"/>
              </w:rPr>
            </w:pPr>
          </w:p>
          <w:p w14:paraId="5A757090">
            <w:pPr>
              <w:pStyle w:val="8"/>
              <w:ind w:left="0" w:leftChars="0" w:firstLine="0" w:firstLineChars="0"/>
              <w:jc w:val="right"/>
              <w:rPr>
                <w:rFonts w:hint="eastAsia" w:ascii="仿宋_GB2312" w:hAnsi="仿宋_GB2312" w:eastAsia="仿宋_GB2312" w:cs="仿宋_GB2312"/>
                <w:color w:val="000000"/>
                <w:sz w:val="30"/>
                <w:szCs w:val="30"/>
              </w:rPr>
            </w:pPr>
          </w:p>
          <w:p w14:paraId="3B81147B">
            <w:pPr>
              <w:pStyle w:val="8"/>
              <w:ind w:left="0" w:leftChars="0" w:firstLine="0" w:firstLineChars="0"/>
              <w:jc w:val="right"/>
              <w:rPr>
                <w:color w:val="000000"/>
              </w:rPr>
            </w:pPr>
            <w:r>
              <w:rPr>
                <w:rFonts w:hint="eastAsia" w:ascii="仿宋_GB2312" w:hAnsi="仿宋_GB2312" w:eastAsia="仿宋_GB2312" w:cs="仿宋_GB2312"/>
                <w:color w:val="000000"/>
                <w:sz w:val="30"/>
                <w:szCs w:val="30"/>
              </w:rPr>
              <w:t xml:space="preserve"> 申请日期：  年  月  日   </w:t>
            </w:r>
          </w:p>
        </w:tc>
      </w:tr>
      <w:tr w14:paraId="6B43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8720" w:type="dxa"/>
            <w:gridSpan w:val="5"/>
            <w:noWrap w:val="0"/>
            <w:vAlign w:val="top"/>
          </w:tcPr>
          <w:p w14:paraId="34D4E26F">
            <w:pPr>
              <w:pStyle w:val="8"/>
              <w:ind w:firstLine="0" w:firstLineChars="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经办机构意见：</w:t>
            </w:r>
          </w:p>
          <w:p w14:paraId="114D36C2">
            <w:pPr>
              <w:pStyle w:val="8"/>
              <w:ind w:firstLine="0" w:firstLineChars="0"/>
              <w:rPr>
                <w:rFonts w:hint="eastAsia" w:ascii="仿宋_GB2312" w:hAnsi="仿宋_GB2312" w:eastAsia="仿宋_GB2312" w:cs="仿宋_GB2312"/>
                <w:color w:val="000000"/>
                <w:sz w:val="30"/>
                <w:szCs w:val="30"/>
                <w:lang w:eastAsia="zh-CN"/>
              </w:rPr>
            </w:pPr>
          </w:p>
          <w:p w14:paraId="6BC0D65A">
            <w:pPr>
              <w:pStyle w:val="8"/>
              <w:ind w:left="0" w:leftChars="0" w:firstLine="0" w:firstLineChars="0"/>
              <w:rPr>
                <w:rFonts w:hint="eastAsia" w:ascii="仿宋_GB2312" w:hAnsi="仿宋_GB2312" w:eastAsia="仿宋_GB2312" w:cs="仿宋_GB2312"/>
                <w:color w:val="000000"/>
                <w:sz w:val="30"/>
                <w:szCs w:val="30"/>
              </w:rPr>
            </w:pPr>
          </w:p>
          <w:p w14:paraId="7A019B78">
            <w:pPr>
              <w:pStyle w:val="8"/>
              <w:ind w:left="0" w:leftChars="0" w:firstLine="0" w:firstLineChars="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经办人：        </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 xml:space="preserve"> 负责人签字（章）：     </w:t>
            </w:r>
          </w:p>
          <w:p w14:paraId="20B7661C">
            <w:pPr>
              <w:pStyle w:val="8"/>
              <w:ind w:left="0" w:leftChars="0" w:firstLine="0" w:firstLineChars="0"/>
              <w:jc w:val="righ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年    月    日</w:t>
            </w:r>
          </w:p>
        </w:tc>
      </w:tr>
    </w:tbl>
    <w:p w14:paraId="5454475A">
      <w:pPr>
        <w:pStyle w:val="8"/>
        <w:ind w:firstLine="0" w:firstLineChars="0"/>
        <w:rPr>
          <w:rFonts w:hint="eastAsia" w:ascii="仿宋_GB2312" w:hAnsi="仿宋_GB2312" w:eastAsia="仿宋_GB2312" w:cs="仿宋_GB2312"/>
          <w:color w:val="000000"/>
          <w:sz w:val="28"/>
          <w:szCs w:val="28"/>
          <w:lang w:eastAsia="zh-CN"/>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color w:val="000000"/>
          <w:sz w:val="28"/>
          <w:szCs w:val="28"/>
        </w:rPr>
        <w:t>备注：医药机构申报变更需填写变更情况表、提供变更情况相关部门批复材料</w:t>
      </w:r>
      <w:r>
        <w:rPr>
          <w:rFonts w:hint="eastAsia" w:ascii="仿宋_GB2312" w:hAnsi="仿宋_GB2312" w:eastAsia="仿宋_GB2312" w:cs="仿宋_GB2312"/>
          <w:color w:val="000000"/>
          <w:sz w:val="28"/>
          <w:szCs w:val="28"/>
          <w:lang w:eastAsia="zh-CN"/>
        </w:rPr>
        <w:t>。</w:t>
      </w:r>
    </w:p>
    <w:p w14:paraId="52E4830A">
      <w:pPr>
        <w:pStyle w:val="8"/>
        <w:ind w:firstLine="0" w:firstLineChars="0"/>
        <w:rPr>
          <w:rFonts w:hint="eastAsia" w:ascii="仿宋_GB2312" w:hAnsi="仿宋_GB2312" w:eastAsia="仿宋_GB2312" w:cs="仿宋_GB2312"/>
          <w:color w:val="000000"/>
          <w:sz w:val="28"/>
          <w:szCs w:val="28"/>
        </w:rPr>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4414FC7-0D5C-4D0F-A15C-EAAA8F84E1CB}"/>
  </w:font>
  <w:font w:name="黑体">
    <w:panose1 w:val="02010609060101010101"/>
    <w:charset w:val="86"/>
    <w:family w:val="auto"/>
    <w:pitch w:val="default"/>
    <w:sig w:usb0="800002BF" w:usb1="38CF7CFA" w:usb2="00000016" w:usb3="00000000" w:csb0="00040001" w:csb1="00000000"/>
    <w:embedRegular r:id="rId2" w:fontKey="{426190AB-CA51-4BE7-B00F-FE79CD1B3F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8830154-5D33-401B-8F0B-F707EE293512}"/>
  </w:font>
  <w:font w:name="方正小标宋简体">
    <w:panose1 w:val="03000509000000000000"/>
    <w:charset w:val="86"/>
    <w:family w:val="script"/>
    <w:pitch w:val="default"/>
    <w:sig w:usb0="00000001" w:usb1="080E0000" w:usb2="00000000" w:usb3="00000000" w:csb0="00040000" w:csb1="00000000"/>
    <w:embedRegular r:id="rId4" w:fontKey="{5E1942B5-98BF-4308-A1D9-E83A3280BDB5}"/>
  </w:font>
  <w:font w:name="楷体_GB2312">
    <w:panose1 w:val="02010609030101010101"/>
    <w:charset w:val="86"/>
    <w:family w:val="modern"/>
    <w:pitch w:val="default"/>
    <w:sig w:usb0="00000001" w:usb1="080E0000" w:usb2="00000000" w:usb3="00000000" w:csb0="00040000" w:csb1="00000000"/>
    <w:embedRegular r:id="rId5" w:fontKey="{520F912B-BA53-4CB9-ADAE-C106EBC4CA8E}"/>
  </w:font>
  <w:font w:name="楷体">
    <w:panose1 w:val="02010609060101010101"/>
    <w:charset w:val="86"/>
    <w:family w:val="auto"/>
    <w:pitch w:val="default"/>
    <w:sig w:usb0="800002BF" w:usb1="38CF7CFA" w:usb2="00000016" w:usb3="00000000" w:csb0="00040001" w:csb1="00000000"/>
    <w:embedRegular r:id="rId6" w:fontKey="{928D0222-8F62-4ED4-88CB-D5CD1A2B1FC3}"/>
  </w:font>
  <w:font w:name="方正仿宋简体">
    <w:panose1 w:val="03000509000000000000"/>
    <w:charset w:val="86"/>
    <w:family w:val="auto"/>
    <w:pitch w:val="default"/>
    <w:sig w:usb0="00000001" w:usb1="080E0000" w:usb2="00000000" w:usb3="00000000" w:csb0="00040000" w:csb1="00000000"/>
    <w:embedRegular r:id="rId7" w:fontKey="{3A351158-F4D3-423D-ACC0-F719ED6850F5}"/>
  </w:font>
  <w:font w:name="微软雅黑">
    <w:panose1 w:val="020B0503020204020204"/>
    <w:charset w:val="86"/>
    <w:family w:val="auto"/>
    <w:pitch w:val="default"/>
    <w:sig w:usb0="80000287" w:usb1="280F3C52" w:usb2="00000016" w:usb3="00000000" w:csb0="0004001F" w:csb1="00000000"/>
    <w:embedRegular r:id="rId8" w:fontKey="{EBD7D7D0-C97A-4AD5-8B5A-BB15507DCA63}"/>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AE9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79287">
                          <w:pPr>
                            <w:pStyle w:val="6"/>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579287">
                    <w:pPr>
                      <w:pStyle w:val="6"/>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p w14:paraId="5C1448EA">
    <w:pPr>
      <w:pStyle w:val="6"/>
    </w:pPr>
  </w:p>
  <w:p w14:paraId="0B42CC2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9925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8B478">
                          <w:pPr>
                            <w:pStyle w:val="6"/>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08B478">
                    <w:pPr>
                      <w:pStyle w:val="6"/>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p w14:paraId="23699E8C">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1DFAD"/>
    <w:multiLevelType w:val="singleLevel"/>
    <w:tmpl w:val="9C01DFAD"/>
    <w:lvl w:ilvl="0" w:tentative="0">
      <w:start w:val="1"/>
      <w:numFmt w:val="decimal"/>
      <w:suff w:val="nothing"/>
      <w:lvlText w:val="%1、"/>
      <w:lvlJc w:val="left"/>
    </w:lvl>
  </w:abstractNum>
  <w:abstractNum w:abstractNumId="1">
    <w:nsid w:val="B4C8F7C1"/>
    <w:multiLevelType w:val="singleLevel"/>
    <w:tmpl w:val="B4C8F7C1"/>
    <w:lvl w:ilvl="0" w:tentative="0">
      <w:start w:val="7"/>
      <w:numFmt w:val="chineseCounting"/>
      <w:suff w:val="space"/>
      <w:lvlText w:val="第%1章"/>
      <w:lvlJc w:val="left"/>
      <w:rPr>
        <w:rFonts w:hint="eastAsia"/>
      </w:rPr>
    </w:lvl>
  </w:abstractNum>
  <w:abstractNum w:abstractNumId="2">
    <w:nsid w:val="3963E3AA"/>
    <w:multiLevelType w:val="singleLevel"/>
    <w:tmpl w:val="3963E3A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ZDg3MjFmNjRjYTE5MWYxZTY0ZWU3NmFmZTkzZmYifQ=="/>
    <w:docVar w:name="KSO_WPS_MARK_KEY" w:val="6a59f933-fc57-4710-9d72-51b9dcc0bfea"/>
  </w:docVars>
  <w:rsids>
    <w:rsidRoot w:val="00E14090"/>
    <w:rsid w:val="000129E4"/>
    <w:rsid w:val="000171BC"/>
    <w:rsid w:val="00063A5C"/>
    <w:rsid w:val="00063F31"/>
    <w:rsid w:val="00121F45"/>
    <w:rsid w:val="001229BF"/>
    <w:rsid w:val="001361A3"/>
    <w:rsid w:val="00173CE8"/>
    <w:rsid w:val="00190D28"/>
    <w:rsid w:val="0019161E"/>
    <w:rsid w:val="00197595"/>
    <w:rsid w:val="001A7AF8"/>
    <w:rsid w:val="00211B29"/>
    <w:rsid w:val="00255F3C"/>
    <w:rsid w:val="00267193"/>
    <w:rsid w:val="002A0C09"/>
    <w:rsid w:val="002E1F5A"/>
    <w:rsid w:val="002F0DAD"/>
    <w:rsid w:val="003039C0"/>
    <w:rsid w:val="003976DF"/>
    <w:rsid w:val="00403D05"/>
    <w:rsid w:val="004551A6"/>
    <w:rsid w:val="0047355C"/>
    <w:rsid w:val="004B3BEB"/>
    <w:rsid w:val="004B417E"/>
    <w:rsid w:val="004E4057"/>
    <w:rsid w:val="004F12A8"/>
    <w:rsid w:val="004F2565"/>
    <w:rsid w:val="00500644"/>
    <w:rsid w:val="005142E3"/>
    <w:rsid w:val="00551612"/>
    <w:rsid w:val="005E44CC"/>
    <w:rsid w:val="005F2482"/>
    <w:rsid w:val="006131E8"/>
    <w:rsid w:val="006B2090"/>
    <w:rsid w:val="006F6330"/>
    <w:rsid w:val="007B21F7"/>
    <w:rsid w:val="007F6F3F"/>
    <w:rsid w:val="008560EE"/>
    <w:rsid w:val="008C591F"/>
    <w:rsid w:val="00946D2E"/>
    <w:rsid w:val="00952619"/>
    <w:rsid w:val="00A23D4A"/>
    <w:rsid w:val="00AD239F"/>
    <w:rsid w:val="00B02ED3"/>
    <w:rsid w:val="00B369BD"/>
    <w:rsid w:val="00B661CF"/>
    <w:rsid w:val="00BD1526"/>
    <w:rsid w:val="00BD2972"/>
    <w:rsid w:val="00C41F0B"/>
    <w:rsid w:val="00CA2FFF"/>
    <w:rsid w:val="00CB118E"/>
    <w:rsid w:val="00CD5B64"/>
    <w:rsid w:val="00D46F4C"/>
    <w:rsid w:val="00D60393"/>
    <w:rsid w:val="00D75447"/>
    <w:rsid w:val="00DD01CF"/>
    <w:rsid w:val="00E14090"/>
    <w:rsid w:val="00E237AF"/>
    <w:rsid w:val="00E7538F"/>
    <w:rsid w:val="00E92BEF"/>
    <w:rsid w:val="00EA34E1"/>
    <w:rsid w:val="00EF286A"/>
    <w:rsid w:val="00F363C7"/>
    <w:rsid w:val="00FB6AEB"/>
    <w:rsid w:val="01491805"/>
    <w:rsid w:val="019A5E97"/>
    <w:rsid w:val="01B841E6"/>
    <w:rsid w:val="02B51F8F"/>
    <w:rsid w:val="04635CCB"/>
    <w:rsid w:val="0495063B"/>
    <w:rsid w:val="06462294"/>
    <w:rsid w:val="06862768"/>
    <w:rsid w:val="0751712E"/>
    <w:rsid w:val="07A229F3"/>
    <w:rsid w:val="08AC35B4"/>
    <w:rsid w:val="08C96A20"/>
    <w:rsid w:val="09093579"/>
    <w:rsid w:val="094B1549"/>
    <w:rsid w:val="0B093FC6"/>
    <w:rsid w:val="0BAD621E"/>
    <w:rsid w:val="0BCD6D32"/>
    <w:rsid w:val="0C184BF9"/>
    <w:rsid w:val="0C721436"/>
    <w:rsid w:val="0D715156"/>
    <w:rsid w:val="0DFE14DE"/>
    <w:rsid w:val="0F52189B"/>
    <w:rsid w:val="107F068F"/>
    <w:rsid w:val="112018F5"/>
    <w:rsid w:val="11C8634A"/>
    <w:rsid w:val="129760D4"/>
    <w:rsid w:val="12EE149E"/>
    <w:rsid w:val="130A1AF0"/>
    <w:rsid w:val="145E6E6F"/>
    <w:rsid w:val="14A21B63"/>
    <w:rsid w:val="155C1C50"/>
    <w:rsid w:val="163E0144"/>
    <w:rsid w:val="182E65A1"/>
    <w:rsid w:val="184D055B"/>
    <w:rsid w:val="192A0F29"/>
    <w:rsid w:val="1A0645DD"/>
    <w:rsid w:val="1AF35961"/>
    <w:rsid w:val="1B4B1D0B"/>
    <w:rsid w:val="1B970EB9"/>
    <w:rsid w:val="1C236C3E"/>
    <w:rsid w:val="1D024BD0"/>
    <w:rsid w:val="1D4B7930"/>
    <w:rsid w:val="1D5D1EE4"/>
    <w:rsid w:val="1DFE6FCD"/>
    <w:rsid w:val="1F4B3558"/>
    <w:rsid w:val="1F4D2F4A"/>
    <w:rsid w:val="1FF66E0C"/>
    <w:rsid w:val="204F4230"/>
    <w:rsid w:val="215C606F"/>
    <w:rsid w:val="21AE2AB8"/>
    <w:rsid w:val="21BD02D3"/>
    <w:rsid w:val="21E67E81"/>
    <w:rsid w:val="22326947"/>
    <w:rsid w:val="22EF3388"/>
    <w:rsid w:val="25485BDD"/>
    <w:rsid w:val="267602C6"/>
    <w:rsid w:val="26A51D72"/>
    <w:rsid w:val="2735200C"/>
    <w:rsid w:val="27E90ADB"/>
    <w:rsid w:val="289447B6"/>
    <w:rsid w:val="28F04AED"/>
    <w:rsid w:val="29385391"/>
    <w:rsid w:val="2B3C6F26"/>
    <w:rsid w:val="2C2916B9"/>
    <w:rsid w:val="2C36282A"/>
    <w:rsid w:val="2EB602E8"/>
    <w:rsid w:val="2EEC270F"/>
    <w:rsid w:val="2EFF2BA5"/>
    <w:rsid w:val="2F5B14D5"/>
    <w:rsid w:val="2F9A3A1F"/>
    <w:rsid w:val="31131449"/>
    <w:rsid w:val="31592A40"/>
    <w:rsid w:val="31A818E5"/>
    <w:rsid w:val="31C221B9"/>
    <w:rsid w:val="32074057"/>
    <w:rsid w:val="32D8384A"/>
    <w:rsid w:val="332901F1"/>
    <w:rsid w:val="335000A5"/>
    <w:rsid w:val="33C80C7C"/>
    <w:rsid w:val="348176BF"/>
    <w:rsid w:val="364E51CC"/>
    <w:rsid w:val="3654590B"/>
    <w:rsid w:val="36F11025"/>
    <w:rsid w:val="383F582E"/>
    <w:rsid w:val="388B2F81"/>
    <w:rsid w:val="398A1E22"/>
    <w:rsid w:val="3D716299"/>
    <w:rsid w:val="3F532AF0"/>
    <w:rsid w:val="401656C8"/>
    <w:rsid w:val="401A527D"/>
    <w:rsid w:val="40581670"/>
    <w:rsid w:val="40677B97"/>
    <w:rsid w:val="418807D8"/>
    <w:rsid w:val="41C37A62"/>
    <w:rsid w:val="41C901DC"/>
    <w:rsid w:val="42301A37"/>
    <w:rsid w:val="429D5F87"/>
    <w:rsid w:val="43DB5F31"/>
    <w:rsid w:val="44D42A00"/>
    <w:rsid w:val="44F20D8A"/>
    <w:rsid w:val="4649053A"/>
    <w:rsid w:val="46531430"/>
    <w:rsid w:val="476720B6"/>
    <w:rsid w:val="47EC28A2"/>
    <w:rsid w:val="48A7742F"/>
    <w:rsid w:val="49336D34"/>
    <w:rsid w:val="4A8A14C9"/>
    <w:rsid w:val="4AF84C20"/>
    <w:rsid w:val="4BB46CF8"/>
    <w:rsid w:val="4BDC1E4C"/>
    <w:rsid w:val="4C971BB3"/>
    <w:rsid w:val="4CC60044"/>
    <w:rsid w:val="4D597AF4"/>
    <w:rsid w:val="4D7D789B"/>
    <w:rsid w:val="4D9A3A9E"/>
    <w:rsid w:val="4E3F7CA0"/>
    <w:rsid w:val="4E6D7066"/>
    <w:rsid w:val="4F1526EE"/>
    <w:rsid w:val="4FFF6109"/>
    <w:rsid w:val="5268469E"/>
    <w:rsid w:val="52A04E1A"/>
    <w:rsid w:val="52CE02A4"/>
    <w:rsid w:val="540C3BAA"/>
    <w:rsid w:val="549F08D8"/>
    <w:rsid w:val="55592A2E"/>
    <w:rsid w:val="55884D97"/>
    <w:rsid w:val="56B21C48"/>
    <w:rsid w:val="57306360"/>
    <w:rsid w:val="57CC7313"/>
    <w:rsid w:val="59365E49"/>
    <w:rsid w:val="59397398"/>
    <w:rsid w:val="59982E88"/>
    <w:rsid w:val="599B0EFC"/>
    <w:rsid w:val="59ED742A"/>
    <w:rsid w:val="5A820063"/>
    <w:rsid w:val="5A8B6ED9"/>
    <w:rsid w:val="5AC03A07"/>
    <w:rsid w:val="5B8F4F42"/>
    <w:rsid w:val="5BEF34C7"/>
    <w:rsid w:val="5C0A3372"/>
    <w:rsid w:val="5D1C4DBF"/>
    <w:rsid w:val="5D6514FF"/>
    <w:rsid w:val="5D80482F"/>
    <w:rsid w:val="5DB004C1"/>
    <w:rsid w:val="5EB942A6"/>
    <w:rsid w:val="5EF12D3F"/>
    <w:rsid w:val="5FAE06D9"/>
    <w:rsid w:val="60077078"/>
    <w:rsid w:val="602023C2"/>
    <w:rsid w:val="60BF0F25"/>
    <w:rsid w:val="62175534"/>
    <w:rsid w:val="62830E1C"/>
    <w:rsid w:val="62A01DB2"/>
    <w:rsid w:val="62B5712C"/>
    <w:rsid w:val="62F835B8"/>
    <w:rsid w:val="63CE39A4"/>
    <w:rsid w:val="63EC70C6"/>
    <w:rsid w:val="640379EC"/>
    <w:rsid w:val="64D15669"/>
    <w:rsid w:val="652B2C72"/>
    <w:rsid w:val="652C7270"/>
    <w:rsid w:val="65EE4DFA"/>
    <w:rsid w:val="66574DCF"/>
    <w:rsid w:val="66F26570"/>
    <w:rsid w:val="674F64FA"/>
    <w:rsid w:val="678D7E1D"/>
    <w:rsid w:val="67D00EAF"/>
    <w:rsid w:val="683D4E38"/>
    <w:rsid w:val="68814C80"/>
    <w:rsid w:val="6BDE4E25"/>
    <w:rsid w:val="6C783074"/>
    <w:rsid w:val="6D2648E7"/>
    <w:rsid w:val="6D586E46"/>
    <w:rsid w:val="6E9F2B3A"/>
    <w:rsid w:val="6F0A398C"/>
    <w:rsid w:val="6F60676D"/>
    <w:rsid w:val="700C0883"/>
    <w:rsid w:val="707A1EF5"/>
    <w:rsid w:val="710D0EA4"/>
    <w:rsid w:val="71641723"/>
    <w:rsid w:val="728843A6"/>
    <w:rsid w:val="730E1E7E"/>
    <w:rsid w:val="74B72AE2"/>
    <w:rsid w:val="750F36BF"/>
    <w:rsid w:val="75513A71"/>
    <w:rsid w:val="760E3B60"/>
    <w:rsid w:val="77022531"/>
    <w:rsid w:val="79026536"/>
    <w:rsid w:val="791F7CAB"/>
    <w:rsid w:val="79B87D40"/>
    <w:rsid w:val="7A811E80"/>
    <w:rsid w:val="7ACA53E2"/>
    <w:rsid w:val="7B3D5BB4"/>
    <w:rsid w:val="7B4E05AB"/>
    <w:rsid w:val="7C7A051C"/>
    <w:rsid w:val="7CC8775C"/>
    <w:rsid w:val="7D2A136D"/>
    <w:rsid w:val="7F1B5744"/>
    <w:rsid w:val="7F8B3B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99"/>
    <w:pPr>
      <w:snapToGrid w:val="0"/>
      <w:spacing w:line="640" w:lineRule="exact"/>
      <w:ind w:firstLine="705"/>
    </w:pPr>
    <w:rPr>
      <w:rFonts w:ascii="仿宋_GB2312" w:hAnsi="Times New Roman" w:eastAsia="仿宋_GB2312" w:cs="宋体"/>
      <w:color w:val="000000"/>
      <w:sz w:val="36"/>
      <w:szCs w:val="36"/>
    </w:rPr>
  </w:style>
  <w:style w:type="paragraph" w:styleId="3">
    <w:name w:val="annotation text"/>
    <w:basedOn w:val="1"/>
    <w:link w:val="17"/>
    <w:unhideWhenUsed/>
    <w:qFormat/>
    <w:uiPriority w:val="99"/>
    <w:pPr>
      <w:jc w:val="left"/>
    </w:pPr>
  </w:style>
  <w:style w:type="paragraph" w:styleId="4">
    <w:name w:val="Body Text Indent"/>
    <w:basedOn w:val="1"/>
    <w:link w:val="16"/>
    <w:unhideWhenUsed/>
    <w:qFormat/>
    <w:uiPriority w:val="99"/>
    <w:pPr>
      <w:spacing w:after="120"/>
      <w:ind w:left="420" w:leftChars="200"/>
    </w:pPr>
  </w:style>
  <w:style w:type="paragraph" w:styleId="5">
    <w:name w:val="Balloon Text"/>
    <w:basedOn w:val="1"/>
    <w:link w:val="12"/>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link w:val="15"/>
    <w:unhideWhenUsed/>
    <w:qFormat/>
    <w:uiPriority w:val="99"/>
    <w:pPr>
      <w:tabs>
        <w:tab w:val="center" w:pos="4422"/>
      </w:tabs>
      <w:spacing w:after="0" w:line="560" w:lineRule="exact"/>
      <w:ind w:left="0" w:leftChars="0" w:firstLine="420" w:firstLineChars="200"/>
    </w:pPr>
    <w:rPr>
      <w:rFonts w:eastAsia="Times New Roman"/>
      <w:kern w:val="0"/>
      <w:sz w:val="20"/>
      <w:szCs w:val="20"/>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批注框文本 Char"/>
    <w:basedOn w:val="11"/>
    <w:link w:val="5"/>
    <w:semiHidden/>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页眉 Char"/>
    <w:basedOn w:val="11"/>
    <w:link w:val="7"/>
    <w:semiHidden/>
    <w:qFormat/>
    <w:uiPriority w:val="99"/>
    <w:rPr>
      <w:sz w:val="18"/>
      <w:szCs w:val="18"/>
    </w:rPr>
  </w:style>
  <w:style w:type="character" w:customStyle="1" w:styleId="15">
    <w:name w:val="正文首行缩进 2 Char"/>
    <w:basedOn w:val="16"/>
    <w:link w:val="8"/>
    <w:qFormat/>
    <w:uiPriority w:val="99"/>
    <w:rPr>
      <w:rFonts w:eastAsia="Times New Roman"/>
      <w:kern w:val="0"/>
      <w:sz w:val="20"/>
      <w:szCs w:val="20"/>
    </w:rPr>
  </w:style>
  <w:style w:type="character" w:customStyle="1" w:styleId="16">
    <w:name w:val="正文文本缩进 Char"/>
    <w:basedOn w:val="11"/>
    <w:link w:val="4"/>
    <w:semiHidden/>
    <w:qFormat/>
    <w:uiPriority w:val="99"/>
  </w:style>
  <w:style w:type="character" w:customStyle="1" w:styleId="17">
    <w:name w:val="批注文字 Char"/>
    <w:basedOn w:val="11"/>
    <w:link w:val="3"/>
    <w:semiHidden/>
    <w:qFormat/>
    <w:uiPriority w:val="99"/>
  </w:style>
  <w:style w:type="character" w:customStyle="1" w:styleId="18">
    <w:name w:val="font01"/>
    <w:basedOn w:val="11"/>
    <w:qFormat/>
    <w:uiPriority w:val="0"/>
    <w:rPr>
      <w:rFonts w:hint="eastAsia" w:ascii="宋体" w:hAnsi="宋体" w:eastAsia="宋体" w:cs="宋体"/>
      <w:color w:val="FF0000"/>
      <w:sz w:val="20"/>
      <w:szCs w:val="20"/>
      <w:u w:val="none"/>
    </w:rPr>
  </w:style>
  <w:style w:type="character" w:customStyle="1" w:styleId="19">
    <w:name w:val="font101"/>
    <w:basedOn w:val="11"/>
    <w:qFormat/>
    <w:uiPriority w:val="0"/>
    <w:rPr>
      <w:rFonts w:hint="eastAsia" w:ascii="宋体" w:hAnsi="宋体" w:eastAsia="宋体" w:cs="宋体"/>
      <w:color w:val="000000"/>
      <w:sz w:val="20"/>
      <w:szCs w:val="20"/>
      <w:u w:val="none"/>
    </w:rPr>
  </w:style>
  <w:style w:type="character" w:customStyle="1" w:styleId="20">
    <w:name w:val="font71"/>
    <w:basedOn w:val="11"/>
    <w:qFormat/>
    <w:uiPriority w:val="0"/>
    <w:rPr>
      <w:rFonts w:ascii="Arial" w:hAnsi="Arial" w:cs="Arial"/>
      <w:color w:val="000000"/>
      <w:sz w:val="20"/>
      <w:szCs w:val="20"/>
      <w:u w:val="none"/>
    </w:rPr>
  </w:style>
  <w:style w:type="character" w:customStyle="1" w:styleId="21">
    <w:name w:val="font41"/>
    <w:basedOn w:val="1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10406</Words>
  <Characters>10639</Characters>
  <Lines>72</Lines>
  <Paragraphs>20</Paragraphs>
  <TotalTime>252</TotalTime>
  <ScaleCrop>false</ScaleCrop>
  <LinksUpToDate>false</LinksUpToDate>
  <CharactersWithSpaces>11534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2022-07-12T03:37:00Z</dcterms:created>
  <dc:creator>lenovo</dc:creator>
  <cp:lastModifiedBy>欢渡</cp:lastModifiedBy>
  <cp:lastPrinted>2024-01-26T05:19:00Z</cp:lastPrinted>
  <dcterms:modified xsi:type="dcterms:W3CDTF">2025-05-06T07:10:12Z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04E1ED787F164B29A327FB0FAA388C79_13</vt:lpwstr>
  </property>
  <property fmtid="{D5CDD505-2E9C-101B-9397-08002B2CF9AE}" pid="4" name="KSOTemplateDocerSaveRecord">
    <vt:lpwstr>eyJoZGlkIjoiZTAxYWNkMTM4MGU2ZTczODRiZGRlM2QxOTNlZjdlMzkiLCJ1c2VySWQiOiIzMDQ0MzYwMDIifQ==</vt:lpwstr>
  </property>
</Properties>
</file>