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D9F9F">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郭仓镇人民政府</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w:t>
      </w:r>
    </w:p>
    <w:p w14:paraId="05959872">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14:paraId="5A256010">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仿宋简体" w:eastAsia="方正仿宋简体"/>
          <w:b/>
          <w:color w:val="000000"/>
          <w:sz w:val="32"/>
          <w:szCs w:val="32"/>
        </w:rPr>
      </w:pPr>
    </w:p>
    <w:p w14:paraId="3A856A8E">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郭仓镇人民政府</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14:paraId="1E983FA3">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D4C4A39">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年12月31日止。本报告电子版可在“中国·</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”政府门户网站（具体网址）查阅或下载。如对本报告有疑问，请与</w:t>
      </w:r>
      <w:r>
        <w:rPr>
          <w:rFonts w:hint="eastAsia" w:ascii="方正仿宋简体" w:eastAsia="方正仿宋简体"/>
          <w:b/>
          <w:color w:val="000000"/>
          <w:sz w:val="32"/>
          <w:szCs w:val="32"/>
          <w:lang w:eastAsia="zh-CN"/>
        </w:rPr>
        <w:t>郭仓镇人民政府</w:t>
      </w:r>
      <w:r>
        <w:rPr>
          <w:rFonts w:hint="eastAsia" w:ascii="方正仿宋简体" w:eastAsia="方正仿宋简体"/>
          <w:b/>
          <w:color w:val="000000"/>
          <w:sz w:val="32"/>
          <w:szCs w:val="32"/>
        </w:rPr>
        <w:t>联系（地址：汶上县郭仓镇政和路7号，联系电话：0537-7960020）。</w:t>
      </w:r>
    </w:p>
    <w:p w14:paraId="3425845F">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lang w:val="en-US" w:eastAsia="zh-CN"/>
        </w:rPr>
      </w:pPr>
      <w:r>
        <w:rPr>
          <w:rFonts w:hint="eastAsia" w:ascii="方正黑体简体" w:eastAsia="方正黑体简体"/>
          <w:b/>
          <w:color w:val="000000"/>
          <w:sz w:val="32"/>
          <w:szCs w:val="32"/>
        </w:rPr>
        <w:t>一、总体情况</w:t>
      </w:r>
      <w:r>
        <w:rPr>
          <w:rFonts w:hint="eastAsia" w:ascii="方正仿宋简体" w:eastAsia="方正仿宋简体"/>
          <w:b/>
          <w:color w:val="000000"/>
          <w:sz w:val="32"/>
          <w:szCs w:val="32"/>
          <w:lang w:val="en-US" w:eastAsia="zh-CN"/>
        </w:rPr>
        <w:t xml:space="preserve"> </w:t>
      </w:r>
    </w:p>
    <w:p w14:paraId="15DC1BAA">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lang w:val="en-US" w:eastAsia="zh-CN"/>
        </w:rPr>
      </w:pPr>
      <w:r>
        <w:rPr>
          <w:rFonts w:hint="default" w:ascii="方正仿宋简体" w:eastAsia="方正仿宋简体"/>
          <w:b/>
          <w:color w:val="000000"/>
          <w:sz w:val="32"/>
          <w:szCs w:val="32"/>
        </w:rPr>
        <w:t>2</w:t>
      </w:r>
      <w:r>
        <w:rPr>
          <w:rFonts w:hint="eastAsia" w:ascii="方正仿宋简体" w:eastAsia="方正仿宋简体"/>
          <w:b/>
          <w:color w:val="000000"/>
          <w:sz w:val="32"/>
          <w:szCs w:val="32"/>
        </w:rPr>
        <w:t>02</w:t>
      </w:r>
      <w:r>
        <w:rPr>
          <w:rFonts w:hint="default" w:ascii="方正仿宋简体" w:eastAsia="方正仿宋简体"/>
          <w:b/>
          <w:color w:val="000000"/>
          <w:sz w:val="32"/>
          <w:szCs w:val="32"/>
        </w:rPr>
        <w:t>4年，</w:t>
      </w:r>
      <w:r>
        <w:rPr>
          <w:rFonts w:hint="eastAsia" w:ascii="方正仿宋简体" w:eastAsia="方正仿宋简体"/>
          <w:b/>
          <w:color w:val="000000"/>
          <w:sz w:val="32"/>
          <w:szCs w:val="32"/>
          <w:lang w:val="en-US" w:eastAsia="zh-CN"/>
        </w:rPr>
        <w:t>郭仓镇始终</w:t>
      </w:r>
      <w:r>
        <w:rPr>
          <w:rFonts w:hint="default" w:ascii="方正仿宋简体" w:eastAsia="方正仿宋简体"/>
          <w:b/>
          <w:color w:val="000000"/>
          <w:sz w:val="32"/>
          <w:szCs w:val="32"/>
        </w:rPr>
        <w:t>坚持以习近平新时代中国特色社会主义思想为指导，全面贯彻落实党的二十大</w:t>
      </w:r>
      <w:r>
        <w:rPr>
          <w:rFonts w:hint="eastAsia" w:ascii="方正仿宋简体" w:eastAsia="方正仿宋简体"/>
          <w:b/>
          <w:color w:val="000000"/>
          <w:sz w:val="32"/>
          <w:szCs w:val="32"/>
          <w:lang w:eastAsia="zh-CN"/>
        </w:rPr>
        <w:t>、</w:t>
      </w:r>
      <w:r>
        <w:rPr>
          <w:rFonts w:hint="default" w:ascii="方正仿宋简体" w:eastAsia="方正仿宋简体"/>
          <w:b/>
          <w:color w:val="000000"/>
          <w:sz w:val="32"/>
          <w:szCs w:val="32"/>
        </w:rPr>
        <w:t>二十届二中、三中全会精神，严格落实《中华人民共和国政府信息公开条例》，严格按照中央、省、市、县关于政府信息公开工作部署要求，依法依规、及时、准确地公开了相关政府信息，使政府信息公开工作取得了明显成效。</w:t>
      </w:r>
      <w:r>
        <w:rPr>
          <w:rFonts w:hint="eastAsia" w:ascii="方正仿宋简体" w:eastAsia="方正仿宋简体"/>
          <w:b/>
          <w:color w:val="000000"/>
          <w:sz w:val="32"/>
          <w:szCs w:val="32"/>
          <w:lang w:val="en-US" w:eastAsia="zh-CN"/>
        </w:rPr>
        <w:t xml:space="preserve">        </w:t>
      </w:r>
    </w:p>
    <w:p w14:paraId="08405A07">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400C0F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w:t>
      </w:r>
      <w:r>
        <w:rPr>
          <w:rFonts w:hint="eastAsia" w:ascii="方正仿宋简体" w:eastAsia="方正仿宋简体" w:cs="Times New Roman"/>
          <w:b/>
          <w:color w:val="000000"/>
          <w:kern w:val="0"/>
          <w:sz w:val="32"/>
          <w:szCs w:val="32"/>
          <w:lang w:val="en-US" w:eastAsia="zh-CN" w:bidi="ar-SA"/>
        </w:rPr>
        <w:t>4</w:t>
      </w:r>
      <w:r>
        <w:rPr>
          <w:rFonts w:hint="eastAsia" w:ascii="方正仿宋简体" w:hAnsi="Times New Roman" w:eastAsia="方正仿宋简体" w:cs="Times New Roman"/>
          <w:b/>
          <w:color w:val="000000"/>
          <w:kern w:val="0"/>
          <w:sz w:val="32"/>
          <w:szCs w:val="32"/>
          <w:lang w:val="en-US" w:eastAsia="zh-CN" w:bidi="ar-SA"/>
        </w:rPr>
        <w:t>年，郭仓镇在政府门户网站主动公开各类政府信息</w:t>
      </w:r>
      <w:r>
        <w:rPr>
          <w:rFonts w:hint="eastAsia" w:ascii="方正仿宋简体" w:eastAsia="方正仿宋简体" w:cs="Times New Roman"/>
          <w:b/>
          <w:color w:val="000000"/>
          <w:kern w:val="0"/>
          <w:sz w:val="32"/>
          <w:szCs w:val="32"/>
          <w:lang w:val="en-US" w:eastAsia="zh-CN" w:bidi="ar-SA"/>
        </w:rPr>
        <w:t>81</w:t>
      </w:r>
      <w:r>
        <w:rPr>
          <w:rFonts w:hint="eastAsia" w:ascii="方正仿宋简体" w:hAnsi="Times New Roman" w:eastAsia="方正仿宋简体" w:cs="Times New Roman"/>
          <w:b/>
          <w:color w:val="000000"/>
          <w:kern w:val="0"/>
          <w:sz w:val="32"/>
          <w:szCs w:val="32"/>
          <w:lang w:val="en-US" w:eastAsia="zh-CN" w:bidi="ar-SA"/>
        </w:rPr>
        <w:t>条，其中新闻动态</w:t>
      </w:r>
      <w:r>
        <w:rPr>
          <w:rFonts w:hint="eastAsia" w:ascii="方正仿宋简体" w:eastAsia="方正仿宋简体" w:cs="Times New Roman"/>
          <w:b/>
          <w:color w:val="000000"/>
          <w:kern w:val="0"/>
          <w:sz w:val="32"/>
          <w:szCs w:val="32"/>
          <w:lang w:val="en-US" w:eastAsia="zh-CN" w:bidi="ar-SA"/>
        </w:rPr>
        <w:t>39</w:t>
      </w:r>
      <w:r>
        <w:rPr>
          <w:rFonts w:hint="eastAsia" w:ascii="方正仿宋简体" w:hAnsi="Times New Roman" w:eastAsia="方正仿宋简体" w:cs="Times New Roman"/>
          <w:b/>
          <w:color w:val="000000"/>
          <w:kern w:val="0"/>
          <w:sz w:val="32"/>
          <w:szCs w:val="32"/>
          <w:lang w:val="en-US" w:eastAsia="zh-CN" w:bidi="ar-SA"/>
        </w:rPr>
        <w:t>条，政策文件</w:t>
      </w:r>
      <w:r>
        <w:rPr>
          <w:rFonts w:hint="eastAsia" w:ascii="方正仿宋简体" w:eastAsia="方正仿宋简体" w:cs="Times New Roman"/>
          <w:b/>
          <w:color w:val="000000"/>
          <w:kern w:val="0"/>
          <w:sz w:val="32"/>
          <w:szCs w:val="32"/>
          <w:lang w:val="en-US" w:eastAsia="zh-CN" w:bidi="ar-SA"/>
        </w:rPr>
        <w:t>3</w:t>
      </w:r>
      <w:r>
        <w:rPr>
          <w:rFonts w:hint="eastAsia" w:ascii="方正仿宋简体" w:hAnsi="Times New Roman" w:eastAsia="方正仿宋简体" w:cs="Times New Roman"/>
          <w:b/>
          <w:color w:val="000000"/>
          <w:kern w:val="0"/>
          <w:sz w:val="32"/>
          <w:szCs w:val="32"/>
          <w:lang w:val="en-US" w:eastAsia="zh-CN" w:bidi="ar-SA"/>
        </w:rPr>
        <w:t>条，公告公示</w:t>
      </w:r>
      <w:r>
        <w:rPr>
          <w:rFonts w:hint="eastAsia" w:ascii="方正仿宋简体" w:eastAsia="方正仿宋简体" w:cs="Times New Roman"/>
          <w:b/>
          <w:color w:val="000000"/>
          <w:kern w:val="0"/>
          <w:sz w:val="32"/>
          <w:szCs w:val="32"/>
          <w:lang w:val="en-US" w:eastAsia="zh-CN" w:bidi="ar-SA"/>
        </w:rPr>
        <w:t>4</w:t>
      </w:r>
      <w:r>
        <w:rPr>
          <w:rFonts w:hint="eastAsia" w:ascii="方正仿宋简体" w:hAnsi="Times New Roman" w:eastAsia="方正仿宋简体" w:cs="Times New Roman"/>
          <w:b/>
          <w:color w:val="000000"/>
          <w:kern w:val="0"/>
          <w:sz w:val="32"/>
          <w:szCs w:val="32"/>
          <w:lang w:val="en-US" w:eastAsia="zh-CN" w:bidi="ar-SA"/>
        </w:rPr>
        <w:t>条，计划总结</w:t>
      </w:r>
      <w:r>
        <w:rPr>
          <w:rFonts w:hint="eastAsia" w:ascii="方正仿宋简体" w:eastAsia="方正仿宋简体" w:cs="Times New Roman"/>
          <w:b/>
          <w:color w:val="000000"/>
          <w:kern w:val="0"/>
          <w:sz w:val="32"/>
          <w:szCs w:val="32"/>
          <w:lang w:val="en-US" w:eastAsia="zh-CN" w:bidi="ar-SA"/>
        </w:rPr>
        <w:t>1</w:t>
      </w:r>
      <w:r>
        <w:rPr>
          <w:rFonts w:hint="eastAsia" w:ascii="方正仿宋简体" w:hAnsi="Times New Roman" w:eastAsia="方正仿宋简体" w:cs="Times New Roman"/>
          <w:b/>
          <w:color w:val="000000"/>
          <w:kern w:val="0"/>
          <w:sz w:val="32"/>
          <w:szCs w:val="32"/>
          <w:lang w:val="en-US" w:eastAsia="zh-CN" w:bidi="ar-SA"/>
        </w:rPr>
        <w:t>条，会议公开</w:t>
      </w:r>
      <w:r>
        <w:rPr>
          <w:rFonts w:hint="eastAsia" w:ascii="方正仿宋简体" w:eastAsia="方正仿宋简体" w:cs="Times New Roman"/>
          <w:b/>
          <w:color w:val="000000"/>
          <w:kern w:val="0"/>
          <w:sz w:val="32"/>
          <w:szCs w:val="32"/>
          <w:lang w:val="en-US" w:eastAsia="zh-CN" w:bidi="ar-SA"/>
        </w:rPr>
        <w:t>16</w:t>
      </w:r>
      <w:r>
        <w:rPr>
          <w:rFonts w:hint="eastAsia" w:ascii="方正仿宋简体" w:hAnsi="Times New Roman" w:eastAsia="方正仿宋简体" w:cs="Times New Roman"/>
          <w:b/>
          <w:color w:val="000000"/>
          <w:kern w:val="0"/>
          <w:sz w:val="32"/>
          <w:szCs w:val="32"/>
          <w:lang w:val="en-US" w:eastAsia="zh-CN" w:bidi="ar-SA"/>
        </w:rPr>
        <w:t>条，行政权力</w:t>
      </w:r>
      <w:r>
        <w:rPr>
          <w:rFonts w:hint="eastAsia" w:ascii="方正仿宋简体" w:eastAsia="方正仿宋简体" w:cs="Times New Roman"/>
          <w:b/>
          <w:color w:val="000000"/>
          <w:kern w:val="0"/>
          <w:sz w:val="32"/>
          <w:szCs w:val="32"/>
          <w:lang w:val="en-US" w:eastAsia="zh-CN" w:bidi="ar-SA"/>
        </w:rPr>
        <w:t>2</w:t>
      </w:r>
      <w:r>
        <w:rPr>
          <w:rFonts w:hint="eastAsia" w:ascii="方正仿宋简体" w:hAnsi="Times New Roman" w:eastAsia="方正仿宋简体" w:cs="Times New Roman"/>
          <w:b/>
          <w:color w:val="000000"/>
          <w:kern w:val="0"/>
          <w:sz w:val="32"/>
          <w:szCs w:val="32"/>
          <w:lang w:val="en-US" w:eastAsia="zh-CN" w:bidi="ar-SA"/>
        </w:rPr>
        <w:t>条，财政预算决算</w:t>
      </w:r>
      <w:r>
        <w:rPr>
          <w:rFonts w:hint="eastAsia" w:ascii="方正仿宋简体" w:eastAsia="方正仿宋简体" w:cs="Times New Roman"/>
          <w:b/>
          <w:color w:val="000000"/>
          <w:kern w:val="0"/>
          <w:sz w:val="32"/>
          <w:szCs w:val="32"/>
          <w:lang w:val="en-US" w:eastAsia="zh-CN" w:bidi="ar-SA"/>
        </w:rPr>
        <w:t>2</w:t>
      </w:r>
      <w:r>
        <w:rPr>
          <w:rFonts w:hint="eastAsia" w:ascii="方正仿宋简体" w:hAnsi="Times New Roman" w:eastAsia="方正仿宋简体" w:cs="Times New Roman"/>
          <w:b/>
          <w:color w:val="000000"/>
          <w:kern w:val="0"/>
          <w:sz w:val="32"/>
          <w:szCs w:val="32"/>
          <w:lang w:val="en-US" w:eastAsia="zh-CN" w:bidi="ar-SA"/>
        </w:rPr>
        <w:t>条，</w:t>
      </w:r>
      <w:r>
        <w:rPr>
          <w:rFonts w:hint="eastAsia" w:ascii="方正仿宋简体" w:hAnsi="Times New Roman" w:eastAsia="方正仿宋简体" w:cs="Times New Roman"/>
          <w:b/>
          <w:color w:val="000000"/>
          <w:kern w:val="0"/>
          <w:sz w:val="32"/>
          <w:szCs w:val="32"/>
          <w:highlight w:val="none"/>
          <w:lang w:val="en-US" w:eastAsia="zh-CN" w:bidi="ar-SA"/>
        </w:rPr>
        <w:t>应急管理</w:t>
      </w:r>
      <w:r>
        <w:rPr>
          <w:rFonts w:hint="eastAsia" w:ascii="方正仿宋简体" w:eastAsia="方正仿宋简体" w:cs="Times New Roman"/>
          <w:b/>
          <w:color w:val="000000"/>
          <w:kern w:val="0"/>
          <w:sz w:val="32"/>
          <w:szCs w:val="32"/>
          <w:highlight w:val="none"/>
          <w:lang w:val="en-US" w:eastAsia="zh-CN" w:bidi="ar-SA"/>
        </w:rPr>
        <w:t>3</w:t>
      </w:r>
      <w:r>
        <w:rPr>
          <w:rFonts w:hint="eastAsia" w:ascii="方正仿宋简体" w:hAnsi="Times New Roman" w:eastAsia="方正仿宋简体" w:cs="Times New Roman"/>
          <w:b/>
          <w:color w:val="000000"/>
          <w:kern w:val="0"/>
          <w:sz w:val="32"/>
          <w:szCs w:val="32"/>
          <w:highlight w:val="none"/>
          <w:lang w:val="en-US" w:eastAsia="zh-CN" w:bidi="ar-SA"/>
        </w:rPr>
        <w:t>条，</w:t>
      </w:r>
      <w:r>
        <w:rPr>
          <w:rFonts w:hint="eastAsia" w:ascii="方正仿宋简体" w:hAnsi="Times New Roman" w:eastAsia="方正仿宋简体" w:cs="Times New Roman"/>
          <w:b/>
          <w:color w:val="000000"/>
          <w:kern w:val="0"/>
          <w:sz w:val="32"/>
          <w:szCs w:val="32"/>
          <w:lang w:val="en-US" w:eastAsia="zh-CN" w:bidi="ar-SA"/>
        </w:rPr>
        <w:t>公共服务</w:t>
      </w:r>
      <w:r>
        <w:rPr>
          <w:rFonts w:hint="eastAsia" w:ascii="方正仿宋简体" w:eastAsia="方正仿宋简体" w:cs="Times New Roman"/>
          <w:b/>
          <w:color w:val="000000"/>
          <w:kern w:val="0"/>
          <w:sz w:val="32"/>
          <w:szCs w:val="32"/>
          <w:lang w:val="en-US" w:eastAsia="zh-CN" w:bidi="ar-SA"/>
        </w:rPr>
        <w:t>3</w:t>
      </w:r>
      <w:r>
        <w:rPr>
          <w:rFonts w:hint="eastAsia" w:ascii="方正仿宋简体" w:hAnsi="Times New Roman" w:eastAsia="方正仿宋简体" w:cs="Times New Roman"/>
          <w:b/>
          <w:color w:val="000000"/>
          <w:kern w:val="0"/>
          <w:sz w:val="32"/>
          <w:szCs w:val="32"/>
          <w:lang w:val="en-US" w:eastAsia="zh-CN" w:bidi="ar-SA"/>
        </w:rPr>
        <w:t>条，行政权力运行公开</w:t>
      </w:r>
      <w:r>
        <w:rPr>
          <w:rFonts w:hint="eastAsia" w:ascii="方正仿宋简体" w:eastAsia="方正仿宋简体" w:cs="Times New Roman"/>
          <w:b/>
          <w:color w:val="000000"/>
          <w:kern w:val="0"/>
          <w:sz w:val="32"/>
          <w:szCs w:val="32"/>
          <w:lang w:val="en-US" w:eastAsia="zh-CN" w:bidi="ar-SA"/>
        </w:rPr>
        <w:t>4</w:t>
      </w:r>
      <w:r>
        <w:rPr>
          <w:rFonts w:hint="eastAsia" w:ascii="方正仿宋简体" w:hAnsi="Times New Roman" w:eastAsia="方正仿宋简体" w:cs="Times New Roman"/>
          <w:b/>
          <w:color w:val="000000"/>
          <w:kern w:val="0"/>
          <w:sz w:val="32"/>
          <w:szCs w:val="32"/>
          <w:lang w:val="en-US" w:eastAsia="zh-CN" w:bidi="ar-SA"/>
        </w:rPr>
        <w:t>条，政务公开组织管理</w:t>
      </w:r>
      <w:r>
        <w:rPr>
          <w:rFonts w:hint="eastAsia" w:ascii="方正仿宋简体" w:eastAsia="方正仿宋简体" w:cs="Times New Roman"/>
          <w:b/>
          <w:color w:val="000000"/>
          <w:kern w:val="0"/>
          <w:sz w:val="32"/>
          <w:szCs w:val="32"/>
          <w:lang w:val="en-US" w:eastAsia="zh-CN" w:bidi="ar-SA"/>
        </w:rPr>
        <w:t>3</w:t>
      </w:r>
      <w:r>
        <w:rPr>
          <w:rFonts w:hint="eastAsia" w:ascii="方正仿宋简体" w:hAnsi="Times New Roman" w:eastAsia="方正仿宋简体" w:cs="Times New Roman"/>
          <w:b/>
          <w:color w:val="000000"/>
          <w:kern w:val="0"/>
          <w:sz w:val="32"/>
          <w:szCs w:val="32"/>
          <w:lang w:val="en-US" w:eastAsia="zh-CN" w:bidi="ar-SA"/>
        </w:rPr>
        <w:t>条，政务公开基础建设</w:t>
      </w:r>
      <w:r>
        <w:rPr>
          <w:rFonts w:hint="eastAsia" w:ascii="方正仿宋简体" w:eastAsia="方正仿宋简体" w:cs="Times New Roman"/>
          <w:b/>
          <w:color w:val="000000"/>
          <w:kern w:val="0"/>
          <w:sz w:val="32"/>
          <w:szCs w:val="32"/>
          <w:lang w:val="en-US" w:eastAsia="zh-CN" w:bidi="ar-SA"/>
        </w:rPr>
        <w:t>1</w:t>
      </w:r>
      <w:r>
        <w:rPr>
          <w:rFonts w:hint="eastAsia" w:ascii="方正仿宋简体" w:hAnsi="Times New Roman" w:eastAsia="方正仿宋简体" w:cs="Times New Roman"/>
          <w:b/>
          <w:color w:val="000000"/>
          <w:kern w:val="0"/>
          <w:sz w:val="32"/>
          <w:szCs w:val="32"/>
          <w:lang w:val="en-US" w:eastAsia="zh-CN" w:bidi="ar-SA"/>
        </w:rPr>
        <w:t>条。</w:t>
      </w:r>
    </w:p>
    <w:p w14:paraId="5E903E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方正仿宋简体" w:hAnsi="Times New Roman" w:eastAsia="方正仿宋简体" w:cs="Times New Roman"/>
          <w:b/>
          <w:color w:val="000000"/>
          <w:kern w:val="0"/>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277495</wp:posOffset>
                </wp:positionV>
                <wp:extent cx="4505960" cy="438150"/>
                <wp:effectExtent l="0" t="0" r="0" b="0"/>
                <wp:wrapNone/>
                <wp:docPr id="4" name="文本框 4"/>
                <wp:cNvGraphicFramePr/>
                <a:graphic xmlns:a="http://schemas.openxmlformats.org/drawingml/2006/main">
                  <a:graphicData uri="http://schemas.microsoft.com/office/word/2010/wordprocessingShape">
                    <wps:wsp>
                      <wps:cNvSpPr txBox="1"/>
                      <wps:spPr>
                        <a:xfrm>
                          <a:off x="1594485" y="4069715"/>
                          <a:ext cx="450596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1B992">
                            <w:pPr>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郭仓镇主动公开各类政府信息共8</w:t>
                            </w:r>
                            <w:r>
                              <w:rPr>
                                <w:rFonts w:hint="eastAsia" w:ascii="微软雅黑" w:hAnsi="微软雅黑" w:eastAsia="微软雅黑" w:cs="微软雅黑"/>
                                <w:color w:val="auto"/>
                                <w:sz w:val="28"/>
                                <w:szCs w:val="28"/>
                                <w:lang w:val="en-US" w:eastAsia="zh-CN"/>
                              </w:rPr>
                              <w:t>1</w:t>
                            </w:r>
                            <w:r>
                              <w:rPr>
                                <w:rFonts w:hint="eastAsia" w:ascii="微软雅黑" w:hAnsi="微软雅黑" w:eastAsia="微软雅黑" w:cs="微软雅黑"/>
                                <w:color w:val="auto"/>
                                <w:sz w:val="28"/>
                                <w:szCs w:val="28"/>
                                <w:lang w:eastAsia="zh-CN"/>
                              </w:rPr>
                              <w:t>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5pt;margin-top:21.85pt;height:34.5pt;width:354.8pt;z-index:251659264;mso-width-relative:page;mso-height-relative:page;" filled="f" stroked="f" coordsize="21600,21600" o:gfxdata="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Ng0WfbAAAACgEAAA8AAAAAAAAA&#10;AQAgAAAAIgAAAGRycy9kb3ducmV2LnhtbFBLAQIUABQAAAAIAIdO4kBATVNhRwIAAHIEAAAOAAAA&#10;AAAAAAEAIAAAACoBAABkcnMvZTJvRG9jLnhtbFBLBQYAAAAABgAGAFkBAADjBQAAAAA=&#10;">
                <v:fill on="f" focussize="0,0"/>
                <v:stroke on="f" weight="0.5pt"/>
                <v:imagedata o:title=""/>
                <o:lock v:ext="edit" aspectratio="f"/>
                <v:textbox>
                  <w:txbxContent>
                    <w:p w14:paraId="1241B992">
                      <w:pPr>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eastAsia="zh-CN"/>
                        </w:rPr>
                        <w:t>郭仓镇主动公开各类政府信息共8</w:t>
                      </w:r>
                      <w:r>
                        <w:rPr>
                          <w:rFonts w:hint="eastAsia" w:ascii="微软雅黑" w:hAnsi="微软雅黑" w:eastAsia="微软雅黑" w:cs="微软雅黑"/>
                          <w:color w:val="auto"/>
                          <w:sz w:val="28"/>
                          <w:szCs w:val="28"/>
                          <w:lang w:val="en-US" w:eastAsia="zh-CN"/>
                        </w:rPr>
                        <w:t>1</w:t>
                      </w:r>
                      <w:r>
                        <w:rPr>
                          <w:rFonts w:hint="eastAsia" w:ascii="微软雅黑" w:hAnsi="微软雅黑" w:eastAsia="微软雅黑" w:cs="微软雅黑"/>
                          <w:color w:val="auto"/>
                          <w:sz w:val="28"/>
                          <w:szCs w:val="28"/>
                          <w:lang w:eastAsia="zh-CN"/>
                        </w:rPr>
                        <w:t>条</w:t>
                      </w:r>
                    </w:p>
                  </w:txbxContent>
                </v:textbox>
              </v:shape>
            </w:pict>
          </mc:Fallback>
        </mc:AlternateContent>
      </w:r>
    </w:p>
    <w:p w14:paraId="494581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方正仿宋简体" w:hAnsi="Times New Roman" w:eastAsia="方正仿宋简体" w:cs="Times New Roman"/>
          <w:b/>
          <w:color w:val="000000"/>
          <w:kern w:val="0"/>
          <w:sz w:val="32"/>
          <w:szCs w:val="32"/>
          <w:lang w:val="en-US" w:eastAsia="zh-CN" w:bidi="ar-SA"/>
        </w:rPr>
      </w:pPr>
    </w:p>
    <w:p w14:paraId="258F6A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eastAsiaTheme="minorEastAsia"/>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11F3B0D">
      <w:pPr>
        <w:keepNext w:val="0"/>
        <w:keepLines w:val="0"/>
        <w:pageBreakBefore w:val="0"/>
        <w:kinsoku/>
        <w:wordWrap/>
        <w:overflowPunct/>
        <w:topLinePunct w:val="0"/>
        <w:autoSpaceDE/>
        <w:autoSpaceDN/>
        <w:bidi w:val="0"/>
        <w:adjustRightInd/>
        <w:snapToGrid/>
        <w:spacing w:line="240" w:lineRule="auto"/>
        <w:ind w:right="-100" w:rightChars="-50"/>
        <w:textAlignment w:val="auto"/>
        <w:rPr>
          <w:rFonts w:hint="eastAsia" w:ascii="方正楷体简体" w:eastAsia="方正楷体简体"/>
          <w:b/>
          <w:color w:val="000000"/>
          <w:sz w:val="32"/>
          <w:szCs w:val="32"/>
        </w:rPr>
      </w:pPr>
    </w:p>
    <w:p w14:paraId="686EB9F8">
      <w:pPr>
        <w:keepNext w:val="0"/>
        <w:keepLines w:val="0"/>
        <w:pageBreakBefore w:val="0"/>
        <w:kinsoku/>
        <w:wordWrap/>
        <w:overflowPunct/>
        <w:topLinePunct w:val="0"/>
        <w:autoSpaceDE/>
        <w:autoSpaceDN/>
        <w:bidi w:val="0"/>
        <w:adjustRightInd/>
        <w:snapToGrid/>
        <w:spacing w:line="240" w:lineRule="auto"/>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14:paraId="3E51ACF9">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年度未收到政府信息公开申请。</w:t>
      </w:r>
    </w:p>
    <w:p w14:paraId="498C28C2">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14:paraId="2317CF85">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rPr>
      </w:pPr>
      <w:r>
        <w:rPr>
          <w:rFonts w:hint="eastAsia" w:ascii="方正仿宋简体" w:eastAsia="方正仿宋简体"/>
          <w:b/>
          <w:color w:val="000000"/>
          <w:sz w:val="32"/>
          <w:szCs w:val="32"/>
        </w:rPr>
        <w:t>我镇政府高度重视信息管理工作</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全面压实主体责任，树牢政府信息公开红线意识和底线思维</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镇党政办公室设政务公开工作小组</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严格遵循政府信息公开发布审查工作流程，严格执行信息保密审查制度，坚持先审批后公开原则，明确审核主体、审核流程，严把政治关、法规关、政策关、保密关、文字关，确保公开的政府信息合法合规。</w:t>
      </w:r>
    </w:p>
    <w:p w14:paraId="6C958B7F">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7A6DE6DE">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rPr>
      </w:pPr>
      <w:r>
        <w:rPr>
          <w:rFonts w:hint="eastAsia" w:ascii="方正仿宋简体" w:eastAsia="方正仿宋简体"/>
          <w:b/>
          <w:color w:val="000000"/>
          <w:sz w:val="32"/>
          <w:szCs w:val="32"/>
        </w:rPr>
        <w:t>我镇政府信息平台维护和公开信息发布工作由党政办公室配备专人负责，专职开展信息公开工作的收集、审核和发布，充分利用政府门户网站、政务</w:t>
      </w:r>
      <w:r>
        <w:rPr>
          <w:rFonts w:hint="eastAsia" w:ascii="方正仿宋简体" w:eastAsia="方正仿宋简体"/>
          <w:b/>
          <w:color w:val="000000"/>
          <w:sz w:val="32"/>
          <w:szCs w:val="32"/>
          <w:lang w:val="en-US" w:eastAsia="zh-CN"/>
        </w:rPr>
        <w:t>信息</w:t>
      </w:r>
      <w:r>
        <w:rPr>
          <w:rFonts w:hint="eastAsia" w:ascii="方正仿宋简体" w:eastAsia="方正仿宋简体"/>
          <w:b/>
          <w:color w:val="000000"/>
          <w:sz w:val="32"/>
          <w:szCs w:val="32"/>
        </w:rPr>
        <w:t>公开栏、各村公告栏、电子屏等多种媒介，确保群众能够全方位、多角度地获取政府公开信息，助</w:t>
      </w:r>
      <w:r>
        <w:rPr>
          <w:rFonts w:hint="eastAsia" w:ascii="方正仿宋简体" w:eastAsia="方正仿宋简体"/>
          <w:b/>
          <w:color w:val="000000"/>
          <w:sz w:val="32"/>
          <w:szCs w:val="32"/>
          <w:lang w:val="en-US" w:eastAsia="zh-CN"/>
        </w:rPr>
        <w:t>推</w:t>
      </w:r>
      <w:r>
        <w:rPr>
          <w:rFonts w:hint="eastAsia" w:ascii="方正仿宋简体" w:eastAsia="方正仿宋简体"/>
          <w:b/>
          <w:color w:val="000000"/>
          <w:sz w:val="32"/>
          <w:szCs w:val="32"/>
        </w:rPr>
        <w:t>法治政府建设。</w:t>
      </w:r>
    </w:p>
    <w:p w14:paraId="4506C8B9">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14:paraId="2BC996D1">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color w:val="000000"/>
          <w:sz w:val="32"/>
          <w:szCs w:val="32"/>
        </w:rPr>
      </w:pPr>
      <w:r>
        <w:rPr>
          <w:rFonts w:hint="eastAsia" w:ascii="方正仿宋简体" w:eastAsia="方正仿宋简体"/>
          <w:b/>
          <w:color w:val="000000"/>
          <w:sz w:val="32"/>
          <w:szCs w:val="32"/>
        </w:rPr>
        <w:t>一是明确专人专责落实政府信息公开工作，及时更新发布信息公开内容。二</w:t>
      </w:r>
      <w:r>
        <w:rPr>
          <w:rFonts w:hint="default" w:ascii="方正仿宋简体" w:eastAsia="方正仿宋简体"/>
          <w:b/>
          <w:color w:val="000000"/>
          <w:sz w:val="32"/>
          <w:szCs w:val="32"/>
        </w:rPr>
        <w:t>是定期筛查、通报政府信息公开存在的问题，</w:t>
      </w:r>
      <w:r>
        <w:rPr>
          <w:rFonts w:hint="eastAsia" w:ascii="方正仿宋简体" w:eastAsia="方正仿宋简体"/>
          <w:b/>
          <w:color w:val="000000"/>
          <w:sz w:val="32"/>
          <w:szCs w:val="32"/>
        </w:rPr>
        <w:t>对发现的问题限时整改并通报</w:t>
      </w:r>
      <w:r>
        <w:rPr>
          <w:rFonts w:hint="eastAsia" w:ascii="方正仿宋简体" w:eastAsia="方正仿宋简体"/>
          <w:b/>
          <w:color w:val="000000"/>
          <w:sz w:val="32"/>
          <w:szCs w:val="32"/>
          <w:lang w:eastAsia="zh-CN"/>
        </w:rPr>
        <w:t>，</w:t>
      </w:r>
      <w:r>
        <w:rPr>
          <w:rFonts w:hint="default" w:ascii="方正仿宋简体" w:eastAsia="方正仿宋简体"/>
          <w:b/>
          <w:color w:val="000000"/>
          <w:sz w:val="32"/>
          <w:szCs w:val="32"/>
        </w:rPr>
        <w:t>督促相关办公室、人员及时整改，增强政府工作人员公开意识，促进政府信息公开工作有效落实</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全年实施政务公开培训</w:t>
      </w:r>
      <w:r>
        <w:rPr>
          <w:rFonts w:hint="eastAsia" w:ascii="方正仿宋简体" w:eastAsia="方正仿宋简体"/>
          <w:b/>
          <w:color w:val="000000"/>
          <w:sz w:val="32"/>
          <w:szCs w:val="32"/>
          <w:lang w:val="en-US" w:eastAsia="zh-CN"/>
        </w:rPr>
        <w:t>6</w:t>
      </w:r>
      <w:r>
        <w:rPr>
          <w:rFonts w:hint="eastAsia" w:ascii="方正仿宋简体" w:eastAsia="方正仿宋简体"/>
          <w:b/>
          <w:color w:val="000000"/>
          <w:sz w:val="32"/>
          <w:szCs w:val="32"/>
        </w:rPr>
        <w:t>次，参训人员</w:t>
      </w:r>
      <w:r>
        <w:rPr>
          <w:rFonts w:hint="eastAsia" w:ascii="方正仿宋简体" w:eastAsia="方正仿宋简体"/>
          <w:b/>
          <w:color w:val="000000"/>
          <w:sz w:val="32"/>
          <w:szCs w:val="32"/>
          <w:lang w:val="en-US" w:eastAsia="zh-CN"/>
        </w:rPr>
        <w:t>170</w:t>
      </w:r>
      <w:r>
        <w:rPr>
          <w:rFonts w:hint="eastAsia" w:ascii="方正仿宋简体" w:eastAsia="方正仿宋简体"/>
          <w:b/>
          <w:color w:val="000000"/>
          <w:sz w:val="32"/>
          <w:szCs w:val="32"/>
        </w:rPr>
        <w:t>人次。</w:t>
      </w:r>
    </w:p>
    <w:p w14:paraId="007761FC">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方正黑体简体" w:eastAsia="方正黑体简体"/>
          <w:b/>
          <w:color w:val="000000"/>
          <w:sz w:val="32"/>
          <w:szCs w:val="32"/>
          <w:lang w:val="en-US" w:eastAsia="zh-CN"/>
        </w:rPr>
      </w:pPr>
      <w:r>
        <w:rPr>
          <w:rFonts w:hint="eastAsia" w:ascii="方正黑体简体" w:eastAsia="方正黑体简体"/>
          <w:b/>
          <w:color w:val="000000"/>
          <w:sz w:val="32"/>
          <w:szCs w:val="32"/>
        </w:rPr>
        <w:t>二、主动公开政府信息情况</w:t>
      </w:r>
      <w:r>
        <w:rPr>
          <w:rFonts w:hint="eastAsia" w:ascii="方正黑体简体" w:eastAsia="方正黑体简体"/>
          <w:b/>
          <w:color w:val="000000"/>
          <w:sz w:val="32"/>
          <w:szCs w:val="32"/>
          <w:lang w:val="en-US" w:eastAsia="zh-CN"/>
        </w:rPr>
        <w:t xml:space="preserve">                                 </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1368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378B7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14:paraId="4E54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06D8B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14:paraId="68425D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14:paraId="674AA9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14:paraId="256915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2BC0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567BC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14:paraId="10DE79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20B6D8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24D99E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4D07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360E8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14:paraId="51A70B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14:paraId="53D2D0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14:paraId="05F7C5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14:paraId="4E56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F21BB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2A6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B6AE1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1E5853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66AC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FBAA5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14:paraId="514CDF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仿宋简体" w:eastAsia="方正仿宋简体"/>
                <w:b/>
                <w:sz w:val="24"/>
                <w:szCs w:val="24"/>
                <w:lang w:val="en-US" w:eastAsia="zh-CN"/>
              </w:rPr>
            </w:pPr>
            <w:r>
              <w:rPr>
                <w:rFonts w:hint="eastAsia" w:ascii="方正仿宋简体" w:hAnsi="Calibri" w:eastAsia="方正仿宋简体" w:cs="Calibri"/>
                <w:b/>
                <w:color w:val="000000" w:themeColor="text1"/>
                <w:sz w:val="24"/>
                <w:szCs w:val="24"/>
                <w:shd w:val="clear"/>
                <w:lang w:val="en-US" w:eastAsia="zh-CN" w:bidi="ar"/>
                <w14:textFill>
                  <w14:solidFill>
                    <w14:schemeClr w14:val="tx1"/>
                  </w14:solidFill>
                </w14:textFill>
              </w:rPr>
              <w:t>558</w:t>
            </w:r>
          </w:p>
        </w:tc>
      </w:tr>
      <w:tr w14:paraId="141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5CD66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7D16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EE7A9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2ED011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5000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BB612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14:paraId="4DE2C1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4E87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C92C2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14:paraId="721E93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14:paraId="7CE9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40C1B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14:paraId="4F0D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4A796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14:paraId="7AFE61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14:paraId="111A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2B878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7617C1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14:paraId="71C11952">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0" w:firstLineChars="200"/>
        <w:textAlignment w:val="auto"/>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F14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4863A0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3B1E03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6F61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9ED3FBA">
            <w:pPr>
              <w:keepNext w:val="0"/>
              <w:keepLines w:val="0"/>
              <w:pageBreakBefore w:val="0"/>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p>
        </w:tc>
        <w:tc>
          <w:tcPr>
            <w:tcW w:w="791" w:type="dxa"/>
            <w:vMerge w:val="restart"/>
            <w:noWrap w:val="0"/>
            <w:tcMar>
              <w:left w:w="57" w:type="dxa"/>
              <w:right w:w="57" w:type="dxa"/>
            </w:tcMar>
            <w:vAlign w:val="center"/>
          </w:tcPr>
          <w:p w14:paraId="3F094E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14:paraId="0C4E13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14:paraId="34AF25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456B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DCCFE43">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791" w:type="dxa"/>
            <w:vMerge w:val="continue"/>
            <w:noWrap w:val="0"/>
            <w:tcMar>
              <w:left w:w="57" w:type="dxa"/>
              <w:right w:w="57" w:type="dxa"/>
            </w:tcMar>
            <w:vAlign w:val="center"/>
          </w:tcPr>
          <w:p w14:paraId="2DFE54C6">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599" w:type="dxa"/>
            <w:noWrap w:val="0"/>
            <w:tcMar>
              <w:left w:w="57" w:type="dxa"/>
              <w:right w:w="57" w:type="dxa"/>
            </w:tcMar>
            <w:vAlign w:val="center"/>
          </w:tcPr>
          <w:p w14:paraId="5949DE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70333C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14:paraId="1E12D2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0E1DC5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14:paraId="01B09A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14:paraId="402BCA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14:paraId="0A884E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14:paraId="7DD9170A">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r>
      <w:tr w14:paraId="33AA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2B5215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0B20E1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34ADF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41F3F6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D6233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B450E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75A858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0E1632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79F3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691CBF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3F8D09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50319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0027CB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848D8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A2D2E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6172A8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56A6D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52C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046ADCF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53EEDD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3E3F56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359AC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AB65A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DA62F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40C3CE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0EA001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D41E1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54CD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271D6A0">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3820" w:type="dxa"/>
            <w:gridSpan w:val="2"/>
            <w:noWrap w:val="0"/>
            <w:tcMar>
              <w:left w:w="57" w:type="dxa"/>
              <w:right w:w="57" w:type="dxa"/>
            </w:tcMar>
            <w:vAlign w:val="center"/>
          </w:tcPr>
          <w:p w14:paraId="2686BE9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1A565C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6407C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5D037C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24D3EC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7EAAF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0E588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94A8B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0060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532ADB">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restart"/>
            <w:noWrap w:val="0"/>
            <w:tcMar>
              <w:left w:w="57" w:type="dxa"/>
              <w:right w:w="57" w:type="dxa"/>
            </w:tcMar>
            <w:vAlign w:val="center"/>
          </w:tcPr>
          <w:p w14:paraId="6DC35A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52C846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14:paraId="267334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2EC2AD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3100B9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554441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24ECDE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689FC3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22A7A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34D2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CC670EE">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0CEF2586">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10CEA1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14:paraId="2A4BD8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68F273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61B286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4AFE09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4578B5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484EA5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21B9B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5C30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FA68A2B">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286A2CFF">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2C3553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14:paraId="397B79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786D16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605F9C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2C5B6C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3B9D8C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719B4C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39EB9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3258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4BD96CD">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242A7021">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7863EA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14:paraId="0EF857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1B69B9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08A956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7566A3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0D33BE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3135A5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AB8EC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24AE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37816F0">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21C0545D">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1A7B3A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14:paraId="255BDD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4C0760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741008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4ACF38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210B99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6BE65C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5C0697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5E35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633AC1A">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1ED4A3B1">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4A6AF9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14:paraId="24B86B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13E9F4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5C82EB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286648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2ABCEA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1190EE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709A37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62D2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703DFF8">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4E486EC8">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7F014E0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14:paraId="27A7B7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3DF435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003C75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5F0C60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14:paraId="3B5188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200727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C20DA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107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4278B51">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03C2CBAF">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0BE2394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14:paraId="5EC01F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20D9FB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799E2C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70CF7F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14:paraId="6EA6F1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01DFFC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1888B0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4994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B0536E2">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restart"/>
            <w:noWrap w:val="0"/>
            <w:tcMar>
              <w:left w:w="57" w:type="dxa"/>
              <w:right w:w="57" w:type="dxa"/>
            </w:tcMar>
            <w:vAlign w:val="center"/>
          </w:tcPr>
          <w:p w14:paraId="47AFF1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3D646D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14:paraId="027687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424E9C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592DFF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19A61F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311141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74150C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4E817A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3298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0B3E3D3">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14FFA450">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6C4AB65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14:paraId="3C7E1C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5E3459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236E3E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7A3DC9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7DC6FD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729D49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65EEB6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6245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CEB1E30">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0D8B6465">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260DA4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14:paraId="76ABF8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333E43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20159D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2354B8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310611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04D560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1A518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245C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C799E2B">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restart"/>
            <w:noWrap w:val="0"/>
            <w:tcMar>
              <w:left w:w="57" w:type="dxa"/>
              <w:right w:w="57" w:type="dxa"/>
            </w:tcMar>
            <w:vAlign w:val="center"/>
          </w:tcPr>
          <w:p w14:paraId="4A58EF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155ACC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14:paraId="7C2197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5BD808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06F7C0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19104A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5944F5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top"/>
          </w:tcPr>
          <w:p w14:paraId="00F5AF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73C06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48B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C0C746A">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3E36462F">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05ECDE2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14:paraId="132042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top"/>
          </w:tcPr>
          <w:p w14:paraId="16958C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6EA08A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4B036D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6FA961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204A4C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0A6197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1C3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0C017ED">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1843F616">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59293A4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14:paraId="457ACF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389C5D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2810B3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63B1E9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top"/>
          </w:tcPr>
          <w:p w14:paraId="43C170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0B0EE4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0E280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1379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B6EF06D">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0D97A7BE">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top"/>
          </w:tcPr>
          <w:p w14:paraId="656E94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14:paraId="735CF7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450C04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top"/>
          </w:tcPr>
          <w:p w14:paraId="4490FD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top"/>
          </w:tcPr>
          <w:p w14:paraId="68234E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14:paraId="3B8FA0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4E34B4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3CA606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43D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7614059B">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7EEFBA35">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center"/>
          </w:tcPr>
          <w:p w14:paraId="6DB616B8">
            <w:pPr>
              <w:keepNext w:val="0"/>
              <w:keepLines w:val="0"/>
              <w:pageBreakBefore w:val="0"/>
              <w:widowControl/>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14:paraId="68F63F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top"/>
          </w:tcPr>
          <w:p w14:paraId="5C3EA6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top"/>
          </w:tcPr>
          <w:p w14:paraId="42FFF5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top"/>
          </w:tcPr>
          <w:p w14:paraId="2527B5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top"/>
          </w:tcPr>
          <w:p w14:paraId="5D32A3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top"/>
          </w:tcPr>
          <w:p w14:paraId="2E8D81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2C788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2D24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CC6A3C1">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restart"/>
            <w:noWrap w:val="0"/>
            <w:tcMar>
              <w:left w:w="57" w:type="dxa"/>
              <w:right w:w="57" w:type="dxa"/>
            </w:tcMar>
            <w:vAlign w:val="center"/>
          </w:tcPr>
          <w:p w14:paraId="6BCA85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16B3757E">
            <w:pPr>
              <w:keepNext w:val="0"/>
              <w:keepLines w:val="0"/>
              <w:pageBreakBefore w:val="0"/>
              <w:widowControl/>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703F0A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75B17E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CD47F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335C9C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2EC0E6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508D1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5FB507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2D7E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0E8C284">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444641DF">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center"/>
          </w:tcPr>
          <w:p w14:paraId="39DE8C38">
            <w:pPr>
              <w:keepNext w:val="0"/>
              <w:keepLines w:val="0"/>
              <w:pageBreakBefore w:val="0"/>
              <w:widowControl/>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6A19F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6580A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3557CE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68D3B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1F9127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344752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7174EF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p w14:paraId="141981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5D9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2A24A99">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942" w:type="dxa"/>
            <w:vMerge w:val="continue"/>
            <w:noWrap w:val="0"/>
            <w:tcMar>
              <w:left w:w="57" w:type="dxa"/>
              <w:right w:w="57" w:type="dxa"/>
            </w:tcMar>
            <w:vAlign w:val="center"/>
          </w:tcPr>
          <w:p w14:paraId="2714B2C4">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2878" w:type="dxa"/>
            <w:noWrap w:val="0"/>
            <w:tcMar>
              <w:left w:w="57" w:type="dxa"/>
              <w:right w:w="57" w:type="dxa"/>
            </w:tcMar>
            <w:vAlign w:val="center"/>
          </w:tcPr>
          <w:p w14:paraId="5E7D2E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796E03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1A040D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56324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BCD59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FF7BD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03B2A8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36038C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19AF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1999F3F">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b/>
                <w:sz w:val="21"/>
                <w:szCs w:val="21"/>
              </w:rPr>
            </w:pPr>
          </w:p>
        </w:tc>
        <w:tc>
          <w:tcPr>
            <w:tcW w:w="3820" w:type="dxa"/>
            <w:gridSpan w:val="2"/>
            <w:noWrap w:val="0"/>
            <w:tcMar>
              <w:left w:w="57" w:type="dxa"/>
              <w:right w:w="57" w:type="dxa"/>
            </w:tcMar>
            <w:vAlign w:val="center"/>
          </w:tcPr>
          <w:p w14:paraId="2D4830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6C762D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0DB325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4501D4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1C6A98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243AF3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2BA760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79D131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64E5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4E9BA41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2D14A6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4176A7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14:paraId="776438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14:paraId="3FA391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14:paraId="638E5F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14:paraId="683D84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14:paraId="25DC2F7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14:paraId="6D356825">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33F4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5" w:hRule="atLeast"/>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F09481">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35DE12">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14:paraId="1AC7CE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C3A3E7B">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7B5A8EF">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14:paraId="62E3D404">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B74752">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99323A">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75B687">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A071F1">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AC0E00">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14:paraId="3B50E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65" w:hRule="atLeast"/>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288582">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D17932D">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C5D7B8">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F885FB">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3E81FA">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D57383">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1B9A11">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6C6511">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7AAA83">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6EE5F7">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0A8F2B">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DAC51F">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59C21F">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0C2BB8">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10BF6F">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05CFF4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F3E69A">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7F6868">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F54C1C">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BEE5C1">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AEEDC7">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7CA3EA">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7BE926">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D6AD4D">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AF07C3">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66FE0C">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65FD89">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E08A4E">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825349">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D56A62">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A76B9E">
            <w:pPr>
              <w:keepNext w:val="0"/>
              <w:keepLines w:val="0"/>
              <w:pageBreakBefore w:val="0"/>
              <w:kinsoku/>
              <w:wordWrap/>
              <w:overflowPunct/>
              <w:topLinePunct w:val="0"/>
              <w:autoSpaceDE/>
              <w:autoSpaceDN/>
              <w:bidi w:val="0"/>
              <w:adjustRightInd/>
              <w:snapToGrid/>
              <w:spacing w:line="560" w:lineRule="exact"/>
              <w:ind w:left="-40" w:leftChars="-20" w:right="-40" w:rightChars="-20"/>
              <w:jc w:val="center"/>
              <w:textAlignment w:val="auto"/>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14:paraId="0FEFE48C">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ascii="方正黑体简体" w:eastAsia="方正黑体简体"/>
          <w:b/>
          <w:sz w:val="32"/>
          <w:szCs w:val="32"/>
        </w:rPr>
      </w:pPr>
      <w:r>
        <w:rPr>
          <w:rFonts w:hint="eastAsia" w:ascii="方正黑体简体" w:eastAsia="方正黑体简体"/>
          <w:b/>
          <w:sz w:val="32"/>
          <w:szCs w:val="32"/>
        </w:rPr>
        <w:t>五、存在的主要问题及改进情况</w:t>
      </w:r>
    </w:p>
    <w:p w14:paraId="2F00F6A6">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（一）针对上年度问题改进情况</w:t>
      </w:r>
    </w:p>
    <w:p w14:paraId="70C17124">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方正仿宋简体" w:eastAsia="方正仿宋简体"/>
          <w:b/>
          <w:sz w:val="32"/>
          <w:szCs w:val="32"/>
          <w:lang w:val="en-US" w:eastAsia="zh-CN"/>
        </w:rPr>
      </w:pPr>
      <w:r>
        <w:rPr>
          <w:rFonts w:hint="eastAsia" w:ascii="方正仿宋简体" w:eastAsia="方正仿宋简体"/>
          <w:b/>
          <w:sz w:val="32"/>
          <w:szCs w:val="32"/>
          <w:lang w:eastAsia="zh-CN"/>
        </w:rPr>
        <w:t>针对</w:t>
      </w:r>
      <w:r>
        <w:rPr>
          <w:rFonts w:hint="eastAsia" w:ascii="方正仿宋简体" w:eastAsia="方正仿宋简体"/>
          <w:b/>
          <w:sz w:val="32"/>
          <w:szCs w:val="32"/>
        </w:rPr>
        <w:t>信息公开的全面性、</w:t>
      </w:r>
      <w:r>
        <w:rPr>
          <w:rFonts w:hint="eastAsia" w:ascii="方正仿宋简体" w:eastAsia="方正仿宋简体"/>
          <w:b/>
          <w:sz w:val="32"/>
          <w:szCs w:val="32"/>
          <w:lang w:val="en-US" w:eastAsia="zh-CN"/>
        </w:rPr>
        <w:t>主动性及</w:t>
      </w:r>
      <w:r>
        <w:rPr>
          <w:rFonts w:hint="eastAsia" w:ascii="方正仿宋简体" w:eastAsia="方正仿宋简体"/>
          <w:b/>
          <w:sz w:val="32"/>
          <w:szCs w:val="32"/>
        </w:rPr>
        <w:t>及时性</w:t>
      </w:r>
      <w:r>
        <w:rPr>
          <w:rFonts w:hint="eastAsia" w:ascii="方正仿宋简体" w:eastAsia="方正仿宋简体"/>
          <w:b/>
          <w:sz w:val="32"/>
          <w:szCs w:val="32"/>
          <w:lang w:val="en-US" w:eastAsia="zh-CN"/>
        </w:rPr>
        <w:t>有所欠缺</w:t>
      </w:r>
      <w:r>
        <w:rPr>
          <w:rFonts w:hint="eastAsia" w:ascii="方正仿宋简体" w:eastAsia="方正仿宋简体"/>
          <w:b/>
          <w:sz w:val="32"/>
          <w:szCs w:val="32"/>
          <w:lang w:eastAsia="zh-CN"/>
        </w:rPr>
        <w:t>，政府信息公开</w:t>
      </w:r>
      <w:r>
        <w:rPr>
          <w:rFonts w:hint="eastAsia" w:ascii="方正仿宋简体" w:eastAsia="方正仿宋简体"/>
          <w:b/>
          <w:sz w:val="32"/>
          <w:szCs w:val="32"/>
          <w:lang w:val="en-US" w:eastAsia="zh-CN"/>
        </w:rPr>
        <w:t>工作机制</w:t>
      </w:r>
      <w:r>
        <w:rPr>
          <w:rFonts w:hint="eastAsia" w:ascii="方正仿宋简体" w:eastAsia="方正仿宋简体"/>
          <w:b/>
          <w:sz w:val="32"/>
          <w:szCs w:val="32"/>
          <w:lang w:eastAsia="zh-CN"/>
        </w:rPr>
        <w:t>建设方面还不够全面</w:t>
      </w:r>
      <w:r>
        <w:rPr>
          <w:rFonts w:hint="eastAsia" w:ascii="方正仿宋简体" w:eastAsia="方正仿宋简体"/>
          <w:b/>
          <w:sz w:val="32"/>
          <w:szCs w:val="32"/>
          <w:lang w:val="en-US" w:eastAsia="zh-CN"/>
        </w:rPr>
        <w:t>的问题。郭仓镇</w:t>
      </w:r>
      <w:r>
        <w:rPr>
          <w:rFonts w:hint="eastAsia" w:ascii="方正仿宋简体" w:eastAsia="方正仿宋简体"/>
          <w:b/>
          <w:sz w:val="32"/>
          <w:szCs w:val="32"/>
        </w:rPr>
        <w:t>在确保不泄密的情况下</w:t>
      </w:r>
      <w:r>
        <w:rPr>
          <w:rFonts w:hint="eastAsia" w:ascii="方正仿宋简体" w:eastAsia="方正仿宋简体"/>
          <w:b/>
          <w:sz w:val="32"/>
          <w:szCs w:val="32"/>
          <w:lang w:eastAsia="zh-CN"/>
        </w:rPr>
        <w:t>，</w:t>
      </w:r>
      <w:r>
        <w:rPr>
          <w:rFonts w:hint="eastAsia" w:ascii="方正仿宋简体" w:eastAsia="方正仿宋简体"/>
          <w:b/>
          <w:sz w:val="32"/>
          <w:szCs w:val="32"/>
        </w:rPr>
        <w:t>及时提供</w:t>
      </w:r>
      <w:r>
        <w:rPr>
          <w:rFonts w:hint="eastAsia" w:ascii="方正仿宋简体" w:eastAsia="方正仿宋简体"/>
          <w:b/>
          <w:sz w:val="32"/>
          <w:szCs w:val="32"/>
          <w:lang w:val="en-US" w:eastAsia="zh-CN"/>
        </w:rPr>
        <w:t>信息，</w:t>
      </w:r>
      <w:r>
        <w:rPr>
          <w:rFonts w:hint="eastAsia" w:ascii="方正仿宋简体" w:eastAsia="方正仿宋简体"/>
          <w:b/>
          <w:sz w:val="32"/>
          <w:szCs w:val="32"/>
        </w:rPr>
        <w:t>扩大公开范围，充实公开内容</w:t>
      </w:r>
      <w:r>
        <w:rPr>
          <w:rFonts w:hint="eastAsia" w:ascii="方正仿宋简体" w:eastAsia="方正仿宋简体"/>
          <w:b/>
          <w:sz w:val="32"/>
          <w:szCs w:val="32"/>
          <w:lang w:eastAsia="zh-CN"/>
        </w:rPr>
        <w:t>，</w:t>
      </w:r>
      <w:r>
        <w:rPr>
          <w:rFonts w:hint="eastAsia" w:ascii="方正仿宋简体" w:eastAsia="方正仿宋简体"/>
          <w:b/>
          <w:sz w:val="32"/>
          <w:szCs w:val="32"/>
        </w:rPr>
        <w:t>完善信息公开工</w:t>
      </w:r>
      <w:r>
        <w:rPr>
          <w:rFonts w:hint="eastAsia" w:ascii="方正仿宋简体" w:eastAsia="方正仿宋简体"/>
          <w:b/>
          <w:sz w:val="32"/>
          <w:szCs w:val="32"/>
          <w:lang w:val="en-US" w:eastAsia="zh-CN"/>
        </w:rPr>
        <w:t>作机制，提高公众信任度。</w:t>
      </w:r>
    </w:p>
    <w:p w14:paraId="5D399257">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（二）目前存在的主要问题</w:t>
      </w:r>
    </w:p>
    <w:p w14:paraId="1197053B">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存在问题：一是政府信息公开工作规范化</w:t>
      </w:r>
      <w:r>
        <w:rPr>
          <w:rFonts w:hint="eastAsia" w:ascii="方正仿宋简体" w:eastAsia="方正仿宋简体"/>
          <w:b/>
          <w:sz w:val="32"/>
          <w:szCs w:val="32"/>
          <w:lang w:eastAsia="zh-CN"/>
        </w:rPr>
        <w:t>、</w:t>
      </w:r>
      <w:r>
        <w:rPr>
          <w:rFonts w:hint="eastAsia" w:ascii="方正仿宋简体" w:eastAsia="方正仿宋简体"/>
          <w:b/>
          <w:sz w:val="32"/>
          <w:szCs w:val="32"/>
        </w:rPr>
        <w:t>制度化仍需加强</w:t>
      </w:r>
      <w:r>
        <w:rPr>
          <w:rFonts w:hint="eastAsia" w:ascii="方正仿宋简体" w:eastAsia="方正仿宋简体"/>
          <w:b/>
          <w:sz w:val="32"/>
          <w:szCs w:val="32"/>
          <w:lang w:eastAsia="zh-CN"/>
        </w:rPr>
        <w:t>；</w:t>
      </w:r>
      <w:r>
        <w:rPr>
          <w:rFonts w:hint="eastAsia" w:ascii="方正仿宋简体" w:eastAsia="方正仿宋简体"/>
          <w:b/>
          <w:sz w:val="32"/>
          <w:szCs w:val="32"/>
        </w:rPr>
        <w:t>二是主动向社会公开政府信息领域有待于进一步拓展，公开的内容和形式还不够丰富</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三</w:t>
      </w:r>
      <w:r>
        <w:rPr>
          <w:rFonts w:hint="eastAsia" w:ascii="方正仿宋简体" w:eastAsia="方正仿宋简体"/>
          <w:b/>
          <w:sz w:val="32"/>
          <w:szCs w:val="32"/>
        </w:rPr>
        <w:t>是个别栏目公开信息不够及时，时效上还需要进一步加强</w:t>
      </w:r>
      <w:r>
        <w:rPr>
          <w:rFonts w:hint="eastAsia" w:ascii="方正仿宋简体" w:eastAsia="方正仿宋简体"/>
          <w:b/>
          <w:sz w:val="32"/>
          <w:szCs w:val="32"/>
          <w:lang w:eastAsia="zh-CN"/>
        </w:rPr>
        <w:t>。</w:t>
      </w:r>
    </w:p>
    <w:p w14:paraId="65016A5F">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下步举措：202</w:t>
      </w:r>
      <w:r>
        <w:rPr>
          <w:rFonts w:hint="eastAsia" w:ascii="方正仿宋简体" w:eastAsia="方正仿宋简体"/>
          <w:b/>
          <w:sz w:val="32"/>
          <w:szCs w:val="32"/>
          <w:lang w:val="en-US" w:eastAsia="zh-CN"/>
        </w:rPr>
        <w:t>5</w:t>
      </w:r>
      <w:r>
        <w:rPr>
          <w:rFonts w:hint="eastAsia" w:ascii="方正仿宋简体" w:eastAsia="方正仿宋简体"/>
          <w:b/>
          <w:sz w:val="32"/>
          <w:szCs w:val="32"/>
        </w:rPr>
        <w:t>年，将从以下几个方面加以改进：</w:t>
      </w:r>
    </w:p>
    <w:p w14:paraId="29480B36">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一是探索建立政府信息公开工作人员管理长效机制，明确政府信息公开工作人员范围，规范有序落实好政府信息公开工作，完善公开栏目、公开工作指南。</w:t>
      </w:r>
    </w:p>
    <w:p w14:paraId="1EDEB26C">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二是认真梳理，充实公开内容。及时分析梳理政务，更新完善公开目录，保证公开信息的时效性、完整性和准确性。在政务信息公开实践中不断总结经验，改正不足，提高政务公开工作的质量和水平。</w:t>
      </w:r>
    </w:p>
    <w:p w14:paraId="35629AC8">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六、其他需要报告的事项</w:t>
      </w:r>
    </w:p>
    <w:p w14:paraId="717E31F5">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（一）依据《政府信息公开信息处理费管理办法》收取信息处理费的情况</w:t>
      </w:r>
    </w:p>
    <w:p w14:paraId="250B8789">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我镇本年度无收取信息处理费情况。</w:t>
      </w:r>
    </w:p>
    <w:p w14:paraId="4CC08F4C">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（二）本行政机关落实上级年度政务公开工作要点情况</w:t>
      </w:r>
    </w:p>
    <w:p w14:paraId="2CDEED08">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lang w:val="en-US" w:eastAsia="zh-CN"/>
        </w:rPr>
        <w:t>2024年</w:t>
      </w:r>
      <w:r>
        <w:rPr>
          <w:rFonts w:hint="eastAsia" w:ascii="方正仿宋简体" w:eastAsia="方正仿宋简体"/>
          <w:b/>
          <w:sz w:val="32"/>
          <w:szCs w:val="32"/>
        </w:rPr>
        <w:t>，</w:t>
      </w:r>
      <w:r>
        <w:rPr>
          <w:rFonts w:hint="eastAsia" w:ascii="方正仿宋简体" w:eastAsia="方正仿宋简体"/>
          <w:b/>
          <w:sz w:val="32"/>
          <w:szCs w:val="32"/>
          <w:lang w:val="en-US" w:eastAsia="zh-CN"/>
        </w:rPr>
        <w:t>郭仓</w:t>
      </w:r>
      <w:r>
        <w:rPr>
          <w:rFonts w:hint="eastAsia" w:ascii="方正仿宋简体" w:eastAsia="方正仿宋简体"/>
          <w:b/>
          <w:sz w:val="32"/>
          <w:szCs w:val="32"/>
        </w:rPr>
        <w:t>镇根据国家、省、市</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县</w:t>
      </w:r>
      <w:r>
        <w:rPr>
          <w:rFonts w:hint="eastAsia" w:ascii="方正仿宋简体" w:eastAsia="方正仿宋简体"/>
          <w:b/>
          <w:sz w:val="32"/>
          <w:szCs w:val="32"/>
        </w:rPr>
        <w:t>关于202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年政务公开工作要点相关文件要求，严格落实政府信息主动公开工作，包括主要职能、办公地址时间、联系方式、负责人信息、内设机构等情况。根据我镇实际情况，积极推进政府信息公开相关制度建设</w:t>
      </w:r>
      <w:r>
        <w:rPr>
          <w:rFonts w:hint="eastAsia" w:ascii="方正仿宋简体" w:eastAsia="方正仿宋简体"/>
          <w:b/>
          <w:sz w:val="32"/>
          <w:szCs w:val="32"/>
          <w:lang w:eastAsia="zh-CN"/>
        </w:rPr>
        <w:t>，</w:t>
      </w:r>
      <w:r>
        <w:rPr>
          <w:rFonts w:hint="eastAsia" w:ascii="方正仿宋简体" w:eastAsia="方正仿宋简体"/>
          <w:b/>
          <w:sz w:val="32"/>
          <w:szCs w:val="32"/>
        </w:rPr>
        <w:t>明确政务公开工作重点，不断深化基层政务公开领域信息，加强信息公开力度，积极回应群众关切，积极稳步地开展政府信息公开工作，提高政务公开质量，保障了政府信息公开工作依法、及时、准确、有序地开展。</w:t>
      </w:r>
    </w:p>
    <w:p w14:paraId="6B0D7BB0">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（三）本行政机关人大代表建议和政协提案办理结果公开</w:t>
      </w:r>
      <w:r>
        <w:rPr>
          <w:rFonts w:hint="eastAsia" w:ascii="方正仿宋简体" w:eastAsia="方正仿宋简体"/>
          <w:b/>
          <w:sz w:val="32"/>
          <w:szCs w:val="32"/>
          <w:lang w:val="en-US" w:eastAsia="zh-CN"/>
        </w:rPr>
        <w:t>情</w:t>
      </w:r>
      <w:bookmarkStart w:id="0" w:name="_GoBack"/>
      <w:bookmarkEnd w:id="0"/>
      <w:r>
        <w:rPr>
          <w:rFonts w:hint="eastAsia" w:ascii="方正仿宋简体" w:eastAsia="方正仿宋简体"/>
          <w:b/>
          <w:sz w:val="32"/>
          <w:szCs w:val="32"/>
        </w:rPr>
        <w:t>况</w:t>
      </w:r>
    </w:p>
    <w:p w14:paraId="694349DB">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年未承办人大代表建议和政协委员提案。</w:t>
      </w:r>
    </w:p>
    <w:p w14:paraId="0FBDEE51">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（四）本行政机关年度政务公开工作创新情况</w:t>
      </w:r>
    </w:p>
    <w:p w14:paraId="38ABDD20">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年我镇充分发挥政务</w:t>
      </w:r>
      <w:r>
        <w:rPr>
          <w:rFonts w:hint="eastAsia" w:ascii="方正仿宋简体" w:eastAsia="方正仿宋简体"/>
          <w:b/>
          <w:sz w:val="32"/>
          <w:szCs w:val="32"/>
          <w:lang w:val="en-US" w:eastAsia="zh-CN"/>
        </w:rPr>
        <w:t>信息</w:t>
      </w:r>
      <w:r>
        <w:rPr>
          <w:rFonts w:hint="eastAsia" w:ascii="方正仿宋简体" w:eastAsia="方正仿宋简体"/>
          <w:b/>
          <w:sz w:val="32"/>
          <w:szCs w:val="32"/>
        </w:rPr>
        <w:t>公开栏、</w:t>
      </w:r>
      <w:r>
        <w:rPr>
          <w:rFonts w:hint="eastAsia" w:ascii="方正仿宋简体" w:eastAsia="方正仿宋简体"/>
          <w:b/>
          <w:color w:val="000000"/>
          <w:sz w:val="32"/>
          <w:szCs w:val="32"/>
        </w:rPr>
        <w:t>各村公告栏、电子屏</w:t>
      </w:r>
      <w:r>
        <w:rPr>
          <w:rFonts w:hint="eastAsia" w:ascii="方正仿宋简体" w:eastAsia="方正仿宋简体"/>
          <w:b/>
          <w:color w:val="000000"/>
          <w:sz w:val="32"/>
          <w:szCs w:val="32"/>
          <w:lang w:eastAsia="zh-CN"/>
        </w:rPr>
        <w:t>、</w:t>
      </w:r>
      <w:r>
        <w:rPr>
          <w:rFonts w:hint="eastAsia" w:ascii="方正仿宋简体" w:eastAsia="方正仿宋简体"/>
          <w:b/>
          <w:sz w:val="32"/>
          <w:szCs w:val="32"/>
        </w:rPr>
        <w:t>政务信息公开网站等</w:t>
      </w:r>
      <w:r>
        <w:rPr>
          <w:rFonts w:hint="eastAsia" w:ascii="方正仿宋简体" w:eastAsia="方正仿宋简体"/>
          <w:b/>
          <w:color w:val="000000"/>
          <w:sz w:val="32"/>
          <w:szCs w:val="32"/>
        </w:rPr>
        <w:t>多种媒介</w:t>
      </w:r>
      <w:r>
        <w:rPr>
          <w:rFonts w:hint="eastAsia" w:ascii="方正仿宋简体" w:eastAsia="方正仿宋简体"/>
          <w:b/>
          <w:sz w:val="32"/>
          <w:szCs w:val="32"/>
        </w:rPr>
        <w:t>，</w:t>
      </w:r>
      <w:r>
        <w:rPr>
          <w:rFonts w:hint="eastAsia" w:ascii="方正仿宋简体" w:eastAsia="方正仿宋简体"/>
          <w:b/>
          <w:color w:val="000000"/>
          <w:sz w:val="32"/>
          <w:szCs w:val="32"/>
        </w:rPr>
        <w:t>定期公开群众关注度较高的服务指南、办事手册、目录清单、政策文件等各类重要信息</w:t>
      </w:r>
      <w:r>
        <w:rPr>
          <w:rFonts w:hint="eastAsia" w:ascii="方正仿宋简体" w:eastAsia="方正仿宋简体"/>
          <w:b/>
          <w:sz w:val="32"/>
          <w:szCs w:val="32"/>
          <w:lang w:eastAsia="zh-CN"/>
        </w:rPr>
        <w:t>，</w:t>
      </w:r>
      <w:r>
        <w:rPr>
          <w:rFonts w:hint="eastAsia" w:ascii="方正仿宋简体" w:eastAsia="方正仿宋简体"/>
          <w:b/>
          <w:sz w:val="32"/>
          <w:szCs w:val="32"/>
        </w:rPr>
        <w:t>使居民获取信息更加便捷</w:t>
      </w:r>
      <w:r>
        <w:rPr>
          <w:rFonts w:hint="eastAsia" w:ascii="方正仿宋简体" w:eastAsia="方正仿宋简体"/>
          <w:b/>
          <w:sz w:val="32"/>
          <w:szCs w:val="32"/>
          <w:lang w:eastAsia="zh-CN"/>
        </w:rPr>
        <w:t>。</w:t>
      </w:r>
    </w:p>
    <w:p w14:paraId="0A476441">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方正仿宋简体" w:eastAsia="方正仿宋简体"/>
          <w:b/>
          <w:sz w:val="32"/>
          <w:szCs w:val="32"/>
        </w:rPr>
      </w:pPr>
      <w:r>
        <w:rPr>
          <w:rFonts w:hint="eastAsia" w:ascii="方正仿宋简体" w:eastAsia="方正仿宋简体"/>
          <w:b/>
          <w:sz w:val="32"/>
          <w:szCs w:val="32"/>
        </w:rPr>
        <w:t>（五）本报告所列数据的统计期限自202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年1月1日起至202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年12月31日止。</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GFjNmE1YTFlNTM4NWY2YzA4ZTk2MmVlNmZkMjUifQ=="/>
  </w:docVars>
  <w:rsids>
    <w:rsidRoot w:val="68B90F56"/>
    <w:rsid w:val="00DF1D28"/>
    <w:rsid w:val="03F569C0"/>
    <w:rsid w:val="043B2EAD"/>
    <w:rsid w:val="045C7160"/>
    <w:rsid w:val="05140E06"/>
    <w:rsid w:val="05FB5E05"/>
    <w:rsid w:val="06F061D0"/>
    <w:rsid w:val="08E04023"/>
    <w:rsid w:val="095A5B83"/>
    <w:rsid w:val="0A3F6630"/>
    <w:rsid w:val="0CCE0D62"/>
    <w:rsid w:val="12EB5FD9"/>
    <w:rsid w:val="13914897"/>
    <w:rsid w:val="13E76BAD"/>
    <w:rsid w:val="14427FB5"/>
    <w:rsid w:val="15472187"/>
    <w:rsid w:val="168D3A3C"/>
    <w:rsid w:val="16FF7D6A"/>
    <w:rsid w:val="17B9667A"/>
    <w:rsid w:val="18023FB5"/>
    <w:rsid w:val="18493992"/>
    <w:rsid w:val="18BA663E"/>
    <w:rsid w:val="190873AA"/>
    <w:rsid w:val="1BAA1372"/>
    <w:rsid w:val="1C8A079B"/>
    <w:rsid w:val="1D28001A"/>
    <w:rsid w:val="1E5A0181"/>
    <w:rsid w:val="25BA5ED0"/>
    <w:rsid w:val="26371F98"/>
    <w:rsid w:val="26551754"/>
    <w:rsid w:val="26D92385"/>
    <w:rsid w:val="28BB61E6"/>
    <w:rsid w:val="2AA36F32"/>
    <w:rsid w:val="2AAD73A7"/>
    <w:rsid w:val="2ACF7D27"/>
    <w:rsid w:val="2B5D17D7"/>
    <w:rsid w:val="2BB33634"/>
    <w:rsid w:val="2BFB66F7"/>
    <w:rsid w:val="2FBB4D1E"/>
    <w:rsid w:val="306B5DA3"/>
    <w:rsid w:val="33C70135"/>
    <w:rsid w:val="340824FC"/>
    <w:rsid w:val="34735BC7"/>
    <w:rsid w:val="39CA501E"/>
    <w:rsid w:val="3A12378C"/>
    <w:rsid w:val="3ADB3D07"/>
    <w:rsid w:val="3BC90239"/>
    <w:rsid w:val="3CF5432C"/>
    <w:rsid w:val="3D136199"/>
    <w:rsid w:val="3D22462E"/>
    <w:rsid w:val="40774C91"/>
    <w:rsid w:val="40BC02D2"/>
    <w:rsid w:val="44D85184"/>
    <w:rsid w:val="47043A90"/>
    <w:rsid w:val="47972677"/>
    <w:rsid w:val="47EF7803"/>
    <w:rsid w:val="48D12A65"/>
    <w:rsid w:val="4A5B66D9"/>
    <w:rsid w:val="4E442F4C"/>
    <w:rsid w:val="50B05655"/>
    <w:rsid w:val="514566E6"/>
    <w:rsid w:val="5151508A"/>
    <w:rsid w:val="523429E2"/>
    <w:rsid w:val="53733096"/>
    <w:rsid w:val="547A48F8"/>
    <w:rsid w:val="55913CA7"/>
    <w:rsid w:val="55DA38A0"/>
    <w:rsid w:val="56F72230"/>
    <w:rsid w:val="570D1A54"/>
    <w:rsid w:val="5BB20470"/>
    <w:rsid w:val="5C9A5B38"/>
    <w:rsid w:val="5DCA244C"/>
    <w:rsid w:val="5E19016A"/>
    <w:rsid w:val="5E7F023D"/>
    <w:rsid w:val="5E916635"/>
    <w:rsid w:val="624520A2"/>
    <w:rsid w:val="63424833"/>
    <w:rsid w:val="64FA4960"/>
    <w:rsid w:val="656D1D02"/>
    <w:rsid w:val="658B0713"/>
    <w:rsid w:val="66CE6ED8"/>
    <w:rsid w:val="67C25F42"/>
    <w:rsid w:val="67DD4B2A"/>
    <w:rsid w:val="68B90F56"/>
    <w:rsid w:val="68D4658B"/>
    <w:rsid w:val="6B0913B5"/>
    <w:rsid w:val="6D7D4DE5"/>
    <w:rsid w:val="6D9263B7"/>
    <w:rsid w:val="6FEB71B9"/>
    <w:rsid w:val="70553DF8"/>
    <w:rsid w:val="70AB3BF8"/>
    <w:rsid w:val="72BB3CBA"/>
    <w:rsid w:val="74017DF2"/>
    <w:rsid w:val="77C02C2A"/>
    <w:rsid w:val="78F47F26"/>
    <w:rsid w:val="79667075"/>
    <w:rsid w:val="7D1B1F25"/>
    <w:rsid w:val="7EE8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16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160000" scaled="1"/>
                </a:gradFill>
              </a:ln>
              <a:effectLst/>
            </c:spPr>
          </c:dPt>
          <c:dPt>
            <c:idx val="6"/>
            <c:bubble3D val="0"/>
            <c:spPr>
              <a:gradFill>
                <a:gsLst>
                  <a:gs pos="0">
                    <a:schemeClr val="accent1">
                      <a:lumMod val="60000"/>
                      <a:hueOff val="-1670000"/>
                    </a:schemeClr>
                  </a:gs>
                  <a:gs pos="100000">
                    <a:schemeClr val="accent1">
                      <a:lumMod val="60000"/>
                    </a:schemeClr>
                  </a:gs>
                </a:gsLst>
                <a:lin ang="5400000" scaled="0"/>
              </a:gradFill>
              <a:ln>
                <a:gradFill>
                  <a:gsLst>
                    <a:gs pos="0">
                      <a:schemeClr val="accent1">
                        <a:lumMod val="60000"/>
                        <a:lumMod val="75000"/>
                        <a:hueOff val="-1670000"/>
                      </a:schemeClr>
                    </a:gs>
                    <a:gs pos="100000">
                      <a:schemeClr val="accent1">
                        <a:lumMod val="60000"/>
                        <a:lumMod val="75000"/>
                      </a:schemeClr>
                    </a:gs>
                  </a:gsLst>
                  <a:lin ang="5160000" scaled="1"/>
                </a:gradFill>
              </a:ln>
              <a:effectLst/>
            </c:spPr>
          </c:dPt>
          <c:dPt>
            <c:idx val="7"/>
            <c:bubble3D val="0"/>
            <c:spPr>
              <a:gradFill>
                <a:gsLst>
                  <a:gs pos="0">
                    <a:schemeClr val="accent2">
                      <a:lumMod val="60000"/>
                      <a:hueOff val="-1670000"/>
                    </a:schemeClr>
                  </a:gs>
                  <a:gs pos="100000">
                    <a:schemeClr val="accent2">
                      <a:lumMod val="60000"/>
                    </a:schemeClr>
                  </a:gs>
                </a:gsLst>
                <a:lin ang="5400000" scaled="0"/>
              </a:gradFill>
              <a:ln>
                <a:gradFill>
                  <a:gsLst>
                    <a:gs pos="0">
                      <a:schemeClr val="accent2">
                        <a:lumMod val="60000"/>
                        <a:lumMod val="75000"/>
                        <a:hueOff val="-1670000"/>
                      </a:schemeClr>
                    </a:gs>
                    <a:gs pos="100000">
                      <a:schemeClr val="accent2">
                        <a:lumMod val="60000"/>
                        <a:lumMod val="75000"/>
                      </a:schemeClr>
                    </a:gs>
                  </a:gsLst>
                  <a:lin ang="5160000" scaled="1"/>
                </a:gradFill>
              </a:ln>
              <a:effectLst/>
            </c:spPr>
          </c:dPt>
          <c:dPt>
            <c:idx val="8"/>
            <c:bubble3D val="0"/>
            <c:spPr>
              <a:gradFill>
                <a:gsLst>
                  <a:gs pos="0">
                    <a:schemeClr val="accent3">
                      <a:lumMod val="60000"/>
                      <a:hueOff val="-1670000"/>
                    </a:schemeClr>
                  </a:gs>
                  <a:gs pos="100000">
                    <a:schemeClr val="accent3">
                      <a:lumMod val="60000"/>
                    </a:schemeClr>
                  </a:gs>
                </a:gsLst>
                <a:lin ang="5400000" scaled="0"/>
              </a:gradFill>
              <a:ln>
                <a:gradFill>
                  <a:gsLst>
                    <a:gs pos="0">
                      <a:schemeClr val="accent3">
                        <a:lumMod val="60000"/>
                        <a:lumMod val="75000"/>
                        <a:hueOff val="-1670000"/>
                      </a:schemeClr>
                    </a:gs>
                    <a:gs pos="100000">
                      <a:schemeClr val="accent3">
                        <a:lumMod val="60000"/>
                        <a:lumMod val="75000"/>
                      </a:schemeClr>
                    </a:gs>
                  </a:gsLst>
                  <a:lin ang="5160000" scaled="1"/>
                </a:gradFill>
              </a:ln>
              <a:effectLst/>
            </c:spPr>
          </c:dPt>
          <c:dPt>
            <c:idx val="9"/>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160000" scaled="1"/>
                </a:gradFill>
              </a:ln>
              <a:effectLst/>
            </c:spPr>
          </c:dPt>
          <c:dPt>
            <c:idx val="10"/>
            <c:bubble3D val="0"/>
            <c:spPr>
              <a:gradFill>
                <a:gsLst>
                  <a:gs pos="0">
                    <a:schemeClr val="accent5">
                      <a:lumMod val="60000"/>
                      <a:hueOff val="-1670000"/>
                    </a:schemeClr>
                  </a:gs>
                  <a:gs pos="100000">
                    <a:schemeClr val="accent5">
                      <a:lumMod val="60000"/>
                    </a:schemeClr>
                  </a:gs>
                </a:gsLst>
                <a:lin ang="5400000" scaled="0"/>
              </a:gradFill>
              <a:ln>
                <a:gradFill>
                  <a:gsLst>
                    <a:gs pos="0">
                      <a:schemeClr val="accent5">
                        <a:lumMod val="60000"/>
                        <a:lumMod val="75000"/>
                        <a:hueOff val="-1670000"/>
                      </a:schemeClr>
                    </a:gs>
                    <a:gs pos="100000">
                      <a:schemeClr val="accent5">
                        <a:lumMod val="60000"/>
                        <a:lumMod val="75000"/>
                      </a:schemeClr>
                    </a:gs>
                  </a:gsLst>
                  <a:lin ang="5160000" scaled="1"/>
                </a:gradFill>
              </a:ln>
              <a:effectLst/>
            </c:spPr>
          </c:dPt>
          <c:dPt>
            <c:idx val="11"/>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16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Sheet1!$A$2:$A$13</c:f>
              <c:strCache>
                <c:ptCount val="12"/>
                <c:pt idx="0">
                  <c:v>新闻动态</c:v>
                </c:pt>
                <c:pt idx="1">
                  <c:v>政策文件</c:v>
                </c:pt>
                <c:pt idx="2">
                  <c:v>公告公示</c:v>
                </c:pt>
                <c:pt idx="3">
                  <c:v>计划总结</c:v>
                </c:pt>
                <c:pt idx="4">
                  <c:v>会议公开</c:v>
                </c:pt>
                <c:pt idx="5">
                  <c:v>行政权力</c:v>
                </c:pt>
                <c:pt idx="6">
                  <c:v>财政预算决算</c:v>
                </c:pt>
                <c:pt idx="7">
                  <c:v>应急管理</c:v>
                </c:pt>
                <c:pt idx="8">
                  <c:v>公共服务</c:v>
                </c:pt>
                <c:pt idx="9">
                  <c:v>行政权力运行公开</c:v>
                </c:pt>
                <c:pt idx="10">
                  <c:v>政务公开组织管理</c:v>
                </c:pt>
                <c:pt idx="11">
                  <c:v>政务公开基础建设</c:v>
                </c:pt>
              </c:strCache>
            </c:strRef>
          </c:cat>
          <c:val>
            <c:numRef>
              <c:f>Sheet1!$B$2:$B$13</c:f>
              <c:numCache>
                <c:formatCode>General</c:formatCode>
                <c:ptCount val="12"/>
                <c:pt idx="0">
                  <c:v>39</c:v>
                </c:pt>
                <c:pt idx="1">
                  <c:v>3</c:v>
                </c:pt>
                <c:pt idx="2">
                  <c:v>4</c:v>
                </c:pt>
                <c:pt idx="3">
                  <c:v>1</c:v>
                </c:pt>
                <c:pt idx="4">
                  <c:v>16</c:v>
                </c:pt>
                <c:pt idx="5">
                  <c:v>2</c:v>
                </c:pt>
                <c:pt idx="6">
                  <c:v>2</c:v>
                </c:pt>
                <c:pt idx="7">
                  <c:v>3</c:v>
                </c:pt>
                <c:pt idx="8">
                  <c:v>3</c:v>
                </c:pt>
                <c:pt idx="9">
                  <c:v>4</c:v>
                </c:pt>
                <c:pt idx="10">
                  <c:v>3</c:v>
                </c:pt>
                <c:pt idx="1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ff0830-5ff4-4087-bddc-f1a15870512b}"/>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579</Words>
  <Characters>614</Characters>
  <Lines>0</Lines>
  <Paragraphs>0</Paragraphs>
  <TotalTime>17</TotalTime>
  <ScaleCrop>false</ScaleCrop>
  <LinksUpToDate>false</LinksUpToDate>
  <CharactersWithSpaces>623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2023-01-15T08:04:00Z</dcterms:created>
  <dc:creator>Administrator</dc:creator>
  <cp:lastModifiedBy>tuaaut</cp:lastModifiedBy>
  <dcterms:modified xsi:type="dcterms:W3CDTF">2025-01-17T01:50:04Z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F123FC42030B415D8D83057A70D9A71D_13</vt:lpwstr>
  </property>
  <property fmtid="{D5CDD505-2E9C-101B-9397-08002B2CF9AE}" pid="4" name="KSOTemplateDocerSaveRecord">
    <vt:lpwstr>eyJoZGlkIjoiMjBjMGFjNmE1YTFlNTM4NWY2YzA4ZTk2MmVlNmZkMjUiLCJ1c2VySWQiOiI1OTU3MjQ5MjYifQ==</vt:lpwstr>
  </property>
</Properties>
</file>