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olors1.xml" ContentType="application/vnd.ms-office.chartcolorstyle+xml"/>
  <Override PartName="/word/charts/style1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2F60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军屯乡人民政府202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年政府信息公开工作年度报告</w:t>
      </w:r>
    </w:p>
    <w:p w14:paraId="0D0EA6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</w:p>
    <w:p w14:paraId="60C47D56">
      <w:pPr>
        <w:spacing w:line="590" w:lineRule="exact"/>
        <w:ind w:right="-105" w:rightChars="-50" w:firstLine="643" w:firstLineChars="200"/>
        <w:rPr>
          <w:rFonts w:hint="eastAsia" w:ascii="仿宋_GB2312" w:hAnsi="仿宋_GB2312" w:eastAsia="仿宋_GB2312" w:cs="仿宋_GB2312"/>
          <w:b/>
          <w:bCs w:val="0"/>
          <w:color w:val="00000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 w:val="0"/>
          <w:color w:val="000000"/>
          <w:sz w:val="32"/>
          <w:szCs w:val="32"/>
          <w:lang w:val="en-US" w:eastAsia="zh-CN" w:bidi="ar-SA"/>
        </w:rPr>
        <w:t>本报告由军屯乡人民政府按照《中华人民共和国政府信息公开条例》（以下简称《条例》）和《中华人民共和国政府信息公开工作年度报告格式》（国办公开办函〔2021〕30号）要求编制。</w:t>
      </w:r>
    </w:p>
    <w:p w14:paraId="03ACDF47">
      <w:pPr>
        <w:spacing w:line="590" w:lineRule="exact"/>
        <w:ind w:right="-105" w:rightChars="-50" w:firstLine="643" w:firstLineChars="200"/>
        <w:rPr>
          <w:rFonts w:hint="eastAsia" w:ascii="仿宋_GB2312" w:hAnsi="仿宋_GB2312" w:eastAsia="仿宋_GB2312" w:cs="仿宋_GB2312"/>
          <w:b/>
          <w:bCs w:val="0"/>
          <w:color w:val="00000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 w:val="0"/>
          <w:color w:val="000000"/>
          <w:sz w:val="32"/>
          <w:szCs w:val="32"/>
          <w:lang w:val="en-US" w:eastAsia="zh-CN" w:bidi="ar-SA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 w14:paraId="1A0DA698">
      <w:pPr>
        <w:spacing w:line="590" w:lineRule="exact"/>
        <w:ind w:right="-105" w:rightChars="-50" w:firstLine="643" w:firstLineChars="200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 w:val="0"/>
          <w:color w:val="000000"/>
          <w:sz w:val="32"/>
          <w:szCs w:val="32"/>
          <w:lang w:val="en-US" w:eastAsia="zh-CN" w:bidi="ar-SA"/>
        </w:rPr>
        <w:t>本报告所列数据的统计期限自2024年1月1日起至2024年12月31日止。本报告电子版可在“中国·汶上”政府门户网站（www.wenshang.gov.cn）查阅或下载。如对本报告有疑问，请与军屯乡人民政府党政办公室联系（地址：汶上县军屯乡经济开发区001号，联系电话：0537-7984101）。</w:t>
      </w:r>
    </w:p>
    <w:p w14:paraId="649B2C97">
      <w:pPr>
        <w:numPr>
          <w:ilvl w:val="0"/>
          <w:numId w:val="1"/>
        </w:numPr>
        <w:spacing w:line="590" w:lineRule="exact"/>
        <w:ind w:right="-105" w:rightChars="-50" w:firstLine="640" w:firstLineChars="200"/>
        <w:rPr>
          <w:rFonts w:hint="eastAsia" w:ascii="微软雅黑" w:eastAsia="微软雅黑"/>
          <w:b/>
          <w:color w:val="000000"/>
          <w:sz w:val="32"/>
          <w:szCs w:val="32"/>
        </w:rPr>
      </w:pPr>
      <w:r>
        <w:rPr>
          <w:rFonts w:hint="eastAsia" w:ascii="微软雅黑" w:eastAsia="微软雅黑"/>
          <w:b/>
          <w:color w:val="000000"/>
          <w:sz w:val="32"/>
          <w:szCs w:val="32"/>
        </w:rPr>
        <w:t>总体情况</w:t>
      </w:r>
    </w:p>
    <w:p w14:paraId="4B063A98">
      <w:pPr>
        <w:spacing w:line="590" w:lineRule="exact"/>
        <w:ind w:right="-105" w:rightChars="-50" w:firstLine="643" w:firstLineChars="200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 w:val="0"/>
          <w:color w:val="000000"/>
          <w:sz w:val="32"/>
          <w:szCs w:val="32"/>
          <w:lang w:val="en-US" w:eastAsia="zh-CN" w:bidi="ar-SA"/>
        </w:rPr>
        <w:t>2024年，在县委、县政府的正确领导下，军屯乡高度重视乡政府政务公开工作，认真贯彻落实《政府信息公开条例》及省、市、县有关要求，紧紧围绕乡党委、政府工作部署，不断完善公开制度，强化公开内容，规范公开流程，严格公开监督，全年通过政府网站公开政府信息数</w:t>
      </w: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highlight w:val="none"/>
          <w:lang w:val="en-US" w:eastAsia="zh-CN" w:bidi="ar-SA"/>
        </w:rPr>
        <w:t>49</w:t>
      </w:r>
      <w:r>
        <w:rPr>
          <w:rFonts w:hint="eastAsia" w:ascii="仿宋_GB2312" w:hAnsi="仿宋_GB2312" w:eastAsia="仿宋_GB2312" w:cs="仿宋_GB2312"/>
          <w:b/>
          <w:bCs w:val="0"/>
          <w:color w:val="000000"/>
          <w:sz w:val="32"/>
          <w:szCs w:val="32"/>
          <w:lang w:val="en-US" w:eastAsia="zh-CN" w:bidi="ar-SA"/>
        </w:rPr>
        <w:t>条。截止2024年底，我乡政务信息公开工作运行正常。</w:t>
      </w:r>
    </w:p>
    <w:p w14:paraId="42A77441">
      <w:pPr>
        <w:spacing w:line="590" w:lineRule="exact"/>
        <w:ind w:right="-105" w:rightChars="-50" w:firstLine="643" w:firstLineChars="200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</w:pPr>
      <w:r>
        <w:rPr>
          <w:rFonts w:hint="eastAsia" w:ascii="方正楷体简体" w:eastAsia="方正楷体简体"/>
          <w:b/>
          <w:color w:val="000000"/>
          <w:sz w:val="32"/>
          <w:szCs w:val="32"/>
        </w:rPr>
        <w:t>（一）主动公开情况</w:t>
      </w:r>
    </w:p>
    <w:p w14:paraId="5F0AEA1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-105" w:rightChars="-50" w:firstLine="643" w:firstLineChars="200"/>
        <w:textAlignment w:val="auto"/>
        <w:rPr>
          <w:rFonts w:hint="eastAsia" w:ascii="仿宋_GB2312" w:hAnsi="仿宋_GB2312" w:eastAsia="仿宋_GB2312" w:cs="仿宋_GB2312"/>
          <w:b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color w:val="00000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 w:val="0"/>
          <w:color w:val="000000"/>
          <w:sz w:val="32"/>
          <w:szCs w:val="32"/>
          <w:highlight w:val="none"/>
        </w:rPr>
        <w:t>通过政府信息公开网主动公开政府信息</w:t>
      </w:r>
      <w:r>
        <w:rPr>
          <w:rFonts w:hint="eastAsia" w:ascii="仿宋_GB2312" w:hAnsi="仿宋_GB2312" w:eastAsia="仿宋_GB2312" w:cs="仿宋_GB2312"/>
          <w:b/>
          <w:bCs w:val="0"/>
          <w:color w:val="000000"/>
          <w:sz w:val="32"/>
          <w:szCs w:val="32"/>
          <w:highlight w:val="none"/>
          <w:lang w:val="en-US" w:eastAsia="zh-CN"/>
        </w:rPr>
        <w:t>49</w:t>
      </w:r>
      <w:r>
        <w:rPr>
          <w:rFonts w:hint="eastAsia" w:ascii="仿宋_GB2312" w:hAnsi="仿宋_GB2312" w:eastAsia="仿宋_GB2312" w:cs="仿宋_GB2312"/>
          <w:b/>
          <w:bCs w:val="0"/>
          <w:color w:val="000000"/>
          <w:sz w:val="32"/>
          <w:szCs w:val="32"/>
          <w:highlight w:val="none"/>
        </w:rPr>
        <w:t>条</w:t>
      </w:r>
      <w:r>
        <w:rPr>
          <w:rFonts w:hint="eastAsia" w:ascii="仿宋_GB2312" w:hAnsi="仿宋_GB2312" w:eastAsia="仿宋_GB2312" w:cs="仿宋_GB2312"/>
          <w:b/>
          <w:bCs w:val="0"/>
          <w:color w:val="00000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/>
          <w:bCs w:val="0"/>
          <w:color w:val="000000"/>
          <w:sz w:val="32"/>
          <w:szCs w:val="32"/>
          <w:highlight w:val="none"/>
          <w:lang w:val="en-US" w:eastAsia="zh-CN"/>
        </w:rPr>
        <w:t>其中乡镇动态13条；会议公开1条；政策文件公开1条;政策解读1条；行政权力公开13条；公告公示1条，规划计划2条；财政预算决算公开2条；政务公开组织管理6条；其他法定主动公开内容2条；政务公开基础建设2条；政府信息公开指南1条；年报图解1条；应急管理2条；机构职能1条。</w:t>
      </w:r>
    </w:p>
    <w:p w14:paraId="21EE846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64770</wp:posOffset>
            </wp:positionV>
            <wp:extent cx="6073775" cy="6208395"/>
            <wp:effectExtent l="0" t="0" r="3175" b="1905"/>
            <wp:wrapSquare wrapText="bothSides"/>
            <wp:docPr id="3" name="图表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anchor>
        </w:drawing>
      </w:r>
    </w:p>
    <w:p w14:paraId="4179B0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</w:pPr>
      <w:r>
        <w:drawing>
          <wp:inline distT="0" distB="0" distL="114300" distR="114300">
            <wp:extent cx="5270500" cy="6045835"/>
            <wp:effectExtent l="0" t="0" r="6350" b="1206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045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F56388">
      <w:pPr>
        <w:spacing w:line="240" w:lineRule="auto"/>
        <w:ind w:right="-105" w:rightChars="-50" w:firstLine="643" w:firstLineChars="200"/>
        <w:jc w:val="both"/>
        <w:rPr>
          <w:rFonts w:hint="eastAsia" w:ascii="仿宋_GB2312" w:hAnsi="仿宋_GB2312" w:eastAsia="仿宋_GB2312" w:cs="仿宋_GB2312"/>
          <w:b/>
          <w:bCs w:val="0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 w:val="0"/>
          <w:color w:val="000000"/>
          <w:sz w:val="32"/>
          <w:szCs w:val="32"/>
        </w:rPr>
        <w:t>2.主动公开政府信息的主要类别</w:t>
      </w:r>
    </w:p>
    <w:p w14:paraId="57F84E6D">
      <w:pPr>
        <w:spacing w:line="590" w:lineRule="exact"/>
        <w:ind w:right="-105" w:rightChars="-50" w:firstLine="643" w:firstLineChars="200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 w:val="0"/>
          <w:color w:val="000000"/>
          <w:sz w:val="32"/>
          <w:szCs w:val="32"/>
          <w:lang w:val="en-US" w:eastAsia="zh-CN"/>
        </w:rPr>
        <w:t>军屯乡</w:t>
      </w:r>
      <w:r>
        <w:rPr>
          <w:rFonts w:hint="eastAsia" w:ascii="仿宋_GB2312" w:hAnsi="仿宋_GB2312" w:eastAsia="仿宋_GB2312" w:cs="仿宋_GB2312"/>
          <w:b/>
          <w:bCs w:val="0"/>
          <w:color w:val="000000"/>
          <w:sz w:val="32"/>
          <w:szCs w:val="32"/>
        </w:rPr>
        <w:t>主动公开政务文件及工作动态信息的类别主要包括：</w:t>
      </w:r>
      <w:r>
        <w:rPr>
          <w:rFonts w:hint="eastAsia" w:ascii="仿宋_GB2312" w:hAnsi="仿宋_GB2312" w:eastAsia="仿宋_GB2312" w:cs="仿宋_GB2312"/>
          <w:b/>
          <w:bCs w:val="0"/>
          <w:color w:val="000000"/>
          <w:sz w:val="32"/>
          <w:szCs w:val="32"/>
          <w:lang w:val="en-US" w:eastAsia="zh-CN"/>
        </w:rPr>
        <w:t>乡镇动态、会议公开类、政策文件</w:t>
      </w:r>
      <w:r>
        <w:rPr>
          <w:rFonts w:hint="eastAsia" w:ascii="仿宋_GB2312" w:hAnsi="仿宋_GB2312" w:eastAsia="仿宋_GB2312" w:cs="仿宋_GB2312"/>
          <w:b/>
          <w:bCs w:val="0"/>
          <w:color w:val="000000"/>
          <w:sz w:val="32"/>
          <w:szCs w:val="32"/>
        </w:rPr>
        <w:t>类、行政权力运行公开类、</w:t>
      </w:r>
      <w:r>
        <w:rPr>
          <w:rFonts w:hint="eastAsia" w:ascii="仿宋_GB2312" w:hAnsi="仿宋_GB2312" w:eastAsia="仿宋_GB2312" w:cs="仿宋_GB2312"/>
          <w:b/>
          <w:bCs w:val="0"/>
          <w:color w:val="000000"/>
          <w:sz w:val="32"/>
          <w:szCs w:val="32"/>
          <w:highlight w:val="none"/>
          <w:lang w:val="en-US" w:eastAsia="zh-CN"/>
        </w:rPr>
        <w:t>财政预算决算</w:t>
      </w:r>
      <w:r>
        <w:rPr>
          <w:rFonts w:hint="eastAsia" w:ascii="仿宋_GB2312" w:hAnsi="仿宋_GB2312" w:eastAsia="仿宋_GB2312" w:cs="仿宋_GB2312"/>
          <w:b/>
          <w:bCs w:val="0"/>
          <w:color w:val="000000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b/>
          <w:bCs w:val="0"/>
          <w:color w:val="000000"/>
          <w:sz w:val="32"/>
          <w:szCs w:val="32"/>
          <w:lang w:val="en-US" w:eastAsia="zh-CN"/>
        </w:rPr>
        <w:t>政务公开组织管理类、政务公开基础建设类等</w:t>
      </w:r>
      <w:r>
        <w:rPr>
          <w:rFonts w:hint="eastAsia" w:ascii="仿宋_GB2312" w:hAnsi="仿宋_GB2312" w:eastAsia="仿宋_GB2312" w:cs="仿宋_GB2312"/>
          <w:b/>
          <w:bCs w:val="0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/>
          <w:bCs w:val="0"/>
          <w:color w:val="000000"/>
          <w:sz w:val="32"/>
          <w:szCs w:val="32"/>
          <w:lang w:val="en-US" w:eastAsia="zh-CN"/>
        </w:rPr>
        <w:t>并对以上文件进行解读</w:t>
      </w:r>
      <w:r>
        <w:rPr>
          <w:rFonts w:hint="eastAsia" w:ascii="仿宋_GB2312" w:hAnsi="仿宋_GB2312" w:eastAsia="仿宋_GB2312" w:cs="仿宋_GB2312"/>
          <w:b/>
          <w:bCs w:val="0"/>
          <w:color w:val="000000"/>
          <w:sz w:val="32"/>
          <w:szCs w:val="32"/>
        </w:rPr>
        <w:t>。</w:t>
      </w:r>
    </w:p>
    <w:p w14:paraId="7A7018D5">
      <w:pPr>
        <w:spacing w:line="590" w:lineRule="exact"/>
        <w:ind w:right="-105" w:rightChars="-50" w:firstLine="643" w:firstLineChars="200"/>
        <w:rPr>
          <w:rFonts w:ascii="方正楷体简体" w:eastAsia="方正楷体简体"/>
          <w:b/>
          <w:color w:val="000000"/>
          <w:sz w:val="32"/>
          <w:szCs w:val="32"/>
        </w:rPr>
      </w:pPr>
      <w:r>
        <w:rPr>
          <w:rFonts w:hint="eastAsia" w:ascii="方正楷体简体" w:eastAsia="方正楷体简体"/>
          <w:b/>
          <w:color w:val="000000"/>
          <w:sz w:val="32"/>
          <w:szCs w:val="32"/>
        </w:rPr>
        <w:t>（二）依申请公开情况</w:t>
      </w:r>
    </w:p>
    <w:p w14:paraId="329F9CC5">
      <w:pPr>
        <w:spacing w:line="590" w:lineRule="exact"/>
        <w:ind w:right="-105" w:rightChars="-50" w:firstLine="643" w:firstLineChars="200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 w:val="0"/>
          <w:color w:val="000000"/>
          <w:sz w:val="32"/>
          <w:szCs w:val="32"/>
        </w:rPr>
        <w:t>我</w:t>
      </w:r>
      <w:r>
        <w:rPr>
          <w:rFonts w:hint="eastAsia" w:ascii="仿宋_GB2312" w:hAnsi="仿宋_GB2312" w:eastAsia="仿宋_GB2312" w:cs="仿宋_GB2312"/>
          <w:b/>
          <w:bCs w:val="0"/>
          <w:color w:val="000000"/>
          <w:sz w:val="32"/>
          <w:szCs w:val="32"/>
          <w:lang w:val="en-US" w:eastAsia="zh-CN"/>
        </w:rPr>
        <w:t>乡</w:t>
      </w:r>
      <w:r>
        <w:rPr>
          <w:rFonts w:hint="eastAsia" w:ascii="仿宋_GB2312" w:hAnsi="仿宋_GB2312" w:eastAsia="仿宋_GB2312" w:cs="仿宋_GB2312"/>
          <w:b/>
          <w:bCs w:val="0"/>
          <w:color w:val="000000"/>
          <w:sz w:val="32"/>
          <w:szCs w:val="32"/>
        </w:rPr>
        <w:t>进一步完善政府信息公开申请登记、审核、办理、答复、归档等工作制度。202</w:t>
      </w:r>
      <w:r>
        <w:rPr>
          <w:rFonts w:hint="eastAsia" w:ascii="仿宋_GB2312" w:hAnsi="仿宋_GB2312" w:eastAsia="仿宋_GB2312" w:cs="仿宋_GB2312"/>
          <w:b/>
          <w:bCs w:val="0"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/>
          <w:bCs w:val="0"/>
          <w:color w:val="000000"/>
          <w:sz w:val="32"/>
          <w:szCs w:val="32"/>
        </w:rPr>
        <w:t>年度，</w:t>
      </w:r>
      <w:r>
        <w:rPr>
          <w:rFonts w:hint="eastAsia" w:ascii="仿宋_GB2312" w:hAnsi="仿宋_GB2312" w:eastAsia="仿宋_GB2312" w:cs="仿宋_GB2312"/>
          <w:b/>
          <w:bCs w:val="0"/>
          <w:color w:val="000000"/>
          <w:sz w:val="32"/>
          <w:szCs w:val="32"/>
          <w:highlight w:val="none"/>
        </w:rPr>
        <w:t>我</w:t>
      </w:r>
      <w:r>
        <w:rPr>
          <w:rFonts w:hint="eastAsia" w:ascii="仿宋_GB2312" w:hAnsi="仿宋_GB2312" w:eastAsia="仿宋_GB2312" w:cs="仿宋_GB2312"/>
          <w:b/>
          <w:bCs w:val="0"/>
          <w:color w:val="000000"/>
          <w:sz w:val="32"/>
          <w:szCs w:val="32"/>
          <w:highlight w:val="none"/>
          <w:lang w:val="en-US" w:eastAsia="zh-CN"/>
        </w:rPr>
        <w:t>乡</w:t>
      </w:r>
      <w:r>
        <w:rPr>
          <w:rFonts w:hint="eastAsia" w:ascii="仿宋_GB2312" w:hAnsi="仿宋_GB2312" w:eastAsia="仿宋_GB2312" w:cs="仿宋_GB2312"/>
          <w:b/>
          <w:bCs w:val="0"/>
          <w:color w:val="000000"/>
          <w:sz w:val="32"/>
          <w:szCs w:val="32"/>
          <w:highlight w:val="none"/>
        </w:rPr>
        <w:t>未收到依申请公开申请</w:t>
      </w:r>
      <w:r>
        <w:rPr>
          <w:rFonts w:hint="eastAsia" w:ascii="仿宋_GB2312" w:hAnsi="仿宋_GB2312" w:eastAsia="仿宋_GB2312" w:cs="仿宋_GB2312"/>
          <w:b/>
          <w:bCs w:val="0"/>
          <w:color w:val="000000"/>
          <w:sz w:val="32"/>
          <w:szCs w:val="32"/>
        </w:rPr>
        <w:t>。</w:t>
      </w:r>
    </w:p>
    <w:p w14:paraId="6D1F48F4">
      <w:pPr>
        <w:spacing w:line="590" w:lineRule="exact"/>
        <w:ind w:right="-105" w:rightChars="-50" w:firstLine="643" w:firstLineChars="200"/>
        <w:rPr>
          <w:rFonts w:ascii="方正楷体简体" w:eastAsia="方正楷体简体"/>
          <w:b/>
          <w:color w:val="000000"/>
          <w:sz w:val="32"/>
          <w:szCs w:val="32"/>
        </w:rPr>
      </w:pPr>
      <w:r>
        <w:rPr>
          <w:rFonts w:hint="eastAsia" w:ascii="方正楷体简体" w:eastAsia="方正楷体简体"/>
          <w:b/>
          <w:color w:val="000000"/>
          <w:sz w:val="32"/>
          <w:szCs w:val="32"/>
        </w:rPr>
        <w:t>（三）政府信息管理情况</w:t>
      </w:r>
    </w:p>
    <w:p w14:paraId="0706994C">
      <w:pPr>
        <w:spacing w:line="590" w:lineRule="exact"/>
        <w:ind w:right="-105" w:rightChars="-50" w:firstLine="643" w:firstLineChars="200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 w:val="0"/>
          <w:color w:val="000000"/>
          <w:sz w:val="32"/>
          <w:szCs w:val="32"/>
          <w:lang w:val="en-US" w:eastAsia="zh-CN" w:bidi="ar-SA"/>
        </w:rPr>
        <w:t>一是系统性地开展了全领域政务信息梳理工作，制定政务公开标准目录，清晰界定公开主题范畴、具体内容以及时效要求，确保分类科学合理，标准严谨规范。二是加强政务公开信息公示的制度化与规范化建设，着重提升重大决策及重要工作部署的执行落实情况的透明度，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 w:val="0"/>
          <w:color w:val="000000"/>
          <w:sz w:val="32"/>
          <w:szCs w:val="32"/>
          <w:lang w:val="en-US" w:eastAsia="zh-CN" w:bidi="ar-SA"/>
        </w:rPr>
        <w:t>保障社会各界人士的知情权、参与机会以及监督权益。</w:t>
      </w:r>
    </w:p>
    <w:p w14:paraId="319AEE61">
      <w:pPr>
        <w:spacing w:line="590" w:lineRule="exact"/>
        <w:ind w:right="-105" w:rightChars="-50" w:firstLine="643" w:firstLineChars="200"/>
        <w:rPr>
          <w:rFonts w:ascii="方正楷体简体" w:eastAsia="方正楷体简体"/>
          <w:b/>
          <w:color w:val="000000"/>
          <w:sz w:val="32"/>
          <w:szCs w:val="32"/>
        </w:rPr>
      </w:pPr>
      <w:r>
        <w:rPr>
          <w:rFonts w:hint="eastAsia" w:ascii="方正楷体简体" w:eastAsia="方正楷体简体"/>
          <w:b/>
          <w:color w:val="000000"/>
          <w:sz w:val="32"/>
          <w:szCs w:val="32"/>
        </w:rPr>
        <w:t>（四）政府信息公开平台建设情况</w:t>
      </w:r>
    </w:p>
    <w:p w14:paraId="540B586E">
      <w:pPr>
        <w:spacing w:line="590" w:lineRule="exact"/>
        <w:ind w:right="-105" w:rightChars="-50" w:firstLine="643" w:firstLineChars="200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 w:val="0"/>
          <w:color w:val="000000"/>
          <w:sz w:val="32"/>
          <w:szCs w:val="32"/>
        </w:rPr>
        <w:t>严格按照上级部门的要求，</w:t>
      </w:r>
      <w:r>
        <w:rPr>
          <w:rFonts w:hint="eastAsia" w:ascii="仿宋_GB2312" w:hAnsi="仿宋_GB2312" w:eastAsia="仿宋_GB2312" w:cs="仿宋_GB2312"/>
          <w:b/>
          <w:bCs w:val="0"/>
          <w:color w:val="000000"/>
          <w:sz w:val="32"/>
          <w:szCs w:val="32"/>
          <w:lang w:val="en-US" w:eastAsia="zh-CN"/>
        </w:rPr>
        <w:t>及时调整完善军屯乡政务</w:t>
      </w:r>
      <w:r>
        <w:rPr>
          <w:rFonts w:hint="eastAsia" w:ascii="仿宋_GB2312" w:hAnsi="仿宋_GB2312" w:eastAsia="仿宋_GB2312" w:cs="仿宋_GB2312"/>
          <w:b/>
          <w:bCs w:val="0"/>
          <w:color w:val="000000"/>
          <w:sz w:val="32"/>
          <w:szCs w:val="32"/>
        </w:rPr>
        <w:t>信息公开</w:t>
      </w:r>
      <w:r>
        <w:rPr>
          <w:rFonts w:hint="eastAsia" w:ascii="仿宋_GB2312" w:hAnsi="仿宋_GB2312" w:eastAsia="仿宋_GB2312" w:cs="仿宋_GB2312"/>
          <w:b/>
          <w:bCs w:val="0"/>
          <w:color w:val="000000"/>
          <w:sz w:val="32"/>
          <w:szCs w:val="32"/>
          <w:lang w:val="en-US" w:eastAsia="zh-CN"/>
        </w:rPr>
        <w:t>办公室架构</w:t>
      </w:r>
      <w:r>
        <w:rPr>
          <w:rFonts w:hint="eastAsia" w:ascii="仿宋_GB2312" w:hAnsi="仿宋_GB2312" w:eastAsia="仿宋_GB2312" w:cs="仿宋_GB2312"/>
          <w:b/>
          <w:bCs w:val="0"/>
          <w:color w:val="000000"/>
          <w:sz w:val="32"/>
          <w:szCs w:val="32"/>
        </w:rPr>
        <w:t>，安排专人负责政务信息公开工作。线下政务公开平台建设不断完善办事窗口软硬件设施，设置自助服务区、咨询等候区，配备自助电脑、打印机、茶水等，提升便民服务效能。</w:t>
      </w:r>
    </w:p>
    <w:p w14:paraId="57611BC1">
      <w:pPr>
        <w:numPr>
          <w:ilvl w:val="0"/>
          <w:numId w:val="2"/>
        </w:numPr>
        <w:spacing w:line="590" w:lineRule="exact"/>
        <w:ind w:right="-105" w:rightChars="-50" w:firstLine="643" w:firstLineChars="200"/>
        <w:rPr>
          <w:rFonts w:hint="eastAsia" w:ascii="方正楷体简体" w:eastAsia="方正楷体简体"/>
          <w:b/>
          <w:color w:val="000000"/>
          <w:sz w:val="32"/>
          <w:szCs w:val="32"/>
        </w:rPr>
      </w:pPr>
      <w:r>
        <w:rPr>
          <w:rFonts w:hint="eastAsia" w:ascii="方正楷体简体" w:eastAsia="方正楷体简体"/>
          <w:b/>
          <w:color w:val="000000"/>
          <w:sz w:val="32"/>
          <w:szCs w:val="32"/>
        </w:rPr>
        <w:t>监督保障情况</w:t>
      </w:r>
    </w:p>
    <w:p w14:paraId="4234B4F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420"/>
        <w:jc w:val="left"/>
        <w:rPr>
          <w:rFonts w:hint="eastAsia" w:ascii="仿宋_GB2312" w:hAnsi="仿宋_GB2312" w:eastAsia="仿宋_GB2312" w:cs="仿宋_GB2312"/>
          <w:b w:val="0"/>
          <w:bCs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 w:val="0"/>
          <w:color w:val="000000"/>
          <w:kern w:val="2"/>
          <w:sz w:val="32"/>
          <w:szCs w:val="32"/>
          <w:lang w:val="en-US" w:eastAsia="zh-CN" w:bidi="ar-SA"/>
        </w:rPr>
        <w:t>一是，强化组织领导。成立由乡镇长亲自挂帅的政务公开工作领导小组，明确由镇党政办公室负责日常的组织协调、指导推进及监督监察工作，确保政务公开工作得以高效有序开展。二是完善监督机制。采取自查与他查相结合的方式，不断提升政府信息公开的质量，并对出现的问题，明确各部门的主体责任，即知即改，确保问题及时解决。三是加强培训与学习。定期组织政务信息公开专业培训，旨在提高部门政务公开意识，严格遵循上级关于政务公开的相关规定，防止失泄密事件发生，推动政府信息公开工作向制度化、规范化发展。</w:t>
      </w:r>
    </w:p>
    <w:p w14:paraId="6F461CA4">
      <w:pPr>
        <w:spacing w:line="590" w:lineRule="exact"/>
        <w:ind w:right="-105" w:rightChars="-50" w:firstLine="640" w:firstLineChars="200"/>
        <w:rPr>
          <w:rFonts w:hint="eastAsia" w:ascii="微软雅黑" w:eastAsia="微软雅黑"/>
          <w:b/>
          <w:color w:val="000000"/>
          <w:sz w:val="32"/>
          <w:szCs w:val="32"/>
        </w:rPr>
      </w:pPr>
      <w:r>
        <w:rPr>
          <w:rFonts w:hint="eastAsia" w:ascii="微软雅黑" w:eastAsia="微软雅黑"/>
          <w:b/>
          <w:color w:val="000000"/>
          <w:sz w:val="32"/>
          <w:szCs w:val="32"/>
        </w:rPr>
        <w:t>二、主动公开政府信息情况</w:t>
      </w:r>
    </w:p>
    <w:tbl>
      <w:tblPr>
        <w:tblStyle w:val="4"/>
        <w:tblW w:w="87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133"/>
        <w:gridCol w:w="2216"/>
        <w:gridCol w:w="1989"/>
      </w:tblGrid>
      <w:tr w14:paraId="17D1C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545972E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宋体" w:eastAsia="仿宋" w:cs="宋体"/>
                <w:b/>
                <w:sz w:val="24"/>
                <w:szCs w:val="24"/>
                <w:lang w:bidi="ar"/>
              </w:rPr>
              <w:t>第二十条第（一）项</w:t>
            </w:r>
          </w:p>
        </w:tc>
      </w:tr>
      <w:tr w14:paraId="38876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2F030D8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微软雅黑" w:eastAsia="微软雅黑"/>
                <w:b/>
                <w:sz w:val="24"/>
                <w:szCs w:val="24"/>
              </w:rPr>
            </w:pPr>
            <w:r>
              <w:rPr>
                <w:rFonts w:hint="eastAsia" w:ascii="微软雅黑" w:hAnsi="宋体" w:eastAsia="微软雅黑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7DA8147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微软雅黑" w:eastAsia="微软雅黑"/>
                <w:b/>
                <w:sz w:val="24"/>
                <w:szCs w:val="24"/>
              </w:rPr>
            </w:pPr>
            <w:r>
              <w:rPr>
                <w:rFonts w:hint="eastAsia" w:ascii="微软雅黑" w:hAnsi="宋体" w:eastAsia="微软雅黑" w:cs="宋体"/>
                <w:b/>
                <w:sz w:val="24"/>
                <w:szCs w:val="24"/>
                <w:lang w:bidi="ar"/>
              </w:rPr>
              <w:t>本年制发件数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4CB4D1A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微软雅黑" w:eastAsia="微软雅黑"/>
                <w:b/>
                <w:sz w:val="24"/>
                <w:szCs w:val="24"/>
              </w:rPr>
            </w:pPr>
            <w:r>
              <w:rPr>
                <w:rFonts w:hint="eastAsia" w:ascii="微软雅黑" w:hAnsi="宋体" w:eastAsia="微软雅黑" w:cs="宋体"/>
                <w:b/>
                <w:sz w:val="24"/>
                <w:szCs w:val="24"/>
                <w:lang w:bidi="ar"/>
              </w:rPr>
              <w:t>本年废止件数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45109DE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微软雅黑" w:eastAsia="微软雅黑"/>
                <w:b/>
                <w:sz w:val="24"/>
                <w:szCs w:val="24"/>
              </w:rPr>
            </w:pPr>
            <w:r>
              <w:rPr>
                <w:rFonts w:hint="eastAsia" w:ascii="微软雅黑" w:hAnsi="宋体" w:eastAsia="微软雅黑" w:cs="宋体"/>
                <w:b/>
                <w:sz w:val="24"/>
                <w:szCs w:val="24"/>
                <w:lang w:bidi="ar"/>
              </w:rPr>
              <w:t>现行有效件数</w:t>
            </w:r>
          </w:p>
        </w:tc>
      </w:tr>
      <w:tr w14:paraId="57BE4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4DB6387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left"/>
              <w:rPr>
                <w:rFonts w:hint="default" w:ascii="微软雅黑" w:eastAsia="微软雅黑"/>
                <w:b/>
                <w:sz w:val="24"/>
                <w:szCs w:val="24"/>
              </w:rPr>
            </w:pPr>
            <w:r>
              <w:rPr>
                <w:rFonts w:hint="eastAsia" w:ascii="微软雅黑" w:hAnsi="宋体" w:eastAsia="微软雅黑" w:cs="宋体"/>
                <w:b/>
                <w:sz w:val="24"/>
                <w:szCs w:val="24"/>
                <w:lang w:bidi="ar"/>
              </w:rPr>
              <w:t>规章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1416499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eastAsia" w:ascii="微软雅黑" w:eastAsia="微软雅黑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宋体" w:eastAsia="微软雅黑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5F2EB6B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eastAsia" w:ascii="微软雅黑" w:eastAsia="微软雅黑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宋体" w:eastAsia="微软雅黑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1AC867C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eastAsia" w:ascii="微软雅黑" w:eastAsia="微软雅黑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Calibri" w:eastAsia="微软雅黑" w:cs="Calibri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17B60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699CD55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left"/>
              <w:rPr>
                <w:rFonts w:hint="default" w:ascii="微软雅黑" w:eastAsia="微软雅黑"/>
                <w:b/>
                <w:sz w:val="24"/>
                <w:szCs w:val="24"/>
              </w:rPr>
            </w:pPr>
            <w:r>
              <w:rPr>
                <w:rFonts w:hint="eastAsia" w:ascii="微软雅黑" w:hAnsi="宋体" w:eastAsia="微软雅黑" w:cs="宋体"/>
                <w:b/>
                <w:sz w:val="24"/>
                <w:szCs w:val="24"/>
                <w:lang w:bidi="ar"/>
              </w:rPr>
              <w:t>行政规范性文件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5936E49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微软雅黑" w:eastAsia="微软雅黑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宋体" w:eastAsia="微软雅黑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69BD897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eastAsia" w:ascii="微软雅黑" w:eastAsia="微软雅黑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宋体" w:eastAsia="微软雅黑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5FA087E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微软雅黑" w:eastAsia="微软雅黑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Calibri" w:eastAsia="微软雅黑" w:cs="Calibri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1D2A3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09BBE51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微软雅黑" w:eastAsia="微软雅黑"/>
                <w:b/>
                <w:sz w:val="24"/>
                <w:szCs w:val="24"/>
              </w:rPr>
            </w:pPr>
            <w:r>
              <w:rPr>
                <w:rFonts w:hint="eastAsia" w:ascii="仿宋" w:hAnsi="宋体" w:eastAsia="仿宋" w:cs="宋体"/>
                <w:b/>
                <w:sz w:val="24"/>
                <w:szCs w:val="24"/>
                <w:lang w:bidi="ar"/>
              </w:rPr>
              <w:t>第二十条第（五）项</w:t>
            </w:r>
          </w:p>
        </w:tc>
      </w:tr>
      <w:tr w14:paraId="1CB0B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5EA5899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微软雅黑" w:eastAsia="微软雅黑"/>
                <w:b/>
                <w:sz w:val="24"/>
                <w:szCs w:val="24"/>
              </w:rPr>
            </w:pPr>
            <w:r>
              <w:rPr>
                <w:rFonts w:hint="eastAsia" w:ascii="微软雅黑" w:hAnsi="宋体" w:eastAsia="微软雅黑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76F20C1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微软雅黑" w:eastAsia="微软雅黑"/>
                <w:b/>
                <w:sz w:val="24"/>
                <w:szCs w:val="24"/>
              </w:rPr>
            </w:pPr>
            <w:r>
              <w:rPr>
                <w:rFonts w:hint="eastAsia" w:ascii="微软雅黑" w:hAnsi="宋体" w:eastAsia="微软雅黑" w:cs="宋体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 w14:paraId="433B7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60F188D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left"/>
              <w:rPr>
                <w:rFonts w:hint="default" w:ascii="微软雅黑" w:eastAsia="微软雅黑"/>
                <w:b/>
                <w:sz w:val="24"/>
                <w:szCs w:val="24"/>
              </w:rPr>
            </w:pPr>
            <w:r>
              <w:rPr>
                <w:rFonts w:hint="eastAsia" w:ascii="微软雅黑" w:hAnsi="宋体" w:eastAsia="微软雅黑" w:cs="宋体"/>
                <w:b/>
                <w:sz w:val="24"/>
                <w:szCs w:val="24"/>
                <w:lang w:bidi="ar"/>
              </w:rPr>
              <w:t>行政许可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5C9E7C1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微软雅黑" w:eastAsia="微软雅黑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Calibri" w:eastAsia="微软雅黑" w:cs="Calibri"/>
                <w:b/>
                <w:sz w:val="24"/>
                <w:szCs w:val="24"/>
                <w:highlight w:val="none"/>
                <w:lang w:val="en-US" w:eastAsia="zh-CN" w:bidi="ar"/>
              </w:rPr>
              <w:t>57</w:t>
            </w:r>
          </w:p>
        </w:tc>
      </w:tr>
      <w:tr w14:paraId="7DDA7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4729744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微软雅黑" w:eastAsia="微软雅黑"/>
                <w:b/>
                <w:sz w:val="24"/>
                <w:szCs w:val="24"/>
              </w:rPr>
            </w:pPr>
            <w:r>
              <w:rPr>
                <w:rFonts w:hint="eastAsia" w:ascii="仿宋" w:hAnsi="宋体" w:eastAsia="仿宋" w:cs="宋体"/>
                <w:b/>
                <w:sz w:val="24"/>
                <w:szCs w:val="24"/>
                <w:lang w:bidi="ar"/>
              </w:rPr>
              <w:t>第二十条第（六）项</w:t>
            </w:r>
          </w:p>
        </w:tc>
      </w:tr>
      <w:tr w14:paraId="72660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040F333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微软雅黑" w:eastAsia="微软雅黑"/>
                <w:b/>
                <w:sz w:val="24"/>
                <w:szCs w:val="24"/>
              </w:rPr>
            </w:pPr>
            <w:r>
              <w:rPr>
                <w:rFonts w:hint="eastAsia" w:ascii="微软雅黑" w:hAnsi="宋体" w:eastAsia="微软雅黑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6BBD788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微软雅黑" w:eastAsia="微软雅黑"/>
                <w:b/>
                <w:sz w:val="24"/>
                <w:szCs w:val="24"/>
              </w:rPr>
            </w:pPr>
            <w:r>
              <w:rPr>
                <w:rFonts w:hint="eastAsia" w:ascii="微软雅黑" w:hAnsi="宋体" w:eastAsia="微软雅黑" w:cs="宋体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 w14:paraId="06C98C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578E1FA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left"/>
              <w:rPr>
                <w:rFonts w:hint="default" w:ascii="微软雅黑" w:eastAsia="微软雅黑"/>
                <w:b/>
                <w:sz w:val="24"/>
                <w:szCs w:val="24"/>
              </w:rPr>
            </w:pPr>
            <w:r>
              <w:rPr>
                <w:rFonts w:hint="eastAsia" w:ascii="微软雅黑" w:hAnsi="宋体" w:eastAsia="微软雅黑" w:cs="宋体"/>
                <w:b/>
                <w:sz w:val="24"/>
                <w:szCs w:val="24"/>
                <w:lang w:bidi="ar"/>
              </w:rPr>
              <w:t>行政处罚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5113CEB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eastAsia" w:ascii="微软雅黑" w:eastAsia="微软雅黑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宋体" w:eastAsia="微软雅黑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5A0A1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3B56583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left"/>
              <w:rPr>
                <w:rFonts w:hint="default" w:ascii="微软雅黑" w:eastAsia="微软雅黑"/>
                <w:b/>
                <w:sz w:val="24"/>
                <w:szCs w:val="24"/>
              </w:rPr>
            </w:pPr>
            <w:r>
              <w:rPr>
                <w:rFonts w:hint="eastAsia" w:ascii="微软雅黑" w:hAnsi="宋体" w:eastAsia="微软雅黑" w:cs="宋体"/>
                <w:b/>
                <w:sz w:val="24"/>
                <w:szCs w:val="24"/>
                <w:lang w:bidi="ar"/>
              </w:rPr>
              <w:t>行政强制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3C5915D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eastAsia" w:ascii="微软雅黑" w:eastAsia="微软雅黑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宋体" w:eastAsia="微软雅黑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6F61FB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34FE4B1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微软雅黑" w:eastAsia="微软雅黑"/>
                <w:b/>
                <w:sz w:val="24"/>
                <w:szCs w:val="24"/>
              </w:rPr>
            </w:pPr>
            <w:r>
              <w:rPr>
                <w:rFonts w:hint="eastAsia" w:ascii="仿宋" w:hAnsi="宋体" w:eastAsia="仿宋" w:cs="宋体"/>
                <w:b/>
                <w:sz w:val="24"/>
                <w:szCs w:val="24"/>
                <w:lang w:bidi="ar"/>
              </w:rPr>
              <w:t>第二十条第（八）项</w:t>
            </w:r>
          </w:p>
        </w:tc>
      </w:tr>
      <w:tr w14:paraId="4E0A9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79D7A43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微软雅黑" w:eastAsia="微软雅黑"/>
                <w:b/>
                <w:sz w:val="24"/>
                <w:szCs w:val="24"/>
              </w:rPr>
            </w:pPr>
            <w:r>
              <w:rPr>
                <w:rFonts w:hint="eastAsia" w:ascii="微软雅黑" w:hAnsi="宋体" w:eastAsia="微软雅黑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671722E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default" w:ascii="微软雅黑" w:eastAsia="微软雅黑"/>
                <w:b/>
                <w:sz w:val="24"/>
                <w:szCs w:val="24"/>
              </w:rPr>
            </w:pPr>
            <w:r>
              <w:rPr>
                <w:rFonts w:hint="eastAsia" w:ascii="微软雅黑" w:hAnsi="宋体" w:eastAsia="微软雅黑" w:cs="宋体"/>
                <w:b/>
                <w:sz w:val="24"/>
                <w:szCs w:val="24"/>
                <w:lang w:bidi="ar"/>
              </w:rPr>
              <w:t>本年收费金额（单位：万元）</w:t>
            </w:r>
          </w:p>
        </w:tc>
      </w:tr>
      <w:tr w14:paraId="02927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2F2F77A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0" w:right="0"/>
              <w:jc w:val="left"/>
              <w:rPr>
                <w:rFonts w:hint="default" w:ascii="微软雅黑" w:eastAsia="微软雅黑"/>
                <w:b/>
                <w:sz w:val="24"/>
                <w:szCs w:val="24"/>
              </w:rPr>
            </w:pPr>
            <w:r>
              <w:rPr>
                <w:rFonts w:hint="eastAsia" w:ascii="微软雅黑" w:hAnsi="宋体" w:eastAsia="微软雅黑" w:cs="宋体"/>
                <w:b/>
                <w:sz w:val="24"/>
                <w:szCs w:val="24"/>
                <w:lang w:bidi="ar"/>
              </w:rPr>
              <w:t>行政事业性收费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38BD5CF8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0" w:right="0"/>
              <w:jc w:val="center"/>
              <w:rPr>
                <w:rFonts w:hint="eastAsia" w:ascii="微软雅黑" w:eastAsia="微软雅黑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eastAsia="微软雅黑"/>
                <w:b/>
                <w:sz w:val="24"/>
                <w:szCs w:val="24"/>
                <w:lang w:val="en-US" w:eastAsia="zh-CN"/>
              </w:rPr>
              <w:t>0</w:t>
            </w:r>
          </w:p>
        </w:tc>
      </w:tr>
    </w:tbl>
    <w:p w14:paraId="6B51768F">
      <w:pPr>
        <w:numPr>
          <w:ilvl w:val="0"/>
          <w:numId w:val="0"/>
        </w:numPr>
        <w:spacing w:line="240" w:lineRule="auto"/>
        <w:ind w:right="-105" w:rightChars="-50" w:firstLine="640" w:firstLineChars="200"/>
        <w:jc w:val="left"/>
        <w:rPr>
          <w:rFonts w:hint="default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</w:pPr>
    </w:p>
    <w:p w14:paraId="637E4798">
      <w:pPr>
        <w:numPr>
          <w:ilvl w:val="0"/>
          <w:numId w:val="3"/>
        </w:numPr>
        <w:spacing w:before="62" w:beforeLines="10" w:after="62" w:afterLines="10" w:line="600" w:lineRule="exact"/>
        <w:ind w:firstLine="640" w:firstLineChars="200"/>
        <w:rPr>
          <w:rFonts w:hint="eastAsia" w:ascii="微软雅黑" w:eastAsia="微软雅黑"/>
          <w:b/>
          <w:sz w:val="32"/>
          <w:szCs w:val="32"/>
        </w:rPr>
      </w:pPr>
      <w:r>
        <w:rPr>
          <w:rFonts w:hint="eastAsia" w:ascii="微软雅黑" w:eastAsia="微软雅黑"/>
          <w:b/>
          <w:sz w:val="32"/>
          <w:szCs w:val="32"/>
        </w:rPr>
        <w:t>收到和处理政府信息公开申请情况</w:t>
      </w:r>
    </w:p>
    <w:tbl>
      <w:tblPr>
        <w:tblStyle w:val="4"/>
        <w:tblW w:w="8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 w14:paraId="3CC2A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56304DF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" w:eastAsia="仿宋"/>
                <w:b/>
                <w:sz w:val="21"/>
                <w:szCs w:val="21"/>
              </w:rPr>
            </w:pPr>
            <w:r>
              <w:rPr>
                <w:rFonts w:hint="eastAsia" w:ascii="仿宋" w:hAnsi="楷体" w:eastAsia="仿宋" w:cs="楷体"/>
                <w:b/>
                <w:sz w:val="21"/>
                <w:szCs w:val="21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229" w:type="dxa"/>
            <w:gridSpan w:val="7"/>
            <w:noWrap w:val="0"/>
            <w:tcMar>
              <w:left w:w="57" w:type="dxa"/>
              <w:right w:w="57" w:type="dxa"/>
            </w:tcMar>
            <w:vAlign w:val="center"/>
          </w:tcPr>
          <w:p w14:paraId="7366BE9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" w:eastAsia="仿宋"/>
                <w:b/>
                <w:sz w:val="21"/>
                <w:szCs w:val="21"/>
              </w:rPr>
            </w:pPr>
            <w:r>
              <w:rPr>
                <w:rFonts w:hint="eastAsia" w:ascii="仿宋" w:hAnsi="宋体" w:eastAsia="仿宋" w:cs="宋体"/>
                <w:b/>
                <w:sz w:val="21"/>
                <w:szCs w:val="21"/>
                <w:lang w:bidi="ar"/>
              </w:rPr>
              <w:t>申请人情况</w:t>
            </w:r>
          </w:p>
        </w:tc>
      </w:tr>
      <w:tr w14:paraId="75A8D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76CB4269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" w:eastAsia="仿宋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7BD745F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" w:eastAsia="仿宋"/>
                <w:b/>
                <w:sz w:val="21"/>
                <w:szCs w:val="21"/>
              </w:rPr>
            </w:pPr>
            <w:r>
              <w:rPr>
                <w:rFonts w:hint="eastAsia" w:ascii="仿宋" w:hAnsi="宋体" w:eastAsia="仿宋" w:cs="宋体"/>
                <w:b/>
                <w:sz w:val="21"/>
                <w:szCs w:val="21"/>
                <w:lang w:bidi="ar"/>
              </w:rPr>
              <w:t>自然人</w:t>
            </w:r>
          </w:p>
        </w:tc>
        <w:tc>
          <w:tcPr>
            <w:tcW w:w="2917" w:type="dxa"/>
            <w:gridSpan w:val="5"/>
            <w:noWrap w:val="0"/>
            <w:tcMar>
              <w:left w:w="57" w:type="dxa"/>
              <w:right w:w="57" w:type="dxa"/>
            </w:tcMar>
            <w:vAlign w:val="center"/>
          </w:tcPr>
          <w:p w14:paraId="45B9063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" w:eastAsia="仿宋"/>
                <w:b/>
                <w:sz w:val="21"/>
                <w:szCs w:val="21"/>
              </w:rPr>
            </w:pPr>
            <w:r>
              <w:rPr>
                <w:rFonts w:hint="eastAsia" w:ascii="仿宋" w:hAnsi="宋体" w:eastAsia="仿宋" w:cs="宋体"/>
                <w:b/>
                <w:sz w:val="21"/>
                <w:szCs w:val="21"/>
                <w:lang w:bidi="ar"/>
              </w:rPr>
              <w:t>法人或其他组织</w:t>
            </w:r>
          </w:p>
        </w:tc>
        <w:tc>
          <w:tcPr>
            <w:tcW w:w="521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2FDD04B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" w:eastAsia="仿宋"/>
                <w:b/>
                <w:sz w:val="21"/>
                <w:szCs w:val="21"/>
              </w:rPr>
            </w:pPr>
            <w:r>
              <w:rPr>
                <w:rFonts w:hint="eastAsia" w:ascii="仿宋" w:hAnsi="宋体" w:eastAsia="仿宋" w:cs="宋体"/>
                <w:b/>
                <w:sz w:val="21"/>
                <w:szCs w:val="21"/>
                <w:lang w:bidi="ar"/>
              </w:rPr>
              <w:t>总计</w:t>
            </w:r>
          </w:p>
        </w:tc>
      </w:tr>
      <w:tr w14:paraId="29F2E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57E1A70F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微软雅黑" w:eastAsia="微软雅黑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10C923DE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微软雅黑" w:eastAsia="微软雅黑"/>
                <w:b/>
                <w:sz w:val="21"/>
                <w:szCs w:val="21"/>
              </w:rPr>
            </w:pP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7BDEAEC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" w:eastAsia="仿宋"/>
                <w:b/>
                <w:sz w:val="21"/>
                <w:szCs w:val="21"/>
              </w:rPr>
            </w:pPr>
            <w:r>
              <w:rPr>
                <w:rFonts w:hint="eastAsia" w:ascii="仿宋" w:hAnsi="宋体" w:eastAsia="仿宋" w:cs="宋体"/>
                <w:b/>
                <w:sz w:val="21"/>
                <w:szCs w:val="21"/>
                <w:lang w:bidi="ar"/>
              </w:rPr>
              <w:t>商业</w:t>
            </w:r>
          </w:p>
          <w:p w14:paraId="6108903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" w:eastAsia="仿宋"/>
                <w:b/>
                <w:sz w:val="21"/>
                <w:szCs w:val="21"/>
              </w:rPr>
            </w:pPr>
            <w:r>
              <w:rPr>
                <w:rFonts w:hint="eastAsia" w:ascii="仿宋" w:hAnsi="宋体" w:eastAsia="仿宋" w:cs="宋体"/>
                <w:b/>
                <w:sz w:val="21"/>
                <w:szCs w:val="21"/>
                <w:lang w:bidi="ar"/>
              </w:rPr>
              <w:t>企业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0FA7D15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" w:eastAsia="仿宋"/>
                <w:b/>
                <w:sz w:val="21"/>
                <w:szCs w:val="21"/>
              </w:rPr>
            </w:pPr>
            <w:r>
              <w:rPr>
                <w:rFonts w:hint="eastAsia" w:ascii="仿宋" w:hAnsi="宋体" w:eastAsia="仿宋" w:cs="宋体"/>
                <w:b/>
                <w:sz w:val="21"/>
                <w:szCs w:val="21"/>
                <w:lang w:bidi="ar"/>
              </w:rPr>
              <w:t>科研</w:t>
            </w:r>
          </w:p>
          <w:p w14:paraId="0F92F73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" w:eastAsia="仿宋"/>
                <w:b/>
                <w:sz w:val="21"/>
                <w:szCs w:val="21"/>
              </w:rPr>
            </w:pPr>
            <w:r>
              <w:rPr>
                <w:rFonts w:hint="eastAsia" w:ascii="仿宋" w:hAnsi="宋体" w:eastAsia="仿宋" w:cs="宋体"/>
                <w:b/>
                <w:sz w:val="21"/>
                <w:szCs w:val="21"/>
                <w:lang w:bidi="ar"/>
              </w:rPr>
              <w:t>机构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7DE1405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" w:eastAsia="仿宋"/>
                <w:b/>
                <w:sz w:val="21"/>
                <w:szCs w:val="21"/>
              </w:rPr>
            </w:pPr>
            <w:r>
              <w:rPr>
                <w:rFonts w:hint="eastAsia" w:ascii="仿宋" w:hAnsi="宋体" w:eastAsia="仿宋" w:cs="宋体"/>
                <w:b/>
                <w:sz w:val="21"/>
                <w:szCs w:val="21"/>
                <w:lang w:bidi="ar"/>
              </w:rPr>
              <w:t>社会公益组织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667D3F9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" w:eastAsia="仿宋"/>
                <w:b/>
                <w:sz w:val="21"/>
                <w:szCs w:val="21"/>
              </w:rPr>
            </w:pPr>
            <w:r>
              <w:rPr>
                <w:rFonts w:hint="eastAsia" w:ascii="仿宋" w:hAnsi="宋体" w:eastAsia="仿宋" w:cs="宋体"/>
                <w:b/>
                <w:sz w:val="21"/>
                <w:szCs w:val="21"/>
                <w:lang w:bidi="ar"/>
              </w:rPr>
              <w:t>法律服务机构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0A1B403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" w:eastAsia="仿宋"/>
                <w:b/>
                <w:sz w:val="21"/>
                <w:szCs w:val="21"/>
              </w:rPr>
            </w:pPr>
            <w:r>
              <w:rPr>
                <w:rFonts w:hint="eastAsia" w:ascii="仿宋" w:hAnsi="宋体" w:eastAsia="仿宋" w:cs="宋体"/>
                <w:b/>
                <w:sz w:val="21"/>
                <w:szCs w:val="21"/>
                <w:lang w:bidi="ar"/>
              </w:rPr>
              <w:t>其他</w:t>
            </w:r>
          </w:p>
        </w:tc>
        <w:tc>
          <w:tcPr>
            <w:tcW w:w="521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69EC31E7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微软雅黑" w:eastAsia="微软雅黑"/>
                <w:b/>
                <w:sz w:val="21"/>
                <w:szCs w:val="21"/>
              </w:rPr>
            </w:pPr>
          </w:p>
        </w:tc>
      </w:tr>
      <w:tr w14:paraId="246FB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 w14:paraId="3395763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宋体" w:eastAsia="微软雅黑" w:cs="宋体"/>
                <w:b/>
                <w:sz w:val="21"/>
                <w:szCs w:val="21"/>
                <w:lang w:bidi="ar"/>
              </w:rPr>
              <w:t>一、本年新收政府信息公开申请数量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7698916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微软雅黑" w:eastAsia="微软雅黑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54C4136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76F0B5D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2C63E21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2D16760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058BE69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4F0F717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5FDA5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 w14:paraId="04F91EE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宋体" w:eastAsia="微软雅黑" w:cs="宋体"/>
                <w:b/>
                <w:sz w:val="21"/>
                <w:szCs w:val="21"/>
                <w:lang w:bidi="ar"/>
              </w:rPr>
              <w:t>二、上年结转政府信息公开申请数量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331D40A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微软雅黑" w:eastAsia="微软雅黑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315A1B9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微软雅黑" w:eastAsia="微软雅黑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3052743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355EBD3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3B8A452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49B8080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06CBAB8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1FB14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548F9CA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宋体" w:eastAsia="微软雅黑" w:cs="宋体"/>
                <w:b/>
                <w:sz w:val="21"/>
                <w:szCs w:val="21"/>
                <w:lang w:bidi="ar"/>
              </w:rPr>
              <w:t>三、本年度办理结果</w:t>
            </w: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18500D0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宋体" w:eastAsia="微软雅黑" w:cs="宋体"/>
                <w:b/>
                <w:sz w:val="21"/>
                <w:szCs w:val="21"/>
                <w:lang w:bidi="ar"/>
              </w:rPr>
              <w:t>（一）予以公开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5A7BF60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1B62DB4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3208DE2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597D1BC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569828F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2A3BDA5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4FDF4E1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1A1BD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7465A8E0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微软雅黑" w:eastAsia="微软雅黑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15FFA49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宋体" w:eastAsia="微软雅黑" w:cs="宋体"/>
                <w:b/>
                <w:sz w:val="21"/>
                <w:szCs w:val="21"/>
                <w:lang w:bidi="ar"/>
              </w:rPr>
              <w:t>（二）部分公开</w:t>
            </w:r>
            <w:r>
              <w:rPr>
                <w:rFonts w:hint="eastAsia" w:ascii="微软雅黑" w:hAnsi="楷体" w:eastAsia="微软雅黑" w:cs="楷体"/>
                <w:b/>
                <w:sz w:val="21"/>
                <w:szCs w:val="21"/>
                <w:lang w:bidi="ar"/>
              </w:rPr>
              <w:t>（区分处理的，只计这一情形，不计其他情形）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0A8A894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51050D0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59BF60F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3625FB8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7C4A9B4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3A39E49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0591803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hAnsi="Times New Roman" w:eastAsia="微软雅黑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69F16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60795655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微软雅黑" w:eastAsia="微软雅黑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3C9E838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宋体" w:eastAsia="微软雅黑" w:cs="宋体"/>
                <w:b/>
                <w:sz w:val="21"/>
                <w:szCs w:val="21"/>
                <w:lang w:bidi="ar"/>
              </w:rPr>
              <w:t>（三）不予公开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0273AE1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宋体" w:eastAsia="微软雅黑" w:cs="宋体"/>
                <w:b/>
                <w:sz w:val="21"/>
                <w:szCs w:val="21"/>
                <w:lang w:bidi="ar"/>
              </w:rPr>
              <w:t>1.属于国家秘密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1BC9301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2D9334C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2ACE30A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0B91C36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0576C15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584D701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06BAE23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0FEAD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30A52122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微软雅黑" w:eastAsia="微软雅黑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20D6D804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微软雅黑" w:eastAsia="微软雅黑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74FD785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宋体" w:eastAsia="微软雅黑" w:cs="宋体"/>
                <w:b/>
                <w:sz w:val="21"/>
                <w:szCs w:val="21"/>
                <w:lang w:bidi="ar"/>
              </w:rPr>
              <w:t>2.其他法律行政法规禁止公开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7842EFE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7331885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50C1901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4A363C1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6A2F437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52C7BAB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5999A70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414FF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249C1139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微软雅黑" w:eastAsia="微软雅黑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01EE8610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微软雅黑" w:eastAsia="微软雅黑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019A626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宋体" w:eastAsia="微软雅黑" w:cs="宋体"/>
                <w:b/>
                <w:sz w:val="21"/>
                <w:szCs w:val="21"/>
                <w:lang w:bidi="ar"/>
              </w:rPr>
              <w:t>3.危及“三安全一稳定”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2EF6D12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26799CB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45C7EAD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4DEDF02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4849827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14903C7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4A58E86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221BE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2A51740E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微软雅黑" w:eastAsia="微软雅黑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21244706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微软雅黑" w:eastAsia="微软雅黑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5E09215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宋体" w:eastAsia="微软雅黑" w:cs="宋体"/>
                <w:b/>
                <w:sz w:val="21"/>
                <w:szCs w:val="21"/>
                <w:lang w:bidi="ar"/>
              </w:rPr>
              <w:t>4.保护第三方合法权益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7CD7141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533FBFC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112314F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184A705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0C4F47F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15D37EC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11B9A08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52EF7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742C626C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微软雅黑" w:eastAsia="微软雅黑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7E3DAB21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微软雅黑" w:eastAsia="微软雅黑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05B42EF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宋体" w:eastAsia="微软雅黑" w:cs="宋体"/>
                <w:b/>
                <w:sz w:val="21"/>
                <w:szCs w:val="21"/>
                <w:lang w:bidi="ar"/>
              </w:rPr>
              <w:t>5.属于三类内部事务信息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5642A41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363D691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47B1667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2BCFB54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3F61783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5D22EBF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3018E1F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76B87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7B02676C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微软雅黑" w:eastAsia="微软雅黑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3B721788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微软雅黑" w:eastAsia="微软雅黑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7C78AB9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宋体" w:eastAsia="微软雅黑" w:cs="宋体"/>
                <w:b/>
                <w:sz w:val="21"/>
                <w:szCs w:val="21"/>
                <w:lang w:bidi="ar"/>
              </w:rPr>
              <w:t>6.属于四类过程性信息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0DAE59F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007166D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6A11226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4143DC7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3AA1554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1E0A491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586D5D4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2D8A6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6A3F7E7B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微软雅黑" w:eastAsia="微软雅黑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72532C27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微软雅黑" w:eastAsia="微软雅黑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41335CB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宋体" w:eastAsia="微软雅黑" w:cs="宋体"/>
                <w:b/>
                <w:sz w:val="21"/>
                <w:szCs w:val="21"/>
                <w:lang w:bidi="ar"/>
              </w:rPr>
              <w:t>7.属于行政执法案卷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1B2976D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1F43AD4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3A3E495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37B9B34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18D0F0F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233CF2B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42FEB4B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12B0E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634EDF6E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微软雅黑" w:eastAsia="微软雅黑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586F0EF5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微软雅黑" w:eastAsia="微软雅黑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340B45C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宋体" w:eastAsia="微软雅黑" w:cs="宋体"/>
                <w:b/>
                <w:sz w:val="21"/>
                <w:szCs w:val="21"/>
                <w:lang w:bidi="ar"/>
              </w:rPr>
              <w:t>8.属于行政查询事项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6CCCDCE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26DF01B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7203C25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64C3EB7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193EA5D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0CCCC54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2564401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39B66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42CB21D4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微软雅黑" w:eastAsia="微软雅黑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30525A1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宋体" w:eastAsia="微软雅黑" w:cs="宋体"/>
                <w:b/>
                <w:sz w:val="21"/>
                <w:szCs w:val="21"/>
                <w:lang w:bidi="ar"/>
              </w:rPr>
              <w:t>（四）无法提供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0060632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宋体" w:eastAsia="微软雅黑" w:cs="宋体"/>
                <w:b/>
                <w:sz w:val="21"/>
                <w:szCs w:val="21"/>
                <w:lang w:bidi="ar"/>
              </w:rPr>
              <w:t>1.本机关不掌握相关政府信息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723F7A4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325C646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5357060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55A222B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1BB1AC0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029EA9C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4D61264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7D118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504EC605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微软雅黑" w:eastAsia="微软雅黑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1F36F202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微软雅黑" w:eastAsia="微软雅黑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541F2B6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宋体" w:eastAsia="微软雅黑" w:cs="宋体"/>
                <w:b/>
                <w:sz w:val="21"/>
                <w:szCs w:val="21"/>
                <w:lang w:bidi="ar"/>
              </w:rPr>
              <w:t>2.没有现成信息需要另行制作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1F63BCE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2533A91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0405F1E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639BF49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559DA82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70C1145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132E7A8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13EB1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56E14A7A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微软雅黑" w:eastAsia="微软雅黑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56203A22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微软雅黑" w:eastAsia="微软雅黑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25DC06C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宋体" w:eastAsia="微软雅黑" w:cs="宋体"/>
                <w:b/>
                <w:sz w:val="21"/>
                <w:szCs w:val="21"/>
                <w:lang w:bidi="ar"/>
              </w:rPr>
              <w:t>3.补正后申请内容仍不明确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54D7592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27E6C46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41CFCF7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43BACF7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7599B8B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043864D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5147AFE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2E752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22A607C1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微软雅黑" w:eastAsia="微软雅黑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55FA130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宋体" w:eastAsia="微软雅黑" w:cs="宋体"/>
                <w:b/>
                <w:sz w:val="21"/>
                <w:szCs w:val="21"/>
                <w:lang w:bidi="ar"/>
              </w:rPr>
              <w:t>（五）不予处理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31E5286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宋体" w:eastAsia="微软雅黑" w:cs="宋体"/>
                <w:b/>
                <w:sz w:val="21"/>
                <w:szCs w:val="21"/>
                <w:lang w:bidi="ar"/>
              </w:rPr>
              <w:t>1.信访举报投诉类申请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1D0860D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363C87B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425C5D5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7122807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0CE44AA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11C2657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20E6085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43DF3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4554DE03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微软雅黑" w:eastAsia="微软雅黑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6CC72CCE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微软雅黑" w:eastAsia="微软雅黑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5BA5BC2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宋体" w:eastAsia="微软雅黑" w:cs="宋体"/>
                <w:b/>
                <w:sz w:val="21"/>
                <w:szCs w:val="21"/>
                <w:lang w:bidi="ar"/>
              </w:rPr>
              <w:t>2.重复申请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2DE527F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080328D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38E30A9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2CBA84F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62C528B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72B9A16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4E68B27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1D4010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280054A8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微软雅黑" w:eastAsia="微软雅黑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5352A1E5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微软雅黑" w:eastAsia="微软雅黑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07DC049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宋体" w:eastAsia="微软雅黑" w:cs="宋体"/>
                <w:b/>
                <w:sz w:val="21"/>
                <w:szCs w:val="21"/>
                <w:lang w:bidi="ar"/>
              </w:rPr>
              <w:t>3.要求提供公开出版物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320D175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129897C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25C0D12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0751482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0D19271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4C5DDB8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5AC8E50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0C8F8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464F33A3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微软雅黑" w:eastAsia="微软雅黑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15E19449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微软雅黑" w:eastAsia="微软雅黑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0DA5E36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宋体" w:eastAsia="微软雅黑" w:cs="宋体"/>
                <w:b/>
                <w:sz w:val="21"/>
                <w:szCs w:val="21"/>
                <w:lang w:bidi="ar"/>
              </w:rPr>
              <w:t>4.无正当理由大量反复申请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59B38B0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48F4BF5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0A392FD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1B6A5D7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79C5507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0E7E4BF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10C1014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16D44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4875E6FA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微软雅黑" w:eastAsia="微软雅黑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1C697A1A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微软雅黑" w:eastAsia="微软雅黑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 w14:paraId="6291761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宋体" w:eastAsia="微软雅黑" w:cs="宋体"/>
                <w:b/>
                <w:sz w:val="21"/>
                <w:szCs w:val="21"/>
                <w:lang w:bidi="ar"/>
              </w:rPr>
              <w:t>5.要求行政机关确认或重新出具已获取信息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7B910FC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5167E3A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00656DC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6D1F191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74A9464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65FC579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3FA8246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2F9FF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03F53C24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微软雅黑" w:eastAsia="微软雅黑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3227AE1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宋体" w:eastAsia="微软雅黑" w:cs="宋体"/>
                <w:b/>
                <w:sz w:val="21"/>
                <w:szCs w:val="21"/>
                <w:lang w:bidi="ar"/>
              </w:rPr>
              <w:t>（六）其他处理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 w14:paraId="78F7782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宋体" w:eastAsia="微软雅黑" w:cs="宋体"/>
                <w:b/>
                <w:sz w:val="21"/>
                <w:szCs w:val="21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17C56E2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33CE9AB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50CBF12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4802803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751FF15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2396D0E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510CF5A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</w:pPr>
          </w:p>
          <w:p w14:paraId="62F7199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15C9C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15FA5BC0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微软雅黑" w:eastAsia="微软雅黑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36D18E7C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微软雅黑" w:eastAsia="微软雅黑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 w14:paraId="528B274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宋体" w:eastAsia="微软雅黑" w:cs="宋体"/>
                <w:b/>
                <w:sz w:val="21"/>
                <w:szCs w:val="21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589CD1A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01C3856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45B8FBC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34C91D5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72F329E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1F85310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3114C8A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7109D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7718C4C8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微软雅黑" w:eastAsia="微软雅黑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52A9371E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微软雅黑" w:eastAsia="微软雅黑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 w14:paraId="20B3A8A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宋体" w:eastAsia="微软雅黑" w:cs="宋体"/>
                <w:b/>
                <w:sz w:val="21"/>
                <w:szCs w:val="21"/>
                <w:lang w:bidi="ar"/>
              </w:rPr>
              <w:t>3.其他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3B86E15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6621A8F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0B2B38C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57B4AE8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2449FDB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614D432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3EF4705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26038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3141C3EA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rPr>
                <w:rFonts w:hint="default" w:ascii="微软雅黑" w:eastAsia="微软雅黑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0DAC999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宋体" w:eastAsia="微软雅黑" w:cs="宋体"/>
                <w:b/>
                <w:sz w:val="21"/>
                <w:szCs w:val="21"/>
                <w:lang w:bidi="ar"/>
              </w:rPr>
              <w:t>（七）总计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302E56F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426E80D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0EEE03D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093DB2F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123F318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7723621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0F84E67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400D6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 w14:paraId="688B7E8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宋体" w:eastAsia="微软雅黑" w:cs="宋体"/>
                <w:b/>
                <w:sz w:val="21"/>
                <w:szCs w:val="21"/>
                <w:lang w:bidi="ar"/>
              </w:rPr>
              <w:t>四、结转下年度继续办理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4D6C5F9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70888E3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192B632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3465388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0ED57B9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18810F7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3EC33DDE">
            <w:pPr>
              <w:keepNext w:val="0"/>
              <w:keepLines w:val="0"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</w:tbl>
    <w:p w14:paraId="1A08ABF6">
      <w:pPr>
        <w:numPr>
          <w:ilvl w:val="0"/>
          <w:numId w:val="3"/>
        </w:numPr>
        <w:spacing w:line="590" w:lineRule="exact"/>
        <w:ind w:left="0" w:leftChars="0" w:right="-105" w:rightChars="-50" w:firstLine="640" w:firstLineChars="200"/>
        <w:rPr>
          <w:rFonts w:hint="eastAsia" w:ascii="微软雅黑" w:eastAsia="微软雅黑"/>
          <w:b/>
          <w:sz w:val="32"/>
          <w:szCs w:val="32"/>
        </w:rPr>
      </w:pPr>
      <w:r>
        <w:rPr>
          <w:rFonts w:hint="eastAsia" w:ascii="微软雅黑" w:eastAsia="微软雅黑"/>
          <w:b/>
          <w:sz w:val="32"/>
          <w:szCs w:val="32"/>
        </w:rPr>
        <w:t>政府信息公开行政复议、行政诉讼情况</w:t>
      </w:r>
    </w:p>
    <w:tbl>
      <w:tblPr>
        <w:tblStyle w:val="4"/>
        <w:tblW w:w="881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555"/>
        <w:gridCol w:w="407"/>
      </w:tblGrid>
      <w:tr w14:paraId="201C974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675F6D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2" w:leftChars="-20" w:right="-42" w:rightChars="-20"/>
              <w:jc w:val="center"/>
              <w:rPr>
                <w:rFonts w:hint="default" w:ascii="仿宋" w:eastAsia="仿宋"/>
                <w:b/>
                <w:sz w:val="21"/>
                <w:szCs w:val="21"/>
              </w:rPr>
            </w:pPr>
            <w:r>
              <w:rPr>
                <w:rFonts w:hint="eastAsia" w:ascii="仿宋" w:hAnsi="宋体" w:eastAsia="仿宋" w:cs="宋体"/>
                <w:b/>
                <w:sz w:val="21"/>
                <w:szCs w:val="21"/>
                <w:lang w:bidi="ar"/>
              </w:rPr>
              <w:t>行政复议</w:t>
            </w:r>
          </w:p>
        </w:tc>
        <w:tc>
          <w:tcPr>
            <w:tcW w:w="5922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71417D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2" w:leftChars="-20" w:right="-42" w:rightChars="-20"/>
              <w:jc w:val="center"/>
              <w:rPr>
                <w:rFonts w:hint="default" w:ascii="仿宋" w:eastAsia="仿宋"/>
                <w:b/>
                <w:sz w:val="21"/>
                <w:szCs w:val="21"/>
              </w:rPr>
            </w:pPr>
            <w:r>
              <w:rPr>
                <w:rFonts w:hint="eastAsia" w:ascii="仿宋" w:hAnsi="宋体" w:eastAsia="仿宋" w:cs="宋体"/>
                <w:b/>
                <w:sz w:val="21"/>
                <w:szCs w:val="21"/>
                <w:lang w:bidi="ar"/>
              </w:rPr>
              <w:t>行政诉讼</w:t>
            </w:r>
          </w:p>
        </w:tc>
      </w:tr>
      <w:tr w14:paraId="1D66338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ACFF38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2" w:leftChars="-20" w:right="-42" w:rightChars="-20"/>
              <w:jc w:val="center"/>
              <w:rPr>
                <w:rFonts w:hint="default" w:ascii="仿宋" w:eastAsia="仿宋"/>
                <w:b/>
                <w:sz w:val="21"/>
                <w:szCs w:val="21"/>
              </w:rPr>
            </w:pPr>
            <w:r>
              <w:rPr>
                <w:rFonts w:hint="eastAsia" w:ascii="仿宋" w:hAnsi="宋体" w:eastAsia="仿宋" w:cs="宋体"/>
                <w:b/>
                <w:sz w:val="21"/>
                <w:szCs w:val="21"/>
                <w:lang w:bidi="ar"/>
              </w:rPr>
              <w:t>结果维持</w:t>
            </w:r>
          </w:p>
        </w:tc>
        <w:tc>
          <w:tcPr>
            <w:tcW w:w="62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83F486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2" w:leftChars="-20" w:right="-42" w:rightChars="-20"/>
              <w:jc w:val="center"/>
              <w:rPr>
                <w:rFonts w:hint="default" w:ascii="仿宋" w:hAnsi="宋体" w:eastAsia="仿宋" w:cs="宋体"/>
                <w:b/>
                <w:sz w:val="21"/>
                <w:szCs w:val="21"/>
                <w:lang w:bidi="ar"/>
              </w:rPr>
            </w:pPr>
            <w:r>
              <w:rPr>
                <w:rFonts w:hint="eastAsia" w:ascii="仿宋" w:hAnsi="宋体" w:eastAsia="仿宋" w:cs="宋体"/>
                <w:b/>
                <w:sz w:val="21"/>
                <w:szCs w:val="21"/>
                <w:lang w:bidi="ar"/>
              </w:rPr>
              <w:t>结果</w:t>
            </w:r>
          </w:p>
          <w:p w14:paraId="7E6B329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2" w:leftChars="-20" w:right="-42" w:rightChars="-20"/>
              <w:jc w:val="center"/>
              <w:rPr>
                <w:rFonts w:hint="default" w:ascii="仿宋" w:eastAsia="仿宋"/>
                <w:b/>
                <w:sz w:val="21"/>
                <w:szCs w:val="21"/>
              </w:rPr>
            </w:pPr>
            <w:r>
              <w:rPr>
                <w:rFonts w:hint="eastAsia" w:ascii="仿宋" w:hAnsi="宋体" w:eastAsia="仿宋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DE0B65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2" w:leftChars="-20" w:right="-42" w:rightChars="-20"/>
              <w:jc w:val="center"/>
              <w:rPr>
                <w:rFonts w:hint="default" w:ascii="仿宋" w:eastAsia="仿宋"/>
                <w:b/>
                <w:sz w:val="21"/>
                <w:szCs w:val="21"/>
              </w:rPr>
            </w:pPr>
            <w:r>
              <w:rPr>
                <w:rFonts w:hint="eastAsia" w:ascii="仿宋" w:hAnsi="宋体" w:eastAsia="仿宋" w:cs="宋体"/>
                <w:b/>
                <w:sz w:val="21"/>
                <w:szCs w:val="21"/>
                <w:lang w:bidi="ar"/>
              </w:rPr>
              <w:t>其他</w:t>
            </w:r>
            <w:r>
              <w:rPr>
                <w:rFonts w:hint="eastAsia" w:ascii="仿宋" w:hAnsi="宋体" w:eastAsia="仿宋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仿宋" w:hAnsi="宋体" w:eastAsia="仿宋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0E65A6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2" w:leftChars="-20" w:right="-42" w:rightChars="-20"/>
              <w:jc w:val="center"/>
              <w:rPr>
                <w:rFonts w:hint="default" w:ascii="仿宋" w:eastAsia="仿宋"/>
                <w:b/>
                <w:sz w:val="21"/>
                <w:szCs w:val="21"/>
              </w:rPr>
            </w:pPr>
            <w:r>
              <w:rPr>
                <w:rFonts w:hint="eastAsia" w:ascii="仿宋" w:hAnsi="宋体" w:eastAsia="仿宋" w:cs="宋体"/>
                <w:b/>
                <w:sz w:val="21"/>
                <w:szCs w:val="21"/>
                <w:lang w:bidi="ar"/>
              </w:rPr>
              <w:t>尚未</w:t>
            </w:r>
            <w:r>
              <w:rPr>
                <w:rFonts w:hint="eastAsia" w:ascii="仿宋" w:hAnsi="宋体" w:eastAsia="仿宋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仿宋" w:hAnsi="宋体" w:eastAsia="仿宋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76BAD4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2" w:leftChars="-20" w:right="-42" w:rightChars="-20"/>
              <w:jc w:val="center"/>
              <w:rPr>
                <w:rFonts w:hint="default" w:ascii="仿宋" w:eastAsia="仿宋"/>
                <w:b/>
                <w:sz w:val="21"/>
                <w:szCs w:val="21"/>
              </w:rPr>
            </w:pPr>
            <w:r>
              <w:rPr>
                <w:rFonts w:hint="eastAsia" w:ascii="仿宋" w:hAnsi="宋体" w:eastAsia="仿宋" w:cs="宋体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30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89331A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2" w:leftChars="-20" w:right="-42" w:rightChars="-20"/>
              <w:jc w:val="center"/>
              <w:rPr>
                <w:rFonts w:hint="default" w:ascii="仿宋" w:eastAsia="仿宋"/>
                <w:b/>
                <w:sz w:val="21"/>
                <w:szCs w:val="21"/>
              </w:rPr>
            </w:pPr>
            <w:r>
              <w:rPr>
                <w:rFonts w:hint="eastAsia" w:ascii="仿宋" w:hAnsi="宋体" w:eastAsia="仿宋" w:cs="宋体"/>
                <w:b/>
                <w:sz w:val="21"/>
                <w:szCs w:val="21"/>
                <w:lang w:bidi="ar"/>
              </w:rPr>
              <w:t>未经复议直接起诉</w:t>
            </w:r>
          </w:p>
        </w:tc>
        <w:tc>
          <w:tcPr>
            <w:tcW w:w="29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F65309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2" w:leftChars="-20" w:right="-42" w:rightChars="-20"/>
              <w:jc w:val="center"/>
              <w:rPr>
                <w:rFonts w:hint="default" w:ascii="仿宋" w:eastAsia="仿宋"/>
                <w:b/>
                <w:sz w:val="21"/>
                <w:szCs w:val="21"/>
              </w:rPr>
            </w:pPr>
            <w:r>
              <w:rPr>
                <w:rFonts w:hint="eastAsia" w:ascii="仿宋" w:hAnsi="宋体" w:eastAsia="仿宋" w:cs="宋体"/>
                <w:b/>
                <w:sz w:val="21"/>
                <w:szCs w:val="21"/>
                <w:lang w:bidi="ar"/>
              </w:rPr>
              <w:t>复议后起诉</w:t>
            </w:r>
          </w:p>
        </w:tc>
      </w:tr>
      <w:tr w14:paraId="50B9298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40B3C76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-42" w:leftChars="-20" w:right="-42" w:rightChars="-20"/>
              <w:rPr>
                <w:rFonts w:hint="default" w:ascii="仿宋" w:eastAsia="仿宋"/>
                <w:b/>
                <w:sz w:val="21"/>
                <w:szCs w:val="21"/>
              </w:rPr>
            </w:pPr>
          </w:p>
        </w:tc>
        <w:tc>
          <w:tcPr>
            <w:tcW w:w="62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8F0F1B5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-42" w:leftChars="-20" w:right="-42" w:rightChars="-20"/>
              <w:rPr>
                <w:rFonts w:hint="default" w:ascii="仿宋" w:eastAsia="仿宋"/>
                <w:b/>
                <w:sz w:val="21"/>
                <w:szCs w:val="21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59EC260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-42" w:leftChars="-20" w:right="-42" w:rightChars="-20"/>
              <w:rPr>
                <w:rFonts w:hint="default" w:ascii="仿宋" w:eastAsia="仿宋"/>
                <w:b/>
                <w:sz w:val="21"/>
                <w:szCs w:val="21"/>
              </w:rPr>
            </w:pPr>
          </w:p>
        </w:tc>
        <w:tc>
          <w:tcPr>
            <w:tcW w:w="5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65D45AF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-42" w:leftChars="-20" w:right="-42" w:rightChars="-20"/>
              <w:rPr>
                <w:rFonts w:hint="default" w:ascii="仿宋" w:eastAsia="仿宋"/>
                <w:b/>
                <w:sz w:val="21"/>
                <w:szCs w:val="21"/>
              </w:rPr>
            </w:pPr>
          </w:p>
        </w:tc>
        <w:tc>
          <w:tcPr>
            <w:tcW w:w="4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9DFDA4A">
            <w:pPr>
              <w:keepNext w:val="0"/>
              <w:keepLines w:val="0"/>
              <w:suppressLineNumbers w:val="0"/>
              <w:spacing w:before="0" w:beforeAutospacing="0" w:after="0" w:afterAutospacing="0" w:line="340" w:lineRule="exact"/>
              <w:ind w:left="-42" w:leftChars="-20" w:right="-42" w:rightChars="-20"/>
              <w:rPr>
                <w:rFonts w:hint="default" w:ascii="仿宋" w:eastAsia="仿宋"/>
                <w:b/>
                <w:sz w:val="21"/>
                <w:szCs w:val="21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B279DD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2" w:leftChars="-20" w:right="-42" w:rightChars="-20"/>
              <w:jc w:val="center"/>
              <w:rPr>
                <w:rFonts w:hint="default" w:ascii="仿宋" w:eastAsia="仿宋"/>
                <w:b/>
                <w:sz w:val="21"/>
                <w:szCs w:val="21"/>
              </w:rPr>
            </w:pPr>
            <w:r>
              <w:rPr>
                <w:rFonts w:hint="eastAsia" w:ascii="仿宋" w:hAnsi="宋体" w:eastAsia="仿宋" w:cs="宋体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仿宋" w:hAnsi="宋体" w:eastAsia="仿宋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仿宋" w:hAnsi="宋体" w:eastAsia="仿宋" w:cs="宋体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992CF6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2" w:leftChars="-20" w:right="-42" w:rightChars="-20"/>
              <w:jc w:val="center"/>
              <w:rPr>
                <w:rFonts w:hint="default" w:ascii="仿宋" w:eastAsia="仿宋"/>
                <w:b/>
                <w:sz w:val="21"/>
                <w:szCs w:val="21"/>
              </w:rPr>
            </w:pPr>
            <w:r>
              <w:rPr>
                <w:rFonts w:hint="eastAsia" w:ascii="仿宋" w:hAnsi="宋体" w:eastAsia="仿宋" w:cs="宋体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仿宋" w:hAnsi="宋体" w:eastAsia="仿宋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仿宋" w:hAnsi="宋体" w:eastAsia="仿宋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B35FA6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2" w:leftChars="-20" w:right="-42" w:rightChars="-20"/>
              <w:jc w:val="center"/>
              <w:rPr>
                <w:rFonts w:hint="default" w:ascii="仿宋" w:eastAsia="仿宋"/>
                <w:b/>
                <w:sz w:val="21"/>
                <w:szCs w:val="21"/>
              </w:rPr>
            </w:pPr>
            <w:r>
              <w:rPr>
                <w:rFonts w:hint="eastAsia" w:ascii="仿宋" w:hAnsi="宋体" w:eastAsia="仿宋" w:cs="宋体"/>
                <w:b/>
                <w:sz w:val="21"/>
                <w:szCs w:val="21"/>
                <w:lang w:bidi="ar"/>
              </w:rPr>
              <w:t>其他</w:t>
            </w:r>
            <w:r>
              <w:rPr>
                <w:rFonts w:hint="eastAsia" w:ascii="仿宋" w:hAnsi="宋体" w:eastAsia="仿宋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仿宋" w:hAnsi="宋体" w:eastAsia="仿宋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5FE29B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2" w:leftChars="-20" w:right="-42" w:rightChars="-20"/>
              <w:jc w:val="center"/>
              <w:rPr>
                <w:rFonts w:hint="default" w:ascii="仿宋" w:eastAsia="仿宋"/>
                <w:b/>
                <w:sz w:val="21"/>
                <w:szCs w:val="21"/>
              </w:rPr>
            </w:pPr>
            <w:r>
              <w:rPr>
                <w:rFonts w:hint="eastAsia" w:ascii="仿宋" w:hAnsi="宋体" w:eastAsia="仿宋" w:cs="宋体"/>
                <w:b/>
                <w:sz w:val="21"/>
                <w:szCs w:val="21"/>
                <w:lang w:bidi="ar"/>
              </w:rPr>
              <w:t>尚未</w:t>
            </w:r>
            <w:r>
              <w:rPr>
                <w:rFonts w:hint="eastAsia" w:ascii="仿宋" w:hAnsi="宋体" w:eastAsia="仿宋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仿宋" w:hAnsi="宋体" w:eastAsia="仿宋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53C66D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2" w:leftChars="-20" w:right="-42" w:rightChars="-20"/>
              <w:jc w:val="center"/>
              <w:rPr>
                <w:rFonts w:hint="default" w:ascii="仿宋" w:eastAsia="仿宋"/>
                <w:b/>
                <w:sz w:val="21"/>
                <w:szCs w:val="21"/>
              </w:rPr>
            </w:pPr>
            <w:r>
              <w:rPr>
                <w:rFonts w:hint="eastAsia" w:ascii="仿宋" w:hAnsi="宋体" w:eastAsia="仿宋" w:cs="宋体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0DB09B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2" w:leftChars="-20" w:right="-42" w:rightChars="-20"/>
              <w:jc w:val="center"/>
              <w:rPr>
                <w:rFonts w:hint="default" w:ascii="仿宋" w:eastAsia="仿宋"/>
                <w:b/>
                <w:sz w:val="21"/>
                <w:szCs w:val="21"/>
              </w:rPr>
            </w:pPr>
            <w:r>
              <w:rPr>
                <w:rFonts w:hint="eastAsia" w:ascii="仿宋" w:hAnsi="宋体" w:eastAsia="仿宋" w:cs="宋体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仿宋" w:hAnsi="宋体" w:eastAsia="仿宋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仿宋" w:hAnsi="宋体" w:eastAsia="仿宋" w:cs="宋体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2FC3DB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2" w:leftChars="-20" w:right="-42" w:rightChars="-20"/>
              <w:jc w:val="center"/>
              <w:rPr>
                <w:rFonts w:hint="default" w:ascii="仿宋" w:eastAsia="仿宋"/>
                <w:b/>
                <w:sz w:val="21"/>
                <w:szCs w:val="21"/>
              </w:rPr>
            </w:pPr>
            <w:r>
              <w:rPr>
                <w:rFonts w:hint="eastAsia" w:ascii="仿宋" w:hAnsi="宋体" w:eastAsia="仿宋" w:cs="宋体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仿宋" w:hAnsi="宋体" w:eastAsia="仿宋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仿宋" w:hAnsi="宋体" w:eastAsia="仿宋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761B27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2" w:leftChars="-20" w:right="-42" w:rightChars="-20"/>
              <w:jc w:val="center"/>
              <w:rPr>
                <w:rFonts w:hint="default" w:ascii="仿宋" w:eastAsia="仿宋"/>
                <w:b/>
                <w:sz w:val="21"/>
                <w:szCs w:val="21"/>
              </w:rPr>
            </w:pPr>
            <w:r>
              <w:rPr>
                <w:rFonts w:hint="eastAsia" w:ascii="仿宋" w:hAnsi="宋体" w:eastAsia="仿宋" w:cs="宋体"/>
                <w:b/>
                <w:sz w:val="21"/>
                <w:szCs w:val="21"/>
                <w:lang w:bidi="ar"/>
              </w:rPr>
              <w:t>其他</w:t>
            </w:r>
            <w:r>
              <w:rPr>
                <w:rFonts w:hint="eastAsia" w:ascii="仿宋" w:hAnsi="宋体" w:eastAsia="仿宋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仿宋" w:hAnsi="宋体" w:eastAsia="仿宋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A1D664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2" w:leftChars="-20" w:right="-42" w:rightChars="-20"/>
              <w:jc w:val="center"/>
              <w:rPr>
                <w:rFonts w:hint="default" w:ascii="仿宋" w:eastAsia="仿宋"/>
                <w:b/>
                <w:sz w:val="21"/>
                <w:szCs w:val="21"/>
              </w:rPr>
            </w:pPr>
            <w:r>
              <w:rPr>
                <w:rFonts w:hint="eastAsia" w:ascii="仿宋" w:hAnsi="宋体" w:eastAsia="仿宋" w:cs="宋体"/>
                <w:b/>
                <w:sz w:val="21"/>
                <w:szCs w:val="21"/>
                <w:lang w:bidi="ar"/>
              </w:rPr>
              <w:t>尚未</w:t>
            </w:r>
            <w:r>
              <w:rPr>
                <w:rFonts w:hint="eastAsia" w:ascii="仿宋" w:hAnsi="宋体" w:eastAsia="仿宋" w:cs="宋体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仿宋" w:hAnsi="宋体" w:eastAsia="仿宋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83E275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40" w:lineRule="exact"/>
              <w:ind w:left="-42" w:leftChars="-20" w:right="-42" w:rightChars="-20"/>
              <w:jc w:val="center"/>
              <w:rPr>
                <w:rFonts w:hint="default" w:ascii="仿宋" w:eastAsia="仿宋"/>
                <w:b/>
                <w:sz w:val="21"/>
                <w:szCs w:val="21"/>
              </w:rPr>
            </w:pPr>
            <w:r>
              <w:rPr>
                <w:rFonts w:hint="eastAsia" w:ascii="仿宋" w:hAnsi="宋体" w:eastAsia="仿宋" w:cs="宋体"/>
                <w:b/>
                <w:sz w:val="21"/>
                <w:szCs w:val="21"/>
                <w:lang w:bidi="ar"/>
              </w:rPr>
              <w:t>总计</w:t>
            </w:r>
          </w:p>
        </w:tc>
      </w:tr>
      <w:tr w14:paraId="767649D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9844D5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" w:eastAsia="仿宋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5DBF9D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" w:eastAsia="仿宋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D16E2A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" w:eastAsia="仿宋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2491DC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" w:eastAsia="仿宋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E02D16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" w:eastAsia="仿宋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A33DAA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" w:eastAsia="仿宋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B1FEF4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" w:eastAsia="仿宋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65E835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" w:eastAsia="仿宋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1B4C95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" w:eastAsia="仿宋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BB8D47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" w:eastAsia="仿宋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DD4FA0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" w:eastAsia="仿宋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E5B8D2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" w:eastAsia="仿宋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8FA75D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" w:eastAsia="仿宋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B42D24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" w:eastAsia="仿宋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277CF2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" w:eastAsia="仿宋"/>
                <w:b/>
                <w:sz w:val="21"/>
                <w:szCs w:val="21"/>
              </w:rPr>
            </w:pPr>
            <w:r>
              <w:rPr>
                <w:rFonts w:hint="eastAsia" w:ascii="微软雅黑" w:hAnsi="Calibri" w:eastAsia="微软雅黑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</w:tbl>
    <w:p w14:paraId="7AC1A32F">
      <w:pPr>
        <w:numPr>
          <w:ilvl w:val="0"/>
          <w:numId w:val="3"/>
        </w:numPr>
        <w:spacing w:line="590" w:lineRule="exact"/>
        <w:ind w:left="0" w:leftChars="0" w:right="-105" w:rightChars="-50" w:firstLine="640" w:firstLineChars="200"/>
        <w:rPr>
          <w:rFonts w:hint="eastAsia" w:ascii="微软雅黑" w:eastAsia="微软雅黑"/>
          <w:b/>
          <w:sz w:val="32"/>
          <w:szCs w:val="32"/>
        </w:rPr>
      </w:pPr>
      <w:r>
        <w:rPr>
          <w:rFonts w:hint="eastAsia" w:ascii="微软雅黑" w:eastAsia="微软雅黑"/>
          <w:b/>
          <w:sz w:val="32"/>
          <w:szCs w:val="32"/>
        </w:rPr>
        <w:t>存在的主要问题及改进情况</w:t>
      </w:r>
    </w:p>
    <w:p w14:paraId="79ADFD16">
      <w:pPr>
        <w:spacing w:line="590" w:lineRule="exact"/>
        <w:ind w:right="-105" w:rightChars="-50" w:firstLine="643" w:firstLineChars="200"/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 w:val="0"/>
          <w:color w:val="000000"/>
          <w:kern w:val="2"/>
          <w:sz w:val="32"/>
          <w:szCs w:val="32"/>
          <w:lang w:val="en-US" w:eastAsia="zh-CN" w:bidi="ar-SA"/>
        </w:rPr>
        <w:t>2023年，我乡政务公开工作存在以下问题：</w:t>
      </w: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</w:rPr>
        <w:t>一是思想认识有待提高</w:t>
      </w: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</w:rPr>
        <w:t>二是公开内容有待丰富</w:t>
      </w: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</w:rPr>
        <w:t>三是队伍</w:t>
      </w: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-US" w:eastAsia="zh-CN"/>
        </w:rPr>
        <w:t>专业性</w:t>
      </w: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</w:rPr>
        <w:t>建设有待加强等问题</w:t>
      </w: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eastAsia="zh-CN"/>
        </w:rPr>
        <w:t>。</w:t>
      </w:r>
    </w:p>
    <w:p w14:paraId="1E51C98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right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color w:val="000000"/>
          <w:kern w:val="2"/>
          <w:sz w:val="32"/>
          <w:szCs w:val="32"/>
          <w:lang w:val="en-US" w:eastAsia="zh-CN" w:bidi="ar-SA"/>
        </w:rPr>
        <w:t>针对以上问题，我乡采取积极措施加强整改：一是提升思想认识。加强政务公开宣传教育，通过培训、交流等方式强化政务公开理念，确保各级领导和工作人员认识到政务公开的重要性；二是丰富公开内容。全面梳理和优化政务公开内容，确保信息的全面性、准确性和及时性，特别关注与群众利益密切相关的信息；三是加强队伍建设。开展专业培训，提高工作人员的专业素养和业务能力；同时建立健全监督反馈激励机制，激励工作人员履行职责，提升工作效率。</w:t>
      </w:r>
    </w:p>
    <w:p w14:paraId="56BF4A8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right="0" w:firstLine="643" w:firstLineChars="200"/>
        <w:jc w:val="left"/>
        <w:textAlignment w:val="auto"/>
        <w:rPr>
          <w:rFonts w:hint="eastAsia" w:ascii="仿宋_GB2312" w:hAnsi="宋体" w:eastAsia="仿宋_GB2312" w:cs="仿宋_GB2312"/>
          <w:b/>
          <w:bCs w:val="0"/>
          <w:i w:val="0"/>
          <w:iCs w:val="0"/>
          <w:caps w:val="0"/>
          <w:color w:val="333333"/>
          <w:spacing w:val="0"/>
          <w:sz w:val="31"/>
          <w:szCs w:val="31"/>
          <w:shd w:val="clear" w:fill="FDFDFE"/>
        </w:rPr>
      </w:pP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-US" w:eastAsia="zh-CN"/>
        </w:rPr>
        <w:t>2024年我乡政务公开工作稳步推进，但仍然存在以下问题：存在政务公开管理还不够规范，个别领域信息公共信息量较少的问题，推动政务信息公开力度不够；信息公开工作人员专业水平还需进一步提升</w:t>
      </w: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</w:rPr>
        <w:t>。</w:t>
      </w:r>
    </w:p>
    <w:p w14:paraId="75AE5FE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-105" w:rightChars="-50" w:firstLine="643" w:firstLineChars="200"/>
        <w:textAlignment w:val="auto"/>
        <w:rPr>
          <w:rFonts w:hint="eastAsia" w:ascii="微软雅黑" w:eastAsia="微软雅黑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</w:rPr>
        <w:t>年，我</w:t>
      </w: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-US" w:eastAsia="zh-CN"/>
        </w:rPr>
        <w:t>乡</w:t>
      </w: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</w:rPr>
        <w:t>将进一步加强对政务公开工作的要求，严格落实各项政策，扎实做好政务公开工作，重点抓好以下工作：</w:t>
      </w: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-US" w:eastAsia="zh-CN"/>
        </w:rPr>
        <w:t>一是制度完善与信息增量。我们将进一步规范政务公开管理流程，确保每项工作有章可循；同时，深入调研，精准对接群众需求，丰富政务公开内容，特别是针对信息量较少的领域进行重点补充。二是强化推广与专业提升。加大政务信息公开的宣传力度，提高公众知晓率；建立科学的监督反馈机制，激励各部门积极参与；并定期组织专业培训，提升工作人员的专业技能和业务水平，确保政务公开工作高效、透明。</w:t>
      </w:r>
    </w:p>
    <w:p w14:paraId="0D5F4460">
      <w:pPr>
        <w:numPr>
          <w:ilvl w:val="0"/>
          <w:numId w:val="3"/>
        </w:numPr>
        <w:spacing w:line="590" w:lineRule="exact"/>
        <w:ind w:left="0" w:leftChars="0" w:right="-105" w:rightChars="-50" w:firstLine="640" w:firstLineChars="200"/>
        <w:rPr>
          <w:rFonts w:hint="eastAsia" w:ascii="微软雅黑" w:eastAsia="微软雅黑"/>
          <w:b/>
          <w:sz w:val="32"/>
          <w:szCs w:val="32"/>
        </w:rPr>
      </w:pPr>
      <w:r>
        <w:rPr>
          <w:rFonts w:hint="eastAsia" w:ascii="微软雅黑" w:eastAsia="微软雅黑"/>
          <w:b/>
          <w:sz w:val="32"/>
          <w:szCs w:val="32"/>
        </w:rPr>
        <w:t>其他需要报告的事项</w:t>
      </w:r>
    </w:p>
    <w:p w14:paraId="5FBC14F7">
      <w:pPr>
        <w:numPr>
          <w:ilvl w:val="0"/>
          <w:numId w:val="0"/>
        </w:numPr>
        <w:spacing w:line="590" w:lineRule="exact"/>
        <w:ind w:right="-105" w:rightChars="-50" w:firstLine="643" w:firstLineChars="200"/>
        <w:rPr>
          <w:rFonts w:hint="eastAsia" w:ascii="仿宋_GB2312" w:hAnsi="仿宋_GB2312" w:eastAsia="仿宋_GB2312" w:cs="仿宋_GB2312"/>
          <w:b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</w:rPr>
        <w:t>我</w:t>
      </w: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-US" w:eastAsia="zh-CN"/>
        </w:rPr>
        <w:t>乡</w:t>
      </w: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</w:rPr>
        <w:t>本年度无收取信息处理费情况。</w:t>
      </w:r>
    </w:p>
    <w:p w14:paraId="6109C4E3">
      <w:pPr>
        <w:spacing w:line="590" w:lineRule="exact"/>
        <w:ind w:right="-105" w:rightChars="-50" w:firstLine="640" w:firstLineChars="200"/>
        <w:rPr>
          <w:rFonts w:hint="eastAsia" w:ascii="仿宋_GB2312" w:eastAsia="仿宋_GB2312"/>
          <w:b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（二）</w:t>
      </w:r>
      <w:r>
        <w:rPr>
          <w:rFonts w:hint="eastAsia" w:ascii="仿宋_GB2312" w:eastAsia="仿宋_GB2312"/>
          <w:b/>
          <w:sz w:val="32"/>
          <w:szCs w:val="32"/>
        </w:rPr>
        <w:t>本行政机关落实上级年度政务公开工作要点情况</w:t>
      </w:r>
    </w:p>
    <w:p w14:paraId="32B6A715">
      <w:pPr>
        <w:numPr>
          <w:ilvl w:val="0"/>
          <w:numId w:val="0"/>
        </w:numPr>
        <w:spacing w:line="590" w:lineRule="exact"/>
        <w:ind w:right="-105" w:rightChars="-50" w:firstLine="643" w:firstLineChars="200"/>
        <w:rPr>
          <w:rFonts w:hint="eastAsia" w:ascii="仿宋_GB2312" w:hAnsi="仿宋_GB2312" w:eastAsia="仿宋_GB2312" w:cs="仿宋_GB2312"/>
          <w:b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</w:rPr>
        <w:t>年我</w:t>
      </w: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-US" w:eastAsia="zh-CN"/>
        </w:rPr>
        <w:t>乡</w:t>
      </w: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</w:rPr>
        <w:t>严格按照上级有关要求，围绕政务公开工作要点，对照工作任务分解表，不断丰富公开内容、拓宽公开形式和渠道，增强公开质量和实效，切实保障人民群众的知情权、参与权、表达权和监督权。</w:t>
      </w:r>
    </w:p>
    <w:p w14:paraId="3E5ECFEC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3" w:firstLineChars="200"/>
        <w:jc w:val="both"/>
        <w:rPr>
          <w:rFonts w:hint="eastAsia" w:ascii="仿宋_GB2312" w:hAnsi="仿宋_GB2312" w:eastAsia="仿宋_GB2312" w:cs="仿宋_GB2312"/>
          <w:b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</w:rPr>
        <w:t>（三）202</w:t>
      </w: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</w:rPr>
        <w:t>年我</w:t>
      </w: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-US" w:eastAsia="zh-CN"/>
        </w:rPr>
        <w:t>乡</w:t>
      </w: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</w:rPr>
        <w:t>未承办人大代表建议和政协委员提案。</w:t>
      </w:r>
    </w:p>
    <w:p w14:paraId="55E47619"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 w:line="560" w:lineRule="exact"/>
        <w:ind w:left="0" w:leftChars="0" w:right="0" w:rightChars="0" w:firstLine="643" w:firstLineChars="200"/>
        <w:jc w:val="both"/>
        <w:rPr>
          <w:rFonts w:hint="default" w:ascii="仿宋_GB2312" w:hAnsi="仿宋_GB2312" w:eastAsia="仿宋_GB2312" w:cs="仿宋_GB2312"/>
          <w:b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lang w:val="en-US" w:eastAsia="zh-CN"/>
        </w:rPr>
        <w:t>（四）创新举措。一是充分发挥政府信息公开门户网站;二是通过政务公开栏、村务公开栏对外公开;三是通过政务号、网格群等新媒体形式公开，同时在乡服务大厅，进行政策讲解，便民服务政策解读，确保了军屯乡政务公开工作的实际成效，受到群众的极大好评。</w:t>
      </w:r>
    </w:p>
    <w:p w14:paraId="007041F3">
      <w:pPr>
        <w:spacing w:line="590" w:lineRule="exact"/>
        <w:ind w:right="-105" w:rightChars="-50" w:firstLine="640" w:firstLineChars="200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5040B2C1-651A-454C-BBFC-1065C85A5722}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6D7BE1BF-266D-4904-8FE6-709D33901C22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1D9B0560-10BC-47B4-ADC0-6095BB3E1E75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4" w:fontKey="{78506A08-4A0F-4C17-AB25-E6D0309B14A5}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54A6FF8C-CCEC-4EA7-A6F4-03128E1D348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B3C0D122-EC93-4EEA-9975-83EB338DFC17}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7" w:fontKey="{17702E36-2620-46AF-A989-6D33D321AB9D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DEED15E"/>
    <w:multiLevelType w:val="singleLevel"/>
    <w:tmpl w:val="0DEED15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16A69ACC"/>
    <w:multiLevelType w:val="singleLevel"/>
    <w:tmpl w:val="16A69ACC"/>
    <w:lvl w:ilvl="0" w:tentative="0">
      <w:start w:val="5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735CE8B0"/>
    <w:multiLevelType w:val="singleLevel"/>
    <w:tmpl w:val="735CE8B0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1MDMzOWNmMWM4NDEzMDQ1NmE3ZWEwZmU3NjZkNmUifQ=="/>
  </w:docVars>
  <w:rsids>
    <w:rsidRoot w:val="00000000"/>
    <w:rsid w:val="01A665CA"/>
    <w:rsid w:val="026B2003"/>
    <w:rsid w:val="039176CA"/>
    <w:rsid w:val="03A83087"/>
    <w:rsid w:val="04150817"/>
    <w:rsid w:val="04CF4DBD"/>
    <w:rsid w:val="0599432F"/>
    <w:rsid w:val="05C321A6"/>
    <w:rsid w:val="092E2FE0"/>
    <w:rsid w:val="0CFA7BFD"/>
    <w:rsid w:val="0D916E57"/>
    <w:rsid w:val="0DF32DFA"/>
    <w:rsid w:val="0DF90060"/>
    <w:rsid w:val="0E1A590B"/>
    <w:rsid w:val="109D6768"/>
    <w:rsid w:val="12DB3A27"/>
    <w:rsid w:val="13EE4030"/>
    <w:rsid w:val="15451B43"/>
    <w:rsid w:val="16C7511B"/>
    <w:rsid w:val="178F2FEA"/>
    <w:rsid w:val="17AF62C3"/>
    <w:rsid w:val="188A04FE"/>
    <w:rsid w:val="1B0246D5"/>
    <w:rsid w:val="1DAE72C4"/>
    <w:rsid w:val="1EE77B24"/>
    <w:rsid w:val="1F646872"/>
    <w:rsid w:val="1FF35968"/>
    <w:rsid w:val="20772C61"/>
    <w:rsid w:val="20916FFC"/>
    <w:rsid w:val="209314D4"/>
    <w:rsid w:val="21F066AD"/>
    <w:rsid w:val="228A3641"/>
    <w:rsid w:val="2678577E"/>
    <w:rsid w:val="2761728D"/>
    <w:rsid w:val="27706BF2"/>
    <w:rsid w:val="28CD6E8D"/>
    <w:rsid w:val="2C2C1BD1"/>
    <w:rsid w:val="2DE6652B"/>
    <w:rsid w:val="2F862349"/>
    <w:rsid w:val="3264295B"/>
    <w:rsid w:val="32E60688"/>
    <w:rsid w:val="34ED7F66"/>
    <w:rsid w:val="35166F5D"/>
    <w:rsid w:val="36DC2DB6"/>
    <w:rsid w:val="370C2303"/>
    <w:rsid w:val="3986519B"/>
    <w:rsid w:val="39A16D33"/>
    <w:rsid w:val="3BF515B8"/>
    <w:rsid w:val="3C8700A1"/>
    <w:rsid w:val="3F9D73DC"/>
    <w:rsid w:val="40490DFC"/>
    <w:rsid w:val="408E5CD7"/>
    <w:rsid w:val="41505924"/>
    <w:rsid w:val="453E7BCA"/>
    <w:rsid w:val="4A205A52"/>
    <w:rsid w:val="4B9512C3"/>
    <w:rsid w:val="4D7F50F4"/>
    <w:rsid w:val="4DCC31CD"/>
    <w:rsid w:val="540818E5"/>
    <w:rsid w:val="5785783C"/>
    <w:rsid w:val="57B343A9"/>
    <w:rsid w:val="5896268F"/>
    <w:rsid w:val="58F3217D"/>
    <w:rsid w:val="5AEE394A"/>
    <w:rsid w:val="5B765E19"/>
    <w:rsid w:val="5C9479B7"/>
    <w:rsid w:val="5DA978E8"/>
    <w:rsid w:val="5E2F659B"/>
    <w:rsid w:val="60546BB6"/>
    <w:rsid w:val="612141BC"/>
    <w:rsid w:val="61DC44FC"/>
    <w:rsid w:val="62FF66F4"/>
    <w:rsid w:val="64AC0C33"/>
    <w:rsid w:val="659A2704"/>
    <w:rsid w:val="65D6265A"/>
    <w:rsid w:val="6629716E"/>
    <w:rsid w:val="66576D64"/>
    <w:rsid w:val="68AF4E0D"/>
    <w:rsid w:val="6A1717A1"/>
    <w:rsid w:val="6F0230C8"/>
    <w:rsid w:val="6FBF7332"/>
    <w:rsid w:val="7099406B"/>
    <w:rsid w:val="711442C7"/>
    <w:rsid w:val="726C56AC"/>
    <w:rsid w:val="75014DEC"/>
    <w:rsid w:val="75CB0AEC"/>
    <w:rsid w:val="7B66335D"/>
    <w:rsid w:val="7C6103FC"/>
    <w:rsid w:val="7E637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7"/>
    <w:autoRedefine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autoRedefine/>
    <w:qFormat/>
    <w:uiPriority w:val="0"/>
    <w:rPr>
      <w:b/>
    </w:rPr>
  </w:style>
  <w:style w:type="character" w:customStyle="1" w:styleId="7">
    <w:name w:val="标题 2 字符"/>
    <w:basedOn w:val="5"/>
    <w:link w:val="2"/>
    <w:autoRedefine/>
    <w:qFormat/>
    <w:uiPriority w:val="0"/>
    <w:rPr>
      <w:rFonts w:ascii="Calibri Light" w:hAnsi="Calibri Light" w:eastAsia="宋体" w:cs="Times New Roman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1.png"/><Relationship Id="rId4" Type="http://schemas.openxmlformats.org/officeDocument/2006/relationships/chart" Target="charts/chart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file:///C:\Users\Administrator\Desktop\&#25919;&#21153;&#20844;&#24320;&#32479;&#35745;&#34920;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1" i="0" u="none" strike="noStrike" kern="1200" baseline="0">
                <a:ln>
                  <a:noFill/>
                </a:ln>
                <a:solidFill>
                  <a:schemeClr val="tx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>
                <a:ln>
                  <a:noFill/>
                </a:ln>
              </a:rPr>
              <a:t>军屯乡2024年政务公开情况</a:t>
            </a:r>
            <a:endParaRPr>
              <a:ln>
                <a:noFill/>
              </a:ln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[政务公开统计表1.xlsx]Sheet4!$E$21</c:f>
              <c:strCache>
                <c:ptCount val="1"/>
                <c:pt idx="0">
                  <c:v>总和("列2")</c:v>
                </c:pt>
              </c:strCache>
            </c:strRef>
          </c:tx>
          <c:spPr/>
          <c:explosion val="0"/>
          <c:dPt>
            <c:idx val="0"/>
            <c:bubble3D val="0"/>
            <c:spPr>
              <a:solidFill>
                <a:schemeClr val="accent1"/>
              </a:solidFill>
              <a:ln>
                <a:solidFill>
                  <a:schemeClr val="bg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solidFill>
                  <a:schemeClr val="bg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solidFill>
                  <a:schemeClr val="bg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solidFill>
                  <a:schemeClr val="bg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5"/>
              </a:solidFill>
              <a:ln>
                <a:solidFill>
                  <a:schemeClr val="bg1"/>
                </a:solidFill>
              </a:ln>
              <a:effectLst/>
            </c:spPr>
          </c:dPt>
          <c:dPt>
            <c:idx val="5"/>
            <c:bubble3D val="0"/>
            <c:spPr>
              <a:solidFill>
                <a:schemeClr val="accent6"/>
              </a:solidFill>
              <a:ln>
                <a:solidFill>
                  <a:schemeClr val="bg1"/>
                </a:solidFill>
              </a:ln>
              <a:effectLst/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solidFill>
                  <a:schemeClr val="bg1"/>
                </a:solidFill>
              </a:ln>
              <a:effectLst/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solidFill>
                  <a:schemeClr val="bg1"/>
                </a:solidFill>
              </a:ln>
              <a:effectLst/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>
                <a:solidFill>
                  <a:schemeClr val="bg1"/>
                </a:solidFill>
              </a:ln>
              <a:effectLst/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>
                <a:solidFill>
                  <a:schemeClr val="bg1"/>
                </a:solidFill>
              </a:ln>
              <a:effectLst/>
            </c:spPr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>
                <a:solidFill>
                  <a:schemeClr val="bg1"/>
                </a:solidFill>
              </a:ln>
              <a:effectLst/>
            </c:spPr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>
                <a:solidFill>
                  <a:schemeClr val="bg1"/>
                </a:solidFill>
              </a:ln>
              <a:effectLst/>
            </c:spPr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>
                <a:solidFill>
                  <a:schemeClr val="bg1"/>
                </a:solidFill>
              </a:ln>
              <a:effectLst/>
            </c:spPr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>
                <a:solidFill>
                  <a:schemeClr val="bg1"/>
                </a:solidFill>
              </a:ln>
              <a:effectLst/>
            </c:spPr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>
                <a:solidFill>
                  <a:schemeClr val="bg1"/>
                </a:solidFill>
              </a:ln>
              <a:effectLst/>
            </c:spPr>
          </c:dPt>
          <c:dLbls>
            <c:dLbl>
              <c:idx val="0"/>
              <c:layout/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1000" b="1" i="0" u="none" strike="noStrike" kern="1200" spc="0" baseline="0">
                      <a:ln>
                        <a:noFill/>
                      </a:ln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  <c:dLblPos val="outEnd"/>
              <c:showLegendKey val="1"/>
              <c:showVal val="0"/>
              <c:showCatName val="1"/>
              <c:showSerName val="0"/>
              <c:showPercent val="1"/>
              <c:showBubbleSize val="0"/>
              <c:separator> </c:separator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/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1000" b="1" i="0" u="none" strike="noStrike" kern="1200" spc="0" baseline="0">
                      <a:ln>
                        <a:noFill/>
                      </a:ln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  <c:dLblPos val="outEnd"/>
              <c:showLegendKey val="1"/>
              <c:showVal val="0"/>
              <c:showCatName val="1"/>
              <c:showSerName val="0"/>
              <c:showPercent val="1"/>
              <c:showBubbleSize val="0"/>
              <c:separator> </c:separator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/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1000" b="1" i="0" u="none" strike="noStrike" kern="1200" spc="0" baseline="0">
                      <a:ln>
                        <a:noFill/>
                      </a:ln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  <c:dLblPos val="outEnd"/>
              <c:showLegendKey val="1"/>
              <c:showVal val="0"/>
              <c:showCatName val="1"/>
              <c:showSerName val="0"/>
              <c:showPercent val="1"/>
              <c:showBubbleSize val="0"/>
              <c:separator> </c:separator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/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1000" b="1" i="0" u="none" strike="noStrike" kern="1200" spc="0" baseline="0">
                      <a:ln>
                        <a:noFill/>
                      </a:ln>
                      <a:solidFill>
                        <a:schemeClr val="accent4"/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  <c:dLblPos val="outEnd"/>
              <c:showLegendKey val="1"/>
              <c:showVal val="0"/>
              <c:showCatName val="1"/>
              <c:showSerName val="0"/>
              <c:showPercent val="1"/>
              <c:showBubbleSize val="0"/>
              <c:separator> </c:separator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/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1000" b="1" i="0" u="none" strike="noStrike" kern="1200" spc="0" baseline="0">
                      <a:ln>
                        <a:noFill/>
                      </a:ln>
                      <a:solidFill>
                        <a:schemeClr val="accent5"/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  <c:dLblPos val="outEnd"/>
              <c:showLegendKey val="1"/>
              <c:showVal val="0"/>
              <c:showCatName val="1"/>
              <c:showSerName val="0"/>
              <c:showPercent val="1"/>
              <c:showBubbleSize val="0"/>
              <c:separator> </c:separator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1000" b="1" i="0" u="none" strike="noStrike" kern="1200" spc="0" baseline="0">
                        <a:ln>
                          <a:noFill/>
                        </a:ln>
                        <a:solidFill>
                          <a:schemeClr val="accent6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>
                        <a:gradFill>
                          <a:gsLst>
                            <a:gs pos="50000">
                              <a:schemeClr val="tx1"/>
                            </a:gs>
                            <a:gs pos="0">
                              <a:schemeClr val="tx1">
                                <a:lumMod val="25000"/>
                                <a:lumOff val="75000"/>
                              </a:schemeClr>
                            </a:gs>
                            <a:gs pos="100000">
                              <a:schemeClr val="tx1">
                                <a:lumMod val="85000"/>
                              </a:schemeClr>
                            </a:gs>
                          </a:gsLst>
                          <a:lin ang="5400000" scaled="1"/>
                        </a:gradFill>
                      </a:rPr>
                      <a:t>应急管理 4%</a:t>
                    </a:r>
                    <a:endParaRPr>
                      <a:gradFill>
                        <a:gsLst>
                          <a:gs pos="50000">
                            <a:schemeClr val="tx1"/>
                          </a:gs>
                          <a:gs pos="0">
                            <a:schemeClr val="tx1">
                              <a:lumMod val="25000"/>
                              <a:lumOff val="75000"/>
                            </a:schemeClr>
                          </a:gs>
                          <a:gs pos="100000">
                            <a:schemeClr val="tx1">
                              <a:lumMod val="85000"/>
                            </a:schemeClr>
                          </a:gs>
                        </a:gsLst>
                        <a:lin ang="5400000" scaled="1"/>
                      </a:gradFill>
                    </a:endParaRPr>
                  </a:p>
                </c:rich>
              </c:tx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1000" b="1" i="0" u="none" strike="noStrike" kern="1200" spc="0" baseline="0">
                      <a:ln>
                        <a:noFill/>
                      </a:ln>
                      <a:solidFill>
                        <a:schemeClr val="accent6"/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  <c:dLblPos val="outEnd"/>
              <c:showLegendKey val="1"/>
              <c:showVal val="0"/>
              <c:showCatName val="1"/>
              <c:showSerName val="0"/>
              <c:showPercent val="1"/>
              <c:showBubbleSize val="0"/>
              <c:separator> </c:separator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1000" b="1" i="0" u="none" strike="noStrike" kern="1200" spc="0" baseline="0">
                        <a:ln>
                          <a:noFill/>
                        </a:ln>
                        <a:solidFill>
                          <a:schemeClr val="accent1">
                            <a:lumMod val="60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>
                        <a:solidFill>
                          <a:srgbClr val="FF0000"/>
                        </a:solidFill>
                      </a:rPr>
                      <a:t>政务公开基础建设 4%</a:t>
                    </a:r>
                    <a:endParaRPr>
                      <a:solidFill>
                        <a:srgbClr val="FF0000"/>
                      </a:solidFill>
                    </a:endParaRPr>
                  </a:p>
                </c:rich>
              </c:tx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1000" b="1" i="0" u="none" strike="noStrike" kern="1200" spc="0" baseline="0">
                      <a:ln>
                        <a:noFill/>
                      </a:ln>
                      <a:solidFill>
                        <a:schemeClr val="accent1">
                          <a:lumMod val="6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  <c:dLblPos val="outEnd"/>
              <c:showLegendKey val="1"/>
              <c:showVal val="0"/>
              <c:showCatName val="1"/>
              <c:showSerName val="0"/>
              <c:showPercent val="1"/>
              <c:showBubbleSize val="0"/>
              <c:separator> </c:separator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/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1000" b="1" i="0" u="none" strike="noStrike" kern="1200" spc="0" baseline="0">
                      <a:ln>
                        <a:noFill/>
                      </a:ln>
                      <a:solidFill>
                        <a:schemeClr val="accent2">
                          <a:lumMod val="6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  <c:dLblPos val="outEnd"/>
              <c:showLegendKey val="1"/>
              <c:showVal val="0"/>
              <c:showCatName val="1"/>
              <c:showSerName val="0"/>
              <c:showPercent val="1"/>
              <c:showBubbleSize val="0"/>
              <c:separator> </c:separator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/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1000" b="1" i="0" u="none" strike="noStrike" kern="1200" spc="0" baseline="0">
                      <a:ln>
                        <a:noFill/>
                      </a:ln>
                      <a:solidFill>
                        <a:schemeClr val="accent3">
                          <a:lumMod val="6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  <c:dLblPos val="outEnd"/>
              <c:showLegendKey val="1"/>
              <c:showVal val="0"/>
              <c:showCatName val="1"/>
              <c:showSerName val="0"/>
              <c:showPercent val="1"/>
              <c:showBubbleSize val="0"/>
              <c:separator> </c:separator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/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1000" b="1" i="0" u="none" strike="noStrike" kern="1200" spc="0" baseline="0">
                      <a:ln>
                        <a:noFill/>
                      </a:ln>
                      <a:solidFill>
                        <a:schemeClr val="accent4">
                          <a:lumMod val="6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  <c:dLblPos val="outEnd"/>
              <c:showLegendKey val="1"/>
              <c:showVal val="0"/>
              <c:showCatName val="1"/>
              <c:showSerName val="0"/>
              <c:showPercent val="1"/>
              <c:showBubbleSize val="0"/>
              <c:separator> </c:separator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/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1000" b="1" i="0" u="none" strike="noStrike" kern="1200" spc="0" baseline="0">
                      <a:ln>
                        <a:noFill/>
                      </a:ln>
                      <a:solidFill>
                        <a:schemeClr val="accent5">
                          <a:lumMod val="6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  <c:dLblPos val="outEnd"/>
              <c:showLegendKey val="1"/>
              <c:showVal val="0"/>
              <c:showCatName val="1"/>
              <c:showSerName val="0"/>
              <c:showPercent val="1"/>
              <c:showBubbleSize val="0"/>
              <c:separator> </c:separator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/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1000" b="1" i="0" u="none" strike="noStrike" kern="1200" spc="0" baseline="0">
                      <a:ln>
                        <a:noFill/>
                      </a:ln>
                      <a:solidFill>
                        <a:schemeClr val="accent6">
                          <a:lumMod val="6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  <c:dLblPos val="outEnd"/>
              <c:showLegendKey val="1"/>
              <c:showVal val="0"/>
              <c:showCatName val="1"/>
              <c:showSerName val="0"/>
              <c:showPercent val="1"/>
              <c:showBubbleSize val="0"/>
              <c:separator> </c:separator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/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1000" b="1" i="0" u="none" strike="noStrike" kern="1200" spc="0" baseline="0">
                      <a:ln>
                        <a:noFill/>
                      </a:ln>
                      <a:solidFill>
                        <a:schemeClr val="accent1">
                          <a:lumMod val="80000"/>
                          <a:lumOff val="2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  <c:dLblPos val="outEnd"/>
              <c:showLegendKey val="1"/>
              <c:showVal val="0"/>
              <c:showCatName val="1"/>
              <c:showSerName val="0"/>
              <c:showPercent val="1"/>
              <c:showBubbleSize val="0"/>
              <c:separator> </c:separator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/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1000" b="1" i="0" u="none" strike="noStrike" kern="1200" spc="0" baseline="0">
                      <a:ln>
                        <a:noFill/>
                      </a:ln>
                      <a:solidFill>
                        <a:schemeClr val="accent2">
                          <a:lumMod val="80000"/>
                          <a:lumOff val="2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  <c:dLblPos val="outEnd"/>
              <c:showLegendKey val="1"/>
              <c:showVal val="0"/>
              <c:showCatName val="1"/>
              <c:showSerName val="0"/>
              <c:showPercent val="1"/>
              <c:showBubbleSize val="0"/>
              <c:separator> </c:separator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/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1000" b="1" i="0" u="none" strike="noStrike" kern="1200" spc="0" baseline="0">
                      <a:ln>
                        <a:noFill/>
                      </a:ln>
                      <a:solidFill>
                        <a:schemeClr val="accent3">
                          <a:lumMod val="80000"/>
                          <a:lumOff val="2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  <c:dLblPos val="outEnd"/>
              <c:showLegendKey val="1"/>
              <c:showVal val="0"/>
              <c:showCatName val="1"/>
              <c:showSerName val="0"/>
              <c:showPercent val="1"/>
              <c:showBubbleSize val="0"/>
              <c:separator> </c:separator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00" b="1" i="0" u="none" strike="noStrike" kern="1200" spc="0" baseline="0">
                    <a:ln>
                      <a:noFill/>
                    </a:ln>
                    <a:solidFill>
                      <a:schemeClr val="accent1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1"/>
            <c:showVal val="0"/>
            <c:showCatName val="1"/>
            <c:showSerName val="0"/>
            <c:showPercent val="1"/>
            <c:showBubbleSize val="0"/>
            <c:separator> </c:separator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[政务公开统计表1.xlsx]Sheet4!$D$22:$D$36</c:f>
              <c:strCache>
                <c:ptCount val="15"/>
                <c:pt idx="0">
                  <c:v>乡镇动态</c:v>
                </c:pt>
                <c:pt idx="1">
                  <c:v>行政权力公开</c:v>
                </c:pt>
                <c:pt idx="2">
                  <c:v>政务公开组织管理</c:v>
                </c:pt>
                <c:pt idx="3">
                  <c:v>政策解读</c:v>
                </c:pt>
                <c:pt idx="4">
                  <c:v>其他法定主动公开内容</c:v>
                </c:pt>
                <c:pt idx="5">
                  <c:v>应急管理</c:v>
                </c:pt>
                <c:pt idx="6">
                  <c:v>政务公开基础建设</c:v>
                </c:pt>
                <c:pt idx="7">
                  <c:v>规划计划</c:v>
                </c:pt>
                <c:pt idx="8">
                  <c:v>财政预算决算</c:v>
                </c:pt>
                <c:pt idx="9">
                  <c:v>会议公开</c:v>
                </c:pt>
                <c:pt idx="10">
                  <c:v>公告公示</c:v>
                </c:pt>
                <c:pt idx="11">
                  <c:v>年报图解</c:v>
                </c:pt>
                <c:pt idx="12">
                  <c:v>政务信息公开指南</c:v>
                </c:pt>
                <c:pt idx="13">
                  <c:v>政策文件</c:v>
                </c:pt>
                <c:pt idx="14">
                  <c:v>机构职能</c:v>
                </c:pt>
              </c:strCache>
            </c:strRef>
          </c:cat>
          <c:val>
            <c:numRef>
              <c:f>[政务公开统计表1.xlsx]Sheet4!$E$22:$E$36</c:f>
              <c:numCache>
                <c:formatCode>General</c:formatCode>
                <c:ptCount val="15"/>
                <c:pt idx="0">
                  <c:v>13</c:v>
                </c:pt>
                <c:pt idx="1">
                  <c:v>13</c:v>
                </c:pt>
                <c:pt idx="2">
                  <c:v>6</c:v>
                </c:pt>
                <c:pt idx="3">
                  <c:v>3</c:v>
                </c:pt>
                <c:pt idx="4">
                  <c:v>2</c:v>
                </c:pt>
                <c:pt idx="5">
                  <c:v>2</c:v>
                </c:pt>
                <c:pt idx="6">
                  <c:v>2</c:v>
                </c:pt>
                <c:pt idx="7">
                  <c:v>2</c:v>
                </c:pt>
                <c:pt idx="8">
                  <c:v>2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  <c:pt idx="13">
                  <c:v>1</c:v>
                </c:pt>
                <c:pt idx="14">
                  <c:v>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zero"/>
    <c:showDLblsOverMax val="0"/>
    <c:extLst>
      <c:ext uri="{0b15fc19-7d7d-44ad-8c2d-2c3a37ce22c3}">
        <chartProps xmlns="https://web.wps.cn/et/2018/main" chartId="{413df317-2ef3-43f8-9fba-ccff0e5f7d97}"/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lang="zh-CN">
          <a:ln>
            <a:noFill/>
          </a:ln>
        </a:defRPr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084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0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1">
      <cs:styleClr val="auto"/>
    </cs:fillRef>
    <cs:effectRef idx="0"/>
    <cs:fontRef idx="minor">
      <a:schemeClr val="dk1"/>
    </cs:fontRef>
    <cs:spPr>
      <a:ln>
        <a:solidFill>
          <a:schemeClr val="bg1"/>
        </a:solidFill>
      </a:ln>
      <a:effectLst/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02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75000"/>
        <a:lumOff val="25000"/>
      </a:schemeClr>
    </cs:fontRef>
    <cs:defRPr sz="1400" b="1" kern="120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1347</Words>
  <Characters>1408</Characters>
  <Lines>0</Lines>
  <Paragraphs>0</Paragraphs>
  <TotalTime>977</TotalTime>
  <ScaleCrop>false</ScaleCrop>
  <LinksUpToDate>false</LinksUpToDate>
  <CharactersWithSpaces>1408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2023-12-11T06:33:00Z</dcterms:created>
  <dc:creator>jtxzf</dc:creator>
  <cp:lastModifiedBy>Fighter~</cp:lastModifiedBy>
  <dcterms:modified xsi:type="dcterms:W3CDTF">2025-01-19T01:10:37Z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DB45DF62EA4B4FDE9030EA49D7C54FBC_13</vt:lpwstr>
  </property>
  <property fmtid="{D5CDD505-2E9C-101B-9397-08002B2CF9AE}" pid="4" name="KSOTemplateDocerSaveRecord">
    <vt:lpwstr>eyJoZGlkIjoiNzNkMmFlNzVjYmVhMTQwYmU4MjQ3ZDRmM2ZiOTFiYjQiLCJ1c2VySWQiOiIzMzc0MzEwNDQifQ==</vt:lpwstr>
  </property>
</Properties>
</file>