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（十二）安全生产领域基层政务公开标准目录</w:t>
      </w:r>
      <w:bookmarkEnd w:id="0"/>
    </w:p>
    <w:tbl>
      <w:tblPr>
        <w:tblStyle w:val="3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 ■入户/现场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■社区/企事业单位、村公示栏（电子屏）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■精准推送   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02DE05AB"/>
    <w:rsid w:val="02DE05AB"/>
    <w:rsid w:val="63D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1728</Words>
  <Characters>1736</Characters>
  <Lines>0</Lines>
  <Paragraphs>0</Paragraphs>
  <TotalTime>0</TotalTime>
  <ScaleCrop>false</ScaleCrop>
  <LinksUpToDate>false</LinksUpToDate>
  <CharactersWithSpaces>1801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2020-12-03T03:43:00Z</dcterms:created>
  <dc:creator>糖炒栗子 ້໌ᮨ</dc:creator>
  <cp:lastModifiedBy>Administrator</cp:lastModifiedBy>
  <dcterms:modified xsi:type="dcterms:W3CDTF">2022-12-01T02:48:06Z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B31039AA92264337B9EC195B6EB31F48</vt:lpwstr>
  </property>
</Properties>
</file>