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3614FC2">
      <w:pPr>
        <w:spacing w:line="590" w:lineRule="exact"/>
        <w:ind w:right="-100" w:rightChars="-50"/>
        <w:rPr>
          <w:rFonts w:ascii="仿宋_GB2312" w:eastAsia="仿宋_GB2312"/>
          <w:b/>
          <w:color w:val="000000"/>
          <w:sz w:val="32"/>
          <w:szCs w:val="32"/>
        </w:rPr>
      </w:pPr>
    </w:p>
    <w:p w14:paraId="2599065C">
      <w:pPr>
        <w:spacing w:line="590" w:lineRule="exact"/>
        <w:ind w:right="-100" w:rightChars="-50"/>
        <w:jc w:val="center"/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  <w:lang w:eastAsia="zh-CN"/>
        </w:rPr>
        <w:t>汶上县人力资源和社会保障局</w:t>
      </w:r>
    </w:p>
    <w:p w14:paraId="6DB43A3C">
      <w:pPr>
        <w:spacing w:line="590" w:lineRule="exact"/>
        <w:ind w:right="-100" w:rightChars="-50"/>
        <w:jc w:val="center"/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</w:rPr>
        <w:t>202</w:t>
      </w:r>
      <w:r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  <w:lang w:val="en-US" w:eastAsia="zh-CN"/>
        </w:rPr>
        <w:t>4</w:t>
      </w:r>
      <w:r>
        <w:rPr>
          <w:rFonts w:hint="eastAsia" w:ascii="方正小标宋_GBK" w:hAnsi="方正小标宋_GBK" w:eastAsia="方正小标宋_GBK" w:cs="方正小标宋_GBK"/>
          <w:b/>
          <w:color w:val="000000"/>
          <w:sz w:val="44"/>
          <w:szCs w:val="44"/>
        </w:rPr>
        <w:t>年政府信息公开工作年度报告</w:t>
      </w:r>
    </w:p>
    <w:p w14:paraId="78BDA20F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color w:val="000000"/>
          <w:sz w:val="32"/>
          <w:szCs w:val="32"/>
        </w:rPr>
      </w:pPr>
    </w:p>
    <w:p w14:paraId="6A2AB4CE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本报告由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汶上县人力资源和社会保障局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按照《中华人民共和国政府信息公开条例》（以下简称《条例》）和《中华人民共和国政府信息公开工作年度报告格式》（国办公开办函〔2021〕30号）要求编制。</w:t>
      </w:r>
    </w:p>
    <w:p w14:paraId="4C5B4BAC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本报告内容包括总体情况、主动公开政府信息情况、收到和处理政府信息公开申请情况、政府信息公开行政复议和行政诉讼情况、存在的主要问题及改进情况、其他需要报告的事项等六部分内容。</w:t>
      </w:r>
    </w:p>
    <w:p w14:paraId="71496AB0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本报告所列数据的统计期限自202</w:t>
      </w:r>
      <w:r>
        <w:rPr>
          <w:rFonts w:hint="eastAsia" w:ascii="仿宋_GB2312" w:eastAsia="仿宋_GB2312"/>
          <w:b/>
          <w:color w:val="000000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年1月1日起至202</w:t>
      </w:r>
      <w:r>
        <w:rPr>
          <w:rFonts w:hint="eastAsia" w:ascii="仿宋_GB2312" w:eastAsia="仿宋_GB2312"/>
          <w:b/>
          <w:color w:val="000000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年12月31日止。本报告电子版可在“中国·</w:t>
      </w:r>
      <w:r>
        <w:rPr>
          <w:rFonts w:hint="eastAsia" w:ascii="仿宋_GB2312" w:eastAsia="仿宋_GB2312"/>
          <w:b/>
          <w:color w:val="000000"/>
          <w:sz w:val="32"/>
          <w:szCs w:val="32"/>
          <w:lang w:val="en-US" w:eastAsia="zh-CN"/>
        </w:rPr>
        <w:t>汶上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”政府门户网站（具体网址）查阅或下载。如对本报告有疑问，请与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汶上县人力资源和社会保障局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联系（地址：汶上县新世纪路996号政务服务中心，联系电话：0537-7212757）。</w:t>
      </w:r>
    </w:p>
    <w:p w14:paraId="269CC56F">
      <w:pPr>
        <w:spacing w:line="590" w:lineRule="exact"/>
        <w:ind w:right="-100" w:rightChars="-50" w:firstLine="643" w:firstLineChars="200"/>
        <w:rPr>
          <w:rFonts w:ascii="黑体" w:eastAsia="黑体"/>
          <w:b/>
          <w:color w:val="000000"/>
          <w:sz w:val="32"/>
          <w:szCs w:val="32"/>
        </w:rPr>
      </w:pPr>
      <w:r>
        <w:rPr>
          <w:rFonts w:hint="eastAsia" w:ascii="黑体" w:eastAsia="黑体"/>
          <w:b/>
          <w:color w:val="000000"/>
          <w:sz w:val="32"/>
          <w:szCs w:val="32"/>
        </w:rPr>
        <w:t>一、总体情况</w:t>
      </w:r>
    </w:p>
    <w:p w14:paraId="3351E5D0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2024年，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汶上县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人力资源和社会保障局认真贯彻落实《中华人民共和国政府信息公开条例》，采取主动公开和依申请公开等形式，充分运用政府官方网站、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“智慧汶上”政务号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等新媒体平台发布人社工作动态、公布人社相关信息、解读人社相关政策，不断拓宽工作领域，深化公开内容，丰富公开形式，及时准确地向社会公开政府信息，依法保障了人民群众的知情权、参与权和监督权，不断提升人社信息公开质效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，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政府信息公开工作步入常态化、长效化、规范化管理。</w:t>
      </w:r>
    </w:p>
    <w:p w14:paraId="4EE152F6">
      <w:pPr>
        <w:spacing w:line="240" w:lineRule="auto"/>
        <w:ind w:right="-100" w:rightChars="-50"/>
        <w:jc w:val="center"/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</w:pP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drawing>
          <wp:inline distT="0" distB="0" distL="114300" distR="114300">
            <wp:extent cx="4718050" cy="4199255"/>
            <wp:effectExtent l="0" t="0" r="6350" b="10795"/>
            <wp:docPr id="1" name="图片 7" descr="wechat_2025-01-08_152142_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 descr="wechat_2025-01-08_152142_64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4531">
      <w:pPr>
        <w:spacing w:line="590" w:lineRule="exact"/>
        <w:ind w:right="-100" w:rightChars="-50" w:firstLine="643" w:firstLineChars="200"/>
        <w:rPr>
          <w:rFonts w:ascii="仿宋" w:eastAsia="仿宋"/>
          <w:b/>
          <w:color w:val="000000"/>
          <w:sz w:val="32"/>
          <w:szCs w:val="32"/>
        </w:rPr>
      </w:pPr>
      <w:r>
        <w:rPr>
          <w:rFonts w:hint="eastAsia" w:ascii="仿宋" w:eastAsia="仿宋"/>
          <w:b/>
          <w:color w:val="000000"/>
          <w:sz w:val="32"/>
          <w:szCs w:val="32"/>
        </w:rPr>
        <w:t>（一）主动公开情况</w:t>
      </w:r>
    </w:p>
    <w:p w14:paraId="0456017D">
      <w:pPr>
        <w:spacing w:line="590" w:lineRule="exact"/>
        <w:ind w:right="-100" w:rightChars="-50" w:firstLine="643" w:firstLineChars="200"/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2024年，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eastAsia="zh-CN"/>
        </w:rPr>
        <w:t>汶上县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人力资源和社会保障局始终坚持以公开为常态、不公开为例外的原则，围绕就业创业、社会保险、事业单位招录等重点领域，加强主动公开力度，开展政策解读，及时报道工作动态。2024年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,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我局在县人民政府网站累计主动公开政府信息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382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条。其中工作动态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58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条，政策文件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43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条，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eastAsia="zh-CN"/>
        </w:rPr>
        <w:t>政策解读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38条，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通知公告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83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条，规划计划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4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条，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eastAsia="zh-CN"/>
        </w:rPr>
        <w:t>事业单位招聘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信息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2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3条，重点领域公开稳岗就业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52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条、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eastAsia="zh-CN"/>
        </w:rPr>
        <w:t>社会保险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33条，其他信息48条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</w:rPr>
        <w:t>。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eastAsia="zh-CN"/>
        </w:rPr>
        <w:t>通过“智慧汶上”政务号公开各类信息</w:t>
      </w:r>
      <w:r>
        <w:rPr>
          <w:rFonts w:hint="eastAsia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t>122条。</w:t>
      </w:r>
    </w:p>
    <w:p w14:paraId="31F4F89F">
      <w:pPr>
        <w:spacing w:line="240" w:lineRule="auto"/>
        <w:ind w:right="-100" w:rightChars="-50"/>
        <w:jc w:val="center"/>
        <w:rPr>
          <w:rFonts w:hint="default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</w:pPr>
      <w:r>
        <w:rPr>
          <w:rFonts w:hint="default" w:ascii="仿宋_GB2312" w:hAnsi="文星仿宋" w:eastAsia="仿宋_GB2312" w:cs="仿宋_GB2312"/>
          <w:b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4848860" cy="2748915"/>
            <wp:effectExtent l="0" t="0" r="8890" b="13335"/>
            <wp:docPr id="2" name="图片 3" descr="wechat_2025-01-08_150918_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wechat_2025-01-08_150918_84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50D1E">
      <w:pPr>
        <w:spacing w:line="590" w:lineRule="exact"/>
        <w:ind w:right="-100" w:rightChars="-50" w:firstLine="643" w:firstLineChars="200"/>
        <w:rPr>
          <w:rFonts w:ascii="仿宋" w:eastAsia="仿宋"/>
          <w:b/>
          <w:color w:val="000000"/>
          <w:sz w:val="32"/>
          <w:szCs w:val="32"/>
        </w:rPr>
      </w:pPr>
      <w:r>
        <w:rPr>
          <w:rFonts w:hint="eastAsia" w:ascii="仿宋" w:eastAsia="仿宋"/>
          <w:b/>
          <w:color w:val="000000"/>
          <w:sz w:val="32"/>
          <w:szCs w:val="32"/>
        </w:rPr>
        <w:t>（二）依申请公开情况</w:t>
      </w:r>
    </w:p>
    <w:p w14:paraId="057FF492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规范公开程序，申请登记、承办、审核、答复等各个流程严格按照《政府信息公开条例》执行。能够及时主动公开的信息，能够通过沟通协调告知申请人的信息，都第一时间反馈答复。2024年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未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收到政府信息依申请公开申请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，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未发生因依申请公开引发的行政复议和行政诉讼。</w:t>
      </w:r>
    </w:p>
    <w:p w14:paraId="4703F699">
      <w:pPr>
        <w:spacing w:line="240" w:lineRule="auto"/>
        <w:ind w:right="-100" w:rightChars="-50"/>
        <w:jc w:val="center"/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</w:pP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drawing>
          <wp:inline distT="0" distB="0" distL="114300" distR="114300">
            <wp:extent cx="4906010" cy="2747645"/>
            <wp:effectExtent l="0" t="0" r="8890" b="14605"/>
            <wp:docPr id="3" name="图片 2" descr="wechat_2025-01-08_151412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wechat_2025-01-08_151412_1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B9D81">
      <w:pPr>
        <w:spacing w:line="590" w:lineRule="exact"/>
        <w:ind w:right="-100" w:rightChars="-50" w:firstLine="643" w:firstLineChars="200"/>
        <w:rPr>
          <w:rFonts w:ascii="仿宋" w:eastAsia="仿宋"/>
          <w:b/>
          <w:color w:val="000000"/>
          <w:sz w:val="32"/>
          <w:szCs w:val="32"/>
        </w:rPr>
      </w:pPr>
      <w:r>
        <w:rPr>
          <w:rFonts w:hint="eastAsia" w:ascii="仿宋" w:eastAsia="仿宋"/>
          <w:b/>
          <w:color w:val="000000"/>
          <w:sz w:val="32"/>
          <w:szCs w:val="32"/>
        </w:rPr>
        <w:t>（三）政府信息管理情况</w:t>
      </w:r>
    </w:p>
    <w:p w14:paraId="70A2ADA0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通过网上发存信息均经通过三审后再进行发布，针对法律、法规、规章、规范性文件等重要政务信息，通过统一平台规范发布，并根据立、改、废等情况进行动态调整；强化信息推送审核,确保政务公开工作有专人管、专人负责，确保信息更新及时、准确。</w:t>
      </w:r>
    </w:p>
    <w:p w14:paraId="47E1019E">
      <w:pPr>
        <w:spacing w:line="590" w:lineRule="exact"/>
        <w:ind w:right="-100" w:rightChars="-50" w:firstLine="643" w:firstLineChars="200"/>
        <w:rPr>
          <w:rFonts w:ascii="仿宋" w:eastAsia="仿宋"/>
          <w:b/>
          <w:color w:val="000000"/>
          <w:sz w:val="32"/>
          <w:szCs w:val="32"/>
        </w:rPr>
      </w:pPr>
      <w:r>
        <w:rPr>
          <w:rFonts w:hint="eastAsia" w:ascii="仿宋" w:eastAsia="仿宋"/>
          <w:b/>
          <w:color w:val="000000"/>
          <w:sz w:val="32"/>
          <w:szCs w:val="32"/>
        </w:rPr>
        <w:t>（四）政府信息公开平台建设情况</w:t>
      </w:r>
    </w:p>
    <w:p w14:paraId="704699F9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进一步优化和完善了政府信息公开平台，确保网站的稳定性和信息的准确性。及时更新重点领域信息，方便公众查阅和获取。同时，积极利用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智慧汶上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等新媒体平台，拓展信息公开渠道，提高信息传播的及时性和覆盖面。</w:t>
      </w:r>
    </w:p>
    <w:p w14:paraId="2E6C31D8">
      <w:pPr>
        <w:spacing w:line="240" w:lineRule="auto"/>
        <w:ind w:right="-100" w:rightChars="-50"/>
        <w:jc w:val="center"/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</w:pP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drawing>
          <wp:inline distT="0" distB="0" distL="114300" distR="114300">
            <wp:extent cx="2255520" cy="4445000"/>
            <wp:effectExtent l="0" t="0" r="11430" b="12700"/>
            <wp:docPr id="4" name="图片 6" descr="微信图片_2025010815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微信图片_202501081520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4F7F0">
      <w:pPr>
        <w:spacing w:line="590" w:lineRule="exact"/>
        <w:ind w:right="-100" w:rightChars="-50" w:firstLine="643" w:firstLineChars="200"/>
        <w:rPr>
          <w:rFonts w:ascii="仿宋" w:eastAsia="仿宋"/>
          <w:b/>
          <w:color w:val="000000"/>
          <w:sz w:val="32"/>
          <w:szCs w:val="32"/>
        </w:rPr>
      </w:pPr>
      <w:r>
        <w:rPr>
          <w:rFonts w:hint="eastAsia" w:ascii="仿宋" w:eastAsia="仿宋"/>
          <w:b/>
          <w:color w:val="000000"/>
          <w:sz w:val="32"/>
          <w:szCs w:val="32"/>
        </w:rPr>
        <w:t>（五）监督保障情况</w:t>
      </w:r>
    </w:p>
    <w:p w14:paraId="68812D1B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color w:val="000000"/>
          <w:sz w:val="32"/>
          <w:szCs w:val="32"/>
        </w:rPr>
      </w:pPr>
      <w:r>
        <w:rPr>
          <w:rFonts w:hint="eastAsia" w:ascii="仿宋_GB2312" w:eastAsia="仿宋_GB2312"/>
          <w:b/>
          <w:color w:val="000000"/>
          <w:sz w:val="32"/>
          <w:szCs w:val="32"/>
        </w:rPr>
        <w:t>高度重视政府信息公开工作，成立了专门的工作领导小组，明确分工，细化责任。定期对政府信息公开工作进行检查和评估，及时发现和解决问题，确保政府信息公开工作的高效有序开展。同时，积极参加</w:t>
      </w:r>
      <w:r>
        <w:rPr>
          <w:rFonts w:hint="eastAsia" w:ascii="仿宋_GB2312" w:eastAsia="仿宋_GB2312"/>
          <w:b/>
          <w:color w:val="000000"/>
          <w:sz w:val="32"/>
          <w:szCs w:val="32"/>
          <w:lang w:eastAsia="zh-CN"/>
        </w:rPr>
        <w:t>县</w:t>
      </w:r>
      <w:r>
        <w:rPr>
          <w:rFonts w:hint="eastAsia" w:ascii="仿宋_GB2312" w:eastAsia="仿宋_GB2312"/>
          <w:b/>
          <w:color w:val="000000"/>
          <w:sz w:val="32"/>
          <w:szCs w:val="32"/>
        </w:rPr>
        <w:t>政府组织的政府信息公开培训和交流活动，不断提高工作人员的业务水平和能力。</w:t>
      </w:r>
    </w:p>
    <w:p w14:paraId="4AFA537C">
      <w:pPr>
        <w:spacing w:line="590" w:lineRule="exact"/>
        <w:ind w:right="-100" w:rightChars="-50" w:firstLine="643" w:firstLineChars="200"/>
        <w:rPr>
          <w:rFonts w:ascii="黑体" w:eastAsia="黑体"/>
          <w:b/>
          <w:color w:val="000000"/>
          <w:sz w:val="32"/>
          <w:szCs w:val="32"/>
        </w:rPr>
      </w:pPr>
      <w:r>
        <w:rPr>
          <w:rFonts w:hint="eastAsia" w:ascii="黑体" w:eastAsia="黑体"/>
          <w:b/>
          <w:color w:val="000000"/>
          <w:sz w:val="32"/>
          <w:szCs w:val="32"/>
        </w:rPr>
        <w:t>二、主动公开政府信息情况</w:t>
      </w:r>
    </w:p>
    <w:tbl>
      <w:tblPr>
        <w:tblStyle w:val="3"/>
        <w:tblW w:w="87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35"/>
        <w:gridCol w:w="2133"/>
        <w:gridCol w:w="2216"/>
        <w:gridCol w:w="1989"/>
      </w:tblGrid>
      <w:tr w14:paraId="2CDEC6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8773" w:type="dxa"/>
            <w:gridSpan w:val="4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AFEE037">
            <w:pPr>
              <w:widowControl/>
              <w:spacing w:line="340" w:lineRule="exact"/>
              <w:jc w:val="center"/>
              <w:rPr>
                <w:rFonts w:ascii="黑体" w:eastAsia="黑体"/>
                <w:b/>
                <w:sz w:val="24"/>
                <w:szCs w:val="24"/>
              </w:rPr>
            </w:pPr>
            <w:r>
              <w:rPr>
                <w:rFonts w:hint="eastAsia" w:ascii="黑体" w:hAnsi="宋体" w:eastAsia="黑体" w:cs="宋体"/>
                <w:b/>
                <w:sz w:val="24"/>
                <w:szCs w:val="24"/>
                <w:lang w:bidi="ar"/>
              </w:rPr>
              <w:t>第二十条第（一）项</w:t>
            </w:r>
          </w:p>
        </w:tc>
      </w:tr>
      <w:tr w14:paraId="2ECCA9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4A59069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信息内容</w:t>
            </w:r>
          </w:p>
        </w:tc>
        <w:tc>
          <w:tcPr>
            <w:tcW w:w="2133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9AF65FD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本年制发件数</w:t>
            </w:r>
          </w:p>
        </w:tc>
        <w:tc>
          <w:tcPr>
            <w:tcW w:w="2216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5BB6ABA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本年废止件数</w:t>
            </w:r>
          </w:p>
        </w:tc>
        <w:tc>
          <w:tcPr>
            <w:tcW w:w="1989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2633CF9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现行有效件数</w:t>
            </w:r>
          </w:p>
        </w:tc>
      </w:tr>
      <w:tr w14:paraId="049402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60C4180A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规章</w:t>
            </w:r>
          </w:p>
        </w:tc>
        <w:tc>
          <w:tcPr>
            <w:tcW w:w="2133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E0FD6A7">
            <w:pPr>
              <w:widowControl/>
              <w:spacing w:line="340" w:lineRule="exact"/>
              <w:jc w:val="center"/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2216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40BAECB7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1989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BC95E3E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val="en-US" w:eastAsia="zh-CN" w:bidi="ar"/>
              </w:rPr>
              <w:t>0</w:t>
            </w:r>
          </w:p>
        </w:tc>
      </w:tr>
      <w:tr w14:paraId="36CEF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B0BEA4D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行政规范性文件</w:t>
            </w:r>
          </w:p>
        </w:tc>
        <w:tc>
          <w:tcPr>
            <w:tcW w:w="2133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2E55B72">
            <w:pPr>
              <w:widowControl/>
              <w:spacing w:line="340" w:lineRule="exact"/>
              <w:jc w:val="center"/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16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07A30ED2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989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75DD55D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0</w:t>
            </w:r>
          </w:p>
        </w:tc>
      </w:tr>
      <w:tr w14:paraId="0B84DF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8773" w:type="dxa"/>
            <w:gridSpan w:val="4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7E9789C8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黑体" w:hAnsi="宋体" w:eastAsia="黑体" w:cs="宋体"/>
                <w:b/>
                <w:sz w:val="24"/>
                <w:szCs w:val="24"/>
                <w:lang w:bidi="ar"/>
              </w:rPr>
              <w:t>第二十条第（五）项</w:t>
            </w:r>
          </w:p>
        </w:tc>
      </w:tr>
      <w:tr w14:paraId="1DFEDA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60D3B15E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信息内容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1BE87F5B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本年处理决定数量</w:t>
            </w:r>
          </w:p>
        </w:tc>
      </w:tr>
      <w:tr w14:paraId="5BEB3F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1B63E236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行政许可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65846A3E">
            <w:pPr>
              <w:widowControl/>
              <w:spacing w:line="340" w:lineRule="exact"/>
              <w:jc w:val="center"/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Calibri" w:eastAsia="仿宋_GB2312" w:cs="Calibri"/>
                <w:b/>
                <w:sz w:val="24"/>
                <w:szCs w:val="24"/>
                <w:lang w:val="en-US" w:eastAsia="zh-CN" w:bidi="ar"/>
              </w:rPr>
              <w:t>0</w:t>
            </w:r>
          </w:p>
        </w:tc>
      </w:tr>
      <w:tr w14:paraId="37FC91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8773" w:type="dxa"/>
            <w:gridSpan w:val="4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3C23A3C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黑体" w:hAnsi="宋体" w:eastAsia="黑体" w:cs="宋体"/>
                <w:b/>
                <w:sz w:val="24"/>
                <w:szCs w:val="24"/>
                <w:lang w:bidi="ar"/>
              </w:rPr>
              <w:t>第二十条第（六）项</w:t>
            </w:r>
          </w:p>
        </w:tc>
      </w:tr>
      <w:tr w14:paraId="18BF75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0C4EC07C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信息内容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129B774C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本年处理决定数量</w:t>
            </w:r>
          </w:p>
        </w:tc>
      </w:tr>
      <w:tr w14:paraId="350E8F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661F58F3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行政处罚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77E105B9">
            <w:pPr>
              <w:widowControl/>
              <w:spacing w:line="340" w:lineRule="exact"/>
              <w:jc w:val="center"/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0</w:t>
            </w:r>
          </w:p>
        </w:tc>
      </w:tr>
      <w:tr w14:paraId="5997F1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757D4825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行政强制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69612D70">
            <w:pPr>
              <w:widowControl/>
              <w:spacing w:line="340" w:lineRule="exact"/>
              <w:jc w:val="center"/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0</w:t>
            </w:r>
          </w:p>
        </w:tc>
      </w:tr>
      <w:tr w14:paraId="7615FF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8773" w:type="dxa"/>
            <w:gridSpan w:val="4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5CD557C3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黑体" w:hAnsi="宋体" w:eastAsia="黑体" w:cs="宋体"/>
                <w:b/>
                <w:sz w:val="24"/>
                <w:szCs w:val="24"/>
                <w:lang w:bidi="ar"/>
              </w:rPr>
              <w:t>第二十条第（八）项</w:t>
            </w:r>
          </w:p>
        </w:tc>
      </w:tr>
      <w:tr w14:paraId="4C3CF4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43F41BC8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信息内容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309269B0">
            <w:pPr>
              <w:widowControl/>
              <w:spacing w:line="340" w:lineRule="exact"/>
              <w:jc w:val="center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本年收费金额（单位：万元）</w:t>
            </w:r>
          </w:p>
        </w:tc>
      </w:tr>
      <w:tr w14:paraId="6FA150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435" w:type="dxa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751A556A">
            <w:pPr>
              <w:widowControl/>
              <w:spacing w:line="340" w:lineRule="exact"/>
              <w:jc w:val="left"/>
              <w:rPr>
                <w:rFonts w:ascii="仿宋_GB2312" w:eastAsia="仿宋_GB2312"/>
                <w:b/>
                <w:sz w:val="24"/>
                <w:szCs w:val="24"/>
              </w:rPr>
            </w:pPr>
            <w:r>
              <w:rPr>
                <w:rFonts w:hint="eastAsia" w:ascii="仿宋_GB2312" w:hAnsi="宋体" w:eastAsia="仿宋_GB2312" w:cs="宋体"/>
                <w:b/>
                <w:sz w:val="24"/>
                <w:szCs w:val="24"/>
                <w:lang w:bidi="ar"/>
              </w:rPr>
              <w:t>行政事业性收费</w:t>
            </w:r>
          </w:p>
        </w:tc>
        <w:tc>
          <w:tcPr>
            <w:tcW w:w="6338" w:type="dxa"/>
            <w:gridSpan w:val="3"/>
            <w:shd w:val="clear" w:color="auto" w:fill="FFFFFF"/>
            <w:noWrap w:val="0"/>
            <w:tcMar>
              <w:left w:w="57" w:type="dxa"/>
              <w:right w:w="57" w:type="dxa"/>
            </w:tcMar>
            <w:vAlign w:val="center"/>
          </w:tcPr>
          <w:p w14:paraId="139B2CCF">
            <w:pPr>
              <w:spacing w:line="340" w:lineRule="exact"/>
              <w:jc w:val="center"/>
              <w:rPr>
                <w:rFonts w:hint="default" w:ascii="仿宋_GB2312" w:eastAsia="仿宋_GB2312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/>
                <w:sz w:val="24"/>
                <w:szCs w:val="24"/>
                <w:lang w:val="en-US" w:eastAsia="zh-CN"/>
              </w:rPr>
              <w:t>20.87</w:t>
            </w:r>
          </w:p>
        </w:tc>
      </w:tr>
    </w:tbl>
    <w:p w14:paraId="363FDA64">
      <w:pPr>
        <w:spacing w:before="62" w:beforeLines="10" w:after="62" w:afterLines="10" w:line="600" w:lineRule="exact"/>
        <w:ind w:firstLine="643" w:firstLineChars="200"/>
        <w:rPr>
          <w:rFonts w:ascii="黑体" w:eastAsia="黑体"/>
          <w:b/>
          <w:sz w:val="32"/>
          <w:szCs w:val="32"/>
        </w:rPr>
      </w:pPr>
      <w:r>
        <w:rPr>
          <w:rFonts w:hint="eastAsia" w:ascii="黑体" w:eastAsia="黑体"/>
          <w:b/>
          <w:sz w:val="32"/>
          <w:szCs w:val="32"/>
        </w:rPr>
        <w:t>三、收到和处理政府信息公开申请情况</w:t>
      </w:r>
    </w:p>
    <w:tbl>
      <w:tblPr>
        <w:tblStyle w:val="3"/>
        <w:tblW w:w="881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68"/>
        <w:gridCol w:w="942"/>
        <w:gridCol w:w="2878"/>
        <w:gridCol w:w="791"/>
        <w:gridCol w:w="599"/>
        <w:gridCol w:w="590"/>
        <w:gridCol w:w="598"/>
        <w:gridCol w:w="571"/>
        <w:gridCol w:w="559"/>
        <w:gridCol w:w="521"/>
      </w:tblGrid>
      <w:tr w14:paraId="7C2DB8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4588" w:type="dxa"/>
            <w:gridSpan w:val="3"/>
            <w:vMerge w:val="restart"/>
            <w:noWrap w:val="0"/>
            <w:tcMar>
              <w:left w:w="108" w:type="dxa"/>
              <w:right w:w="108" w:type="dxa"/>
            </w:tcMar>
            <w:vAlign w:val="center"/>
          </w:tcPr>
          <w:p w14:paraId="0A66A1E5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楷体" w:eastAsia="黑体" w:cs="楷体"/>
                <w:b/>
                <w:sz w:val="21"/>
                <w:szCs w:val="21"/>
                <w:lang w:bidi="ar"/>
              </w:rPr>
              <w:t>（本列数据的勾稽关系为：第一项加第二项之和，等于第三项加第四项之和）</w:t>
            </w:r>
          </w:p>
        </w:tc>
        <w:tc>
          <w:tcPr>
            <w:tcW w:w="4229" w:type="dxa"/>
            <w:gridSpan w:val="7"/>
            <w:noWrap w:val="0"/>
            <w:tcMar>
              <w:left w:w="57" w:type="dxa"/>
              <w:right w:w="57" w:type="dxa"/>
            </w:tcMar>
            <w:vAlign w:val="center"/>
          </w:tcPr>
          <w:p w14:paraId="4D3C8A48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申请人情况</w:t>
            </w:r>
          </w:p>
        </w:tc>
      </w:tr>
      <w:tr w14:paraId="033A27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4588" w:type="dxa"/>
            <w:gridSpan w:val="3"/>
            <w:vMerge w:val="continue"/>
            <w:noWrap w:val="0"/>
            <w:tcMar>
              <w:left w:w="108" w:type="dxa"/>
              <w:right w:w="108" w:type="dxa"/>
            </w:tcMar>
            <w:vAlign w:val="center"/>
          </w:tcPr>
          <w:p w14:paraId="6323E24D">
            <w:pPr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791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2F24DA3C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自然人</w:t>
            </w:r>
          </w:p>
        </w:tc>
        <w:tc>
          <w:tcPr>
            <w:tcW w:w="2917" w:type="dxa"/>
            <w:gridSpan w:val="5"/>
            <w:noWrap w:val="0"/>
            <w:tcMar>
              <w:left w:w="57" w:type="dxa"/>
              <w:right w:w="57" w:type="dxa"/>
            </w:tcMar>
            <w:vAlign w:val="center"/>
          </w:tcPr>
          <w:p w14:paraId="2DA7A004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法人或其他组织</w:t>
            </w:r>
          </w:p>
        </w:tc>
        <w:tc>
          <w:tcPr>
            <w:tcW w:w="521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45AF3770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总计</w:t>
            </w:r>
          </w:p>
        </w:tc>
      </w:tr>
      <w:tr w14:paraId="745E3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4588" w:type="dxa"/>
            <w:gridSpan w:val="3"/>
            <w:vMerge w:val="continue"/>
            <w:noWrap w:val="0"/>
            <w:tcMar>
              <w:left w:w="108" w:type="dxa"/>
              <w:right w:w="108" w:type="dxa"/>
            </w:tcMar>
            <w:vAlign w:val="center"/>
          </w:tcPr>
          <w:p w14:paraId="2A0F6E57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791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2C67259B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53DD3A74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商业</w:t>
            </w:r>
          </w:p>
          <w:p w14:paraId="6664F012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企业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01D0A579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科研</w:t>
            </w:r>
          </w:p>
          <w:p w14:paraId="79FA5DC5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机构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63D047EB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社会公益组织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38CA565E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法律服务机构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1D9E72F8">
            <w:pPr>
              <w:widowControl/>
              <w:spacing w:line="300" w:lineRule="exact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其他</w:t>
            </w:r>
          </w:p>
        </w:tc>
        <w:tc>
          <w:tcPr>
            <w:tcW w:w="521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AE35E3B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</w:tr>
      <w:tr w14:paraId="5F580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" w:hRule="atLeast"/>
          <w:jc w:val="center"/>
        </w:trPr>
        <w:tc>
          <w:tcPr>
            <w:tcW w:w="4588" w:type="dxa"/>
            <w:gridSpan w:val="3"/>
            <w:noWrap w:val="0"/>
            <w:tcMar>
              <w:left w:w="57" w:type="dxa"/>
              <w:right w:w="57" w:type="dxa"/>
            </w:tcMar>
            <w:vAlign w:val="center"/>
          </w:tcPr>
          <w:p w14:paraId="7F86B6A8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一、本年新收政府信息公开申请数量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7B46859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17FCAAD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179A267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1FBFDB8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2B138B6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0A5C768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22CEE64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0BEF02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6" w:hRule="atLeast"/>
          <w:jc w:val="center"/>
        </w:trPr>
        <w:tc>
          <w:tcPr>
            <w:tcW w:w="4588" w:type="dxa"/>
            <w:gridSpan w:val="3"/>
            <w:noWrap w:val="0"/>
            <w:tcMar>
              <w:left w:w="57" w:type="dxa"/>
              <w:right w:w="57" w:type="dxa"/>
            </w:tcMar>
            <w:vAlign w:val="center"/>
          </w:tcPr>
          <w:p w14:paraId="50432D80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二、上年结转政府信息公开申请数量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69C2CFE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0257A79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32AC7ED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693034D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7D8A5D9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10BAC49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72C2654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511EA3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7AFC4A10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三、本年度办理结果</w:t>
            </w:r>
          </w:p>
        </w:tc>
        <w:tc>
          <w:tcPr>
            <w:tcW w:w="3820" w:type="dxa"/>
            <w:gridSpan w:val="2"/>
            <w:noWrap w:val="0"/>
            <w:tcMar>
              <w:left w:w="57" w:type="dxa"/>
              <w:right w:w="57" w:type="dxa"/>
            </w:tcMar>
            <w:vAlign w:val="center"/>
          </w:tcPr>
          <w:p w14:paraId="5127C270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（一）予以公开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2B4B477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317FBED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62EB63F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2DA6216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2A02BFA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3905D0B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24D692F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522DE3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8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52437C63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3820" w:type="dxa"/>
            <w:gridSpan w:val="2"/>
            <w:noWrap w:val="0"/>
            <w:tcMar>
              <w:left w:w="57" w:type="dxa"/>
              <w:right w:w="57" w:type="dxa"/>
            </w:tcMar>
            <w:vAlign w:val="center"/>
          </w:tcPr>
          <w:p w14:paraId="7107EF5D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（二）部分公开</w:t>
            </w:r>
            <w:r>
              <w:rPr>
                <w:rFonts w:hint="eastAsia" w:ascii="仿宋_GB2312" w:hAnsi="楷体" w:eastAsia="仿宋_GB2312" w:cs="楷体"/>
                <w:b/>
                <w:sz w:val="21"/>
                <w:szCs w:val="21"/>
                <w:lang w:bidi="ar"/>
              </w:rPr>
              <w:t>（区分处理的，只计这一情形，不计其他情形）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69B3260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401EC06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449BB8E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53F7578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1C2278B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1E4A39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0BC6498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06260D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076E7272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37687785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（三）不予公开</w:t>
            </w: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77DA78C7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1.属于国家秘密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55D9B0E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070DA14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78E154D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40023A8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0EA7999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953C27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3218216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27873C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3E8BF6F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1AC6987F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55E7B72D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2.其他法律行政法规禁止公开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058D92A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473A9E9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1E8F3A9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5436587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984186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0743C26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433673C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0F7BB8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1A5042E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CB5379A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170CFE05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3.危及“三安全一稳定”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578AA4B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74D992A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15C0884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60B8B74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044216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1AE7A71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7E38ED8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508228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778A2CE2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D157054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1526A225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4.保护第三方合法权益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5EA6A09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043E9B4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68D71ED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1943EB8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05DA18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2D9231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234D465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52FA2B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56AD37C5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2121B859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1C8552A7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5.属于三类内部事务信息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09DE39A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783AD1E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3F70A48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5C3B6DA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5BF1BDC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CA2D31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3B0AD57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6C6853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24745DD1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0C8CFBC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36C71512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6.属于四类过程性信息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267C7C7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6B1560B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20466E7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3D654F3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6D5E5B3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5F23D2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1D8C6DC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1D6420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13740165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7C9CFDC4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0B87D4FF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7.属于行政执法案卷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53DF928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33D7ACD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3449778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382B473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72134FE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477D811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5A7D801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4E0E1A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93F5A24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4C5D0FAC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7A850869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8.属于行政查询事项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4FE3EF9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1935F0F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2D98FBF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2FF7FBA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5BF04FD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5A7207A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4D1E777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0F2504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26D8F6E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646666B8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（四）无法提供</w:t>
            </w: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08E33374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1.本机关不掌握相关政府信息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335D52F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19589D3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78BA943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26B33AA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3831CF4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78FFC78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7ACDAEF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00DA23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4342E2AB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7A816038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4FFF4E4E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2.没有现成信息需要另行制作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3AA8C32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3CE8734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7ADB717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4BF9601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3A60154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27F0935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6283311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3F9BFA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006E860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F2ABA4E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7A049B08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3.补正后申请内容仍不明确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2464C6A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385E066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5EB4A1A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2DC7548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D6DE24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7244CF9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6718002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298A01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39D5CFEA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3ED959D7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（五）不予处理</w:t>
            </w: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12FF5BA2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1.信访举报投诉类申请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3A8730A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3C75B1B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5719CF1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0C278C0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6CBD6FC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28FEA67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0FF92F0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29FBA7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0AA00E4F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4B7F346B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5D24ECF0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2.重复申请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5AE8784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20FDEAD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724D1E6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44B74F5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78009C1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7F2ED1F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29B5136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2D779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FC0B026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B615CA7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1DA9C532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3.要求提供公开出版物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6CC4D0C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745D714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0A9E25C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0977889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5BE8DE3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2B9D8A4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4372D9E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49BFC8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4F921EFC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51523960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top"/>
          </w:tcPr>
          <w:p w14:paraId="6322D27D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4.无正当理由大量反复申请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435E05B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2B89674E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098F18F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24E79C1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2162682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62A3837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65E3F85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66D02E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9" w:hRule="atLeast"/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5DAEDEAC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5FC20BEF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center"/>
          </w:tcPr>
          <w:p w14:paraId="39D16715">
            <w:pPr>
              <w:widowControl/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5.要求行政机关确认或重新出具已获取信息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26389B6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6CE6AE5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6703B0CD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323129A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5C8575E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1D58280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4C6AB4AC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3EED7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1A7A96E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restart"/>
            <w:noWrap w:val="0"/>
            <w:tcMar>
              <w:left w:w="57" w:type="dxa"/>
              <w:right w:w="57" w:type="dxa"/>
            </w:tcMar>
            <w:vAlign w:val="center"/>
          </w:tcPr>
          <w:p w14:paraId="3C4B83B2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（六）其他处理</w:t>
            </w: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center"/>
          </w:tcPr>
          <w:p w14:paraId="458D1A78">
            <w:pPr>
              <w:widowControl/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1.申请人无正当理由逾期不补正、行政机关不再处理其政府信息公开申请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1BD4227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50572C8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75BAC1A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4C083C9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075A9F3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1363D1E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7B32F1D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7A37E6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18843D39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6CC16F89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center"/>
          </w:tcPr>
          <w:p w14:paraId="70048336">
            <w:pPr>
              <w:widowControl/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2.申请人逾期未按收费通知要求缴纳费用、行政机关不再处理其政府信息公开申请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40C34A8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57ECCBE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3BE7799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6865B5A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F97354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23A5042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2E6B043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4A75AE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BBCF47D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942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1559E8E6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2878" w:type="dxa"/>
            <w:noWrap w:val="0"/>
            <w:tcMar>
              <w:left w:w="57" w:type="dxa"/>
              <w:right w:w="57" w:type="dxa"/>
            </w:tcMar>
            <w:vAlign w:val="center"/>
          </w:tcPr>
          <w:p w14:paraId="5FB71133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3.其他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33E037DB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2D215E8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3D30AAB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70C1736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2AE06D4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6BB4A15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0CF03DB3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43D4A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68" w:type="dxa"/>
            <w:vMerge w:val="continue"/>
            <w:noWrap w:val="0"/>
            <w:tcMar>
              <w:left w:w="57" w:type="dxa"/>
              <w:right w:w="57" w:type="dxa"/>
            </w:tcMar>
            <w:vAlign w:val="center"/>
          </w:tcPr>
          <w:p w14:paraId="386A6B10">
            <w:pPr>
              <w:spacing w:line="300" w:lineRule="exact"/>
              <w:rPr>
                <w:rFonts w:ascii="仿宋_GB2312" w:eastAsia="仿宋_GB2312"/>
                <w:b/>
                <w:sz w:val="21"/>
                <w:szCs w:val="21"/>
              </w:rPr>
            </w:pPr>
          </w:p>
        </w:tc>
        <w:tc>
          <w:tcPr>
            <w:tcW w:w="3820" w:type="dxa"/>
            <w:gridSpan w:val="2"/>
            <w:noWrap w:val="0"/>
            <w:tcMar>
              <w:left w:w="57" w:type="dxa"/>
              <w:right w:w="57" w:type="dxa"/>
            </w:tcMar>
            <w:vAlign w:val="center"/>
          </w:tcPr>
          <w:p w14:paraId="61E26CAE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（七）总计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405E5F0F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43F0155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02355CB7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675DE255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48FC6CD2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25D30A7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7533AC80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  <w:tr w14:paraId="316491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4588" w:type="dxa"/>
            <w:gridSpan w:val="3"/>
            <w:noWrap w:val="0"/>
            <w:tcMar>
              <w:left w:w="57" w:type="dxa"/>
              <w:right w:w="57" w:type="dxa"/>
            </w:tcMar>
            <w:vAlign w:val="center"/>
          </w:tcPr>
          <w:p w14:paraId="1CA70D32">
            <w:pPr>
              <w:widowControl/>
              <w:spacing w:line="300" w:lineRule="exact"/>
              <w:jc w:val="left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宋体" w:eastAsia="仿宋_GB2312" w:cs="宋体"/>
                <w:b/>
                <w:sz w:val="21"/>
                <w:szCs w:val="21"/>
                <w:lang w:bidi="ar"/>
              </w:rPr>
              <w:t>四、结转下年度继续办理</w:t>
            </w:r>
          </w:p>
        </w:tc>
        <w:tc>
          <w:tcPr>
            <w:tcW w:w="791" w:type="dxa"/>
            <w:noWrap w:val="0"/>
            <w:tcMar>
              <w:left w:w="57" w:type="dxa"/>
              <w:right w:w="57" w:type="dxa"/>
            </w:tcMar>
            <w:vAlign w:val="center"/>
          </w:tcPr>
          <w:p w14:paraId="3A16E234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9" w:type="dxa"/>
            <w:noWrap w:val="0"/>
            <w:tcMar>
              <w:left w:w="57" w:type="dxa"/>
              <w:right w:w="57" w:type="dxa"/>
            </w:tcMar>
            <w:vAlign w:val="center"/>
          </w:tcPr>
          <w:p w14:paraId="58182099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0" w:type="dxa"/>
            <w:noWrap w:val="0"/>
            <w:tcMar>
              <w:left w:w="57" w:type="dxa"/>
              <w:right w:w="57" w:type="dxa"/>
            </w:tcMar>
            <w:vAlign w:val="center"/>
          </w:tcPr>
          <w:p w14:paraId="59DBE1E1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98" w:type="dxa"/>
            <w:noWrap w:val="0"/>
            <w:tcMar>
              <w:left w:w="57" w:type="dxa"/>
              <w:right w:w="57" w:type="dxa"/>
            </w:tcMar>
            <w:vAlign w:val="center"/>
          </w:tcPr>
          <w:p w14:paraId="5CCD1CA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71" w:type="dxa"/>
            <w:noWrap w:val="0"/>
            <w:tcMar>
              <w:left w:w="57" w:type="dxa"/>
              <w:right w:w="57" w:type="dxa"/>
            </w:tcMar>
            <w:vAlign w:val="center"/>
          </w:tcPr>
          <w:p w14:paraId="232D51BA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59" w:type="dxa"/>
            <w:noWrap w:val="0"/>
            <w:tcMar>
              <w:left w:w="57" w:type="dxa"/>
              <w:right w:w="57" w:type="dxa"/>
            </w:tcMar>
            <w:vAlign w:val="center"/>
          </w:tcPr>
          <w:p w14:paraId="0979FAF8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  <w:tc>
          <w:tcPr>
            <w:tcW w:w="521" w:type="dxa"/>
            <w:noWrap w:val="0"/>
            <w:tcMar>
              <w:left w:w="57" w:type="dxa"/>
              <w:right w:w="57" w:type="dxa"/>
            </w:tcMar>
            <w:vAlign w:val="center"/>
          </w:tcPr>
          <w:p w14:paraId="5DEE4FB6">
            <w:pPr>
              <w:widowControl/>
              <w:spacing w:line="300" w:lineRule="exact"/>
              <w:jc w:val="center"/>
              <w:rPr>
                <w:rFonts w:ascii="仿宋_GB2312" w:eastAsia="仿宋_GB2312"/>
                <w:b/>
                <w:sz w:val="21"/>
                <w:szCs w:val="21"/>
              </w:rPr>
            </w:pP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val="en-US" w:eastAsia="zh-CN" w:bidi="ar"/>
              </w:rPr>
              <w:t>0</w:t>
            </w:r>
            <w:r>
              <w:rPr>
                <w:rFonts w:hint="eastAsia" w:ascii="仿宋_GB2312" w:hAnsi="Calibri" w:eastAsia="仿宋_GB2312" w:cs="Calibri"/>
                <w:b/>
                <w:sz w:val="21"/>
                <w:szCs w:val="21"/>
                <w:lang w:bidi="ar"/>
              </w:rPr>
              <w:t> </w:t>
            </w:r>
          </w:p>
        </w:tc>
      </w:tr>
    </w:tbl>
    <w:p w14:paraId="1E2FF63E">
      <w:pPr>
        <w:spacing w:line="590" w:lineRule="exact"/>
        <w:ind w:right="-100" w:rightChars="-50" w:firstLine="643" w:firstLineChars="200"/>
        <w:rPr>
          <w:rFonts w:ascii="黑体" w:eastAsia="黑体"/>
          <w:b/>
          <w:sz w:val="32"/>
          <w:szCs w:val="32"/>
        </w:rPr>
      </w:pPr>
      <w:r>
        <w:rPr>
          <w:rFonts w:hint="eastAsia" w:ascii="黑体" w:eastAsia="黑体"/>
          <w:b/>
          <w:sz w:val="32"/>
          <w:szCs w:val="32"/>
        </w:rPr>
        <w:t>四、政府信息公开行政复议、行政诉讼情况</w:t>
      </w:r>
    </w:p>
    <w:tbl>
      <w:tblPr>
        <w:tblStyle w:val="3"/>
        <w:tblW w:w="8810" w:type="dxa"/>
        <w:jc w:val="center"/>
        <w:tblBorders>
          <w:top w:val="none" w:color="auto" w:sz="6" w:space="0"/>
          <w:left w:val="none" w:color="auto" w:sz="6" w:space="0"/>
          <w:bottom w:val="none" w:color="auto" w:sz="6" w:space="0"/>
          <w:right w:val="none" w:color="auto" w:sz="6" w:space="0"/>
          <w:insideH w:val="outset" w:color="auto" w:sz="6" w:space="0"/>
          <w:insideV w:val="outset" w:color="auto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15"/>
        <w:gridCol w:w="621"/>
        <w:gridCol w:w="600"/>
        <w:gridCol w:w="591"/>
        <w:gridCol w:w="461"/>
        <w:gridCol w:w="649"/>
        <w:gridCol w:w="649"/>
        <w:gridCol w:w="650"/>
        <w:gridCol w:w="636"/>
        <w:gridCol w:w="426"/>
        <w:gridCol w:w="650"/>
        <w:gridCol w:w="650"/>
        <w:gridCol w:w="650"/>
        <w:gridCol w:w="555"/>
        <w:gridCol w:w="407"/>
      </w:tblGrid>
      <w:tr w14:paraId="36CBDB82">
        <w:tblPrEx>
          <w:tblBorders>
            <w:top w:val="none" w:color="auto" w:sz="6" w:space="0"/>
            <w:left w:val="none" w:color="auto" w:sz="6" w:space="0"/>
            <w:bottom w:val="none" w:color="auto" w:sz="6" w:space="0"/>
            <w:right w:val="none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2888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8FF30CA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行政复议</w:t>
            </w:r>
          </w:p>
        </w:tc>
        <w:tc>
          <w:tcPr>
            <w:tcW w:w="5922" w:type="dxa"/>
            <w:gridSpan w:val="1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A9CAABE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行政诉讼</w:t>
            </w:r>
          </w:p>
        </w:tc>
      </w:tr>
      <w:tr w14:paraId="79E7DFAF">
        <w:tblPrEx>
          <w:tblBorders>
            <w:top w:val="none" w:color="auto" w:sz="6" w:space="0"/>
            <w:left w:val="none" w:color="auto" w:sz="6" w:space="0"/>
            <w:bottom w:val="none" w:color="auto" w:sz="6" w:space="0"/>
            <w:right w:val="none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15" w:type="dxa"/>
            <w:vMerge w:val="restart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9DA64A8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结果维持</w:t>
            </w:r>
          </w:p>
        </w:tc>
        <w:tc>
          <w:tcPr>
            <w:tcW w:w="621" w:type="dxa"/>
            <w:vMerge w:val="restart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055754B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hAnsi="宋体" w:eastAsia="黑体" w:cs="宋体"/>
                <w:b/>
                <w:sz w:val="21"/>
                <w:szCs w:val="21"/>
                <w:lang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  <w:p w14:paraId="0826A2DD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纠正</w:t>
            </w:r>
          </w:p>
        </w:tc>
        <w:tc>
          <w:tcPr>
            <w:tcW w:w="600" w:type="dxa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D694E80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其他</w:t>
            </w:r>
          </w:p>
          <w:p w14:paraId="7B37A64B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</w:tc>
        <w:tc>
          <w:tcPr>
            <w:tcW w:w="591" w:type="dxa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3069A15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尚未</w:t>
            </w:r>
          </w:p>
          <w:p w14:paraId="65E4C32D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审结</w:t>
            </w:r>
          </w:p>
        </w:tc>
        <w:tc>
          <w:tcPr>
            <w:tcW w:w="461" w:type="dxa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23A9F62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总计</w:t>
            </w:r>
          </w:p>
        </w:tc>
        <w:tc>
          <w:tcPr>
            <w:tcW w:w="3010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770C800D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未经复议直接起诉</w:t>
            </w:r>
          </w:p>
        </w:tc>
        <w:tc>
          <w:tcPr>
            <w:tcW w:w="2912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371F5DEB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复议后起诉</w:t>
            </w:r>
          </w:p>
        </w:tc>
      </w:tr>
      <w:tr w14:paraId="3EA30B49">
        <w:tblPrEx>
          <w:tblBorders>
            <w:top w:val="none" w:color="auto" w:sz="6" w:space="0"/>
            <w:left w:val="none" w:color="auto" w:sz="6" w:space="0"/>
            <w:bottom w:val="none" w:color="auto" w:sz="6" w:space="0"/>
            <w:right w:val="none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15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2FF546D">
            <w:pPr>
              <w:spacing w:line="340" w:lineRule="exact"/>
              <w:ind w:left="-40" w:leftChars="-20" w:right="-40" w:rightChars="-20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621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AAEDF27">
            <w:pPr>
              <w:spacing w:line="340" w:lineRule="exact"/>
              <w:ind w:left="-40" w:leftChars="-20" w:right="-40" w:rightChars="-20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600" w:type="dxa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0E08043">
            <w:pPr>
              <w:spacing w:line="340" w:lineRule="exact"/>
              <w:ind w:left="-40" w:leftChars="-20" w:right="-40" w:rightChars="-20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591" w:type="dxa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948B7E4">
            <w:pPr>
              <w:spacing w:line="340" w:lineRule="exact"/>
              <w:ind w:left="-40" w:leftChars="-20" w:right="-40" w:rightChars="-20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461" w:type="dxa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97C9A9E">
            <w:pPr>
              <w:spacing w:line="340" w:lineRule="exact"/>
              <w:ind w:left="-40" w:leftChars="-20" w:right="-40" w:rightChars="-20"/>
              <w:rPr>
                <w:rFonts w:ascii="黑体" w:eastAsia="黑体"/>
                <w:b/>
                <w:sz w:val="21"/>
                <w:szCs w:val="21"/>
              </w:rPr>
            </w:pPr>
          </w:p>
        </w:tc>
        <w:tc>
          <w:tcPr>
            <w:tcW w:w="64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1FFF002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  <w:p w14:paraId="2DE76666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维持</w:t>
            </w:r>
          </w:p>
        </w:tc>
        <w:tc>
          <w:tcPr>
            <w:tcW w:w="64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310F414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  <w:p w14:paraId="49BD6156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纠正</w:t>
            </w:r>
          </w:p>
        </w:tc>
        <w:tc>
          <w:tcPr>
            <w:tcW w:w="6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798676E0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其他</w:t>
            </w:r>
          </w:p>
          <w:p w14:paraId="0C2E76DE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</w:tc>
        <w:tc>
          <w:tcPr>
            <w:tcW w:w="63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7BD928CA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尚未</w:t>
            </w:r>
          </w:p>
          <w:p w14:paraId="2A9D8219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审结</w:t>
            </w:r>
          </w:p>
        </w:tc>
        <w:tc>
          <w:tcPr>
            <w:tcW w:w="4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84C88F0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总计</w:t>
            </w:r>
          </w:p>
        </w:tc>
        <w:tc>
          <w:tcPr>
            <w:tcW w:w="6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41C1038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  <w:p w14:paraId="568FD42A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维持</w:t>
            </w:r>
          </w:p>
        </w:tc>
        <w:tc>
          <w:tcPr>
            <w:tcW w:w="6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CAF29EA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  <w:p w14:paraId="0FE3114B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纠正</w:t>
            </w:r>
          </w:p>
        </w:tc>
        <w:tc>
          <w:tcPr>
            <w:tcW w:w="6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9A4CD4E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其他</w:t>
            </w:r>
          </w:p>
          <w:p w14:paraId="374B47E8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结果</w:t>
            </w:r>
          </w:p>
        </w:tc>
        <w:tc>
          <w:tcPr>
            <w:tcW w:w="555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FCF8658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hAnsi="宋体" w:eastAsia="黑体" w:cs="宋体"/>
                <w:b/>
                <w:sz w:val="21"/>
                <w:szCs w:val="21"/>
                <w:lang w:eastAsia="zh-CN" w:bidi="ar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尚未</w:t>
            </w:r>
          </w:p>
          <w:p w14:paraId="7FC36ED6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审结</w:t>
            </w:r>
          </w:p>
        </w:tc>
        <w:tc>
          <w:tcPr>
            <w:tcW w:w="40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33DDC139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宋体"/>
                <w:b/>
                <w:sz w:val="21"/>
                <w:szCs w:val="21"/>
                <w:lang w:bidi="ar"/>
              </w:rPr>
              <w:t>总计</w:t>
            </w:r>
          </w:p>
        </w:tc>
      </w:tr>
      <w:tr w14:paraId="39B5C7B3">
        <w:tblPrEx>
          <w:tblBorders>
            <w:top w:val="none" w:color="auto" w:sz="6" w:space="0"/>
            <w:left w:val="none" w:color="auto" w:sz="6" w:space="0"/>
            <w:bottom w:val="none" w:color="auto" w:sz="6" w:space="0"/>
            <w:right w:val="none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2" w:hRule="atLeast"/>
          <w:jc w:val="center"/>
        </w:trPr>
        <w:tc>
          <w:tcPr>
            <w:tcW w:w="615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F27A255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2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B2BA330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00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60058D4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59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334528A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46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9F80502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4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3F143814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4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2E895F5F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603263C7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3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A8D0B04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42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5E65D5E2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03A489C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05601E50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ascii="黑体" w:eastAsia="黑体"/>
                <w:b/>
                <w:sz w:val="21"/>
                <w:szCs w:val="21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1C337E0C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555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42AB52F2">
            <w:pPr>
              <w:widowControl/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hAnsi="宋体" w:eastAsia="黑体" w:cs="黑体"/>
                <w:b/>
                <w:sz w:val="21"/>
                <w:szCs w:val="21"/>
                <w:lang w:val="en-US" w:eastAsia="zh-CN" w:bidi="ar"/>
              </w:rPr>
              <w:t>0</w:t>
            </w:r>
          </w:p>
        </w:tc>
        <w:tc>
          <w:tcPr>
            <w:tcW w:w="407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tcMar>
              <w:left w:w="108" w:type="dxa"/>
              <w:right w:w="108" w:type="dxa"/>
            </w:tcMar>
            <w:vAlign w:val="center"/>
          </w:tcPr>
          <w:p w14:paraId="20977D50">
            <w:pPr>
              <w:spacing w:line="340" w:lineRule="exact"/>
              <w:ind w:left="-40" w:leftChars="-20" w:right="-40" w:rightChars="-20"/>
              <w:jc w:val="center"/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黑体" w:eastAsia="黑体"/>
                <w:b/>
                <w:sz w:val="21"/>
                <w:szCs w:val="21"/>
                <w:lang w:val="en-US" w:eastAsia="zh-CN"/>
              </w:rPr>
              <w:t>0</w:t>
            </w:r>
          </w:p>
        </w:tc>
      </w:tr>
    </w:tbl>
    <w:p w14:paraId="2A98E8D9">
      <w:pPr>
        <w:spacing w:line="590" w:lineRule="exact"/>
        <w:ind w:right="-100" w:rightChars="-50" w:firstLine="643" w:firstLineChars="200"/>
        <w:rPr>
          <w:rFonts w:ascii="黑体" w:eastAsia="黑体"/>
          <w:b/>
          <w:sz w:val="32"/>
          <w:szCs w:val="32"/>
        </w:rPr>
      </w:pPr>
      <w:r>
        <w:rPr>
          <w:rFonts w:hint="eastAsia" w:ascii="黑体" w:eastAsia="黑体"/>
          <w:b/>
          <w:sz w:val="32"/>
          <w:szCs w:val="32"/>
        </w:rPr>
        <w:t>五、存在的主要问题及改进情况</w:t>
      </w:r>
    </w:p>
    <w:p w14:paraId="11714BAF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针对202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3</w:t>
      </w:r>
      <w:r>
        <w:rPr>
          <w:rFonts w:hint="eastAsia" w:ascii="仿宋_GB2312" w:eastAsia="仿宋_GB2312"/>
          <w:b/>
          <w:sz w:val="32"/>
          <w:szCs w:val="32"/>
        </w:rPr>
        <w:t>年政府信息公开工作中公开的形式和手段比较单一，与群众喜闻乐见的形式要求还有差距，部分信息公开的内容专业性较强，不够浅显易懂等问题等问题，我局多举措多方面进行整改：一是持续优化政策解读工作机制，丰富解读形式,扩大传播范围和受众面。二是进一步丰富政府信息公开方式，以社会需求为导向，在不断深化政府信息公开内容的同时，努力做到公开方式灵活多样。</w:t>
      </w:r>
    </w:p>
    <w:p w14:paraId="35644D47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年，我局政府信息公开工作虽取得一定成绩，但还存在一些问题和不足。一是政务公开创新度还有待提高。二是政策文件发布对外征求意见较少，落实多元化解读还不够。</w:t>
      </w:r>
    </w:p>
    <w:p w14:paraId="4B6886F9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5</w:t>
      </w:r>
      <w:r>
        <w:rPr>
          <w:rFonts w:hint="eastAsia" w:ascii="仿宋_GB2312" w:eastAsia="仿宋_GB2312"/>
          <w:b/>
          <w:sz w:val="32"/>
          <w:szCs w:val="32"/>
        </w:rPr>
        <w:t>年，我局将紧紧围绕人社事业发展和群众关心关切，强化工作责任，细化工作举措，继续稳妥扎实做好政府信息公开工作。一是持续推进栏目优化归集整合，进一步提升政务公开创新度。二是提高政策文件发布互动频次，严格落实政策文件发布多元化解读要求。</w:t>
      </w:r>
    </w:p>
    <w:p w14:paraId="064CB9B1">
      <w:pPr>
        <w:spacing w:line="590" w:lineRule="exact"/>
        <w:ind w:right="-100" w:rightChars="-50" w:firstLine="643" w:firstLineChars="200"/>
        <w:rPr>
          <w:rFonts w:ascii="黑体" w:eastAsia="黑体"/>
          <w:b/>
          <w:sz w:val="32"/>
          <w:szCs w:val="32"/>
        </w:rPr>
      </w:pPr>
      <w:r>
        <w:rPr>
          <w:rFonts w:hint="eastAsia" w:ascii="黑体" w:eastAsia="黑体"/>
          <w:b/>
          <w:sz w:val="32"/>
          <w:szCs w:val="32"/>
        </w:rPr>
        <w:t>六、其他需要报告的事项</w:t>
      </w:r>
    </w:p>
    <w:p w14:paraId="495D7DA4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（一）我部门在本年度未向信息公开申请人收取任何费用；</w:t>
      </w:r>
    </w:p>
    <w:p w14:paraId="49E77989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（二）根据县政府办公室《关于印发202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年政务公开重点工作任务分解表的通知》（汶政办字〔202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〕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8</w:t>
      </w:r>
      <w:r>
        <w:rPr>
          <w:rFonts w:hint="eastAsia" w:ascii="仿宋_GB2312" w:eastAsia="仿宋_GB2312"/>
          <w:b/>
          <w:sz w:val="32"/>
          <w:szCs w:val="32"/>
        </w:rPr>
        <w:t>号）要求，结合人社工作实际，制定了《汶上县人力资源和社会保障局202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年政务公开重点工作责任分工方案》，并督导科室、单位按照分工认真抓好落实；</w:t>
      </w:r>
    </w:p>
    <w:p w14:paraId="7CCCCCB2">
      <w:pPr>
        <w:spacing w:line="590" w:lineRule="exact"/>
        <w:ind w:right="-100" w:rightChars="-50" w:firstLine="643" w:firstLineChars="200"/>
        <w:rPr>
          <w:rFonts w:hint="eastAsia"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（三）202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年，我单位共承办县级人大代表建议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件、政协提案1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7</w:t>
      </w:r>
      <w:r>
        <w:rPr>
          <w:rFonts w:hint="eastAsia" w:ascii="仿宋_GB2312" w:eastAsia="仿宋_GB2312"/>
          <w:b/>
          <w:sz w:val="32"/>
          <w:szCs w:val="32"/>
        </w:rPr>
        <w:t>件；未承办省级、市级人大代表建议和政协提案。我们积极采取有效措施，大力推动建议提案办理工作，落实率和满意率都实现了100%，答复意见和总体情况均在官方网站进行了公开；</w:t>
      </w:r>
    </w:p>
    <w:p w14:paraId="064A2DE0">
      <w:pPr>
        <w:spacing w:line="240" w:lineRule="auto"/>
        <w:ind w:right="-100" w:rightChars="-50"/>
        <w:jc w:val="center"/>
        <w:rPr>
          <w:rFonts w:hint="eastAsia" w:ascii="仿宋_GB2312" w:eastAsia="仿宋_GB2312"/>
          <w:b/>
          <w:sz w:val="32"/>
          <w:szCs w:val="32"/>
          <w:lang w:eastAsia="zh-CN"/>
        </w:rPr>
      </w:pPr>
      <w:r>
        <w:rPr>
          <w:rFonts w:hint="eastAsia" w:ascii="仿宋_GB2312" w:eastAsia="仿宋_GB2312"/>
          <w:b/>
          <w:sz w:val="32"/>
          <w:szCs w:val="32"/>
          <w:lang w:eastAsia="zh-CN"/>
        </w:rPr>
        <w:drawing>
          <wp:inline distT="0" distB="0" distL="114300" distR="114300">
            <wp:extent cx="4286250" cy="2809875"/>
            <wp:effectExtent l="0" t="0" r="0" b="9525"/>
            <wp:docPr id="5" name="图片 4" descr="wechat_2025-01-08_151749_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wechat_2025-01-08_151749_67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8B253">
      <w:pPr>
        <w:spacing w:line="590" w:lineRule="exact"/>
        <w:ind w:right="-100" w:rightChars="-50"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（四）202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b/>
          <w:sz w:val="32"/>
          <w:szCs w:val="32"/>
        </w:rPr>
        <w:t>年，我单位创新开展政务公开工作</w:t>
      </w:r>
      <w:r>
        <w:rPr>
          <w:rFonts w:hint="eastAsia" w:ascii="仿宋_GB2312" w:eastAsia="仿宋_GB2312"/>
          <w:b/>
          <w:sz w:val="32"/>
          <w:szCs w:val="32"/>
          <w:lang w:eastAsia="zh-CN"/>
        </w:rPr>
        <w:t>，</w:t>
      </w:r>
      <w:r>
        <w:rPr>
          <w:rFonts w:hint="eastAsia" w:ascii="仿宋_GB2312" w:eastAsia="仿宋_GB2312"/>
          <w:b/>
          <w:sz w:val="32"/>
          <w:szCs w:val="32"/>
        </w:rPr>
        <w:t>以公开促宣传，提供就业“云服务”。依托线上门户平台网站，发布一系列政策解读文件</w:t>
      </w:r>
      <w:r>
        <w:rPr>
          <w:rFonts w:hint="eastAsia" w:ascii="仿宋_GB2312" w:eastAsia="仿宋_GB2312"/>
          <w:b/>
          <w:sz w:val="32"/>
          <w:szCs w:val="32"/>
          <w:lang w:eastAsia="zh-CN"/>
        </w:rPr>
        <w:t>；</w:t>
      </w:r>
      <w:bookmarkStart w:id="0" w:name="_GoBack"/>
      <w:bookmarkEnd w:id="0"/>
      <w:r>
        <w:rPr>
          <w:rFonts w:hint="eastAsia" w:ascii="仿宋_GB2312" w:eastAsia="仿宋_GB2312"/>
          <w:b/>
          <w:sz w:val="32"/>
          <w:szCs w:val="32"/>
        </w:rPr>
        <w:t>持续开展政策宣讲等线下活动</w:t>
      </w:r>
      <w:r>
        <w:rPr>
          <w:rFonts w:hint="eastAsia" w:ascii="仿宋_GB2312" w:eastAsia="仿宋_GB2312"/>
          <w:b/>
          <w:sz w:val="32"/>
          <w:szCs w:val="32"/>
          <w:lang w:val="en-US" w:eastAsia="zh-CN"/>
        </w:rPr>
        <w:t>31次</w:t>
      </w:r>
      <w:r>
        <w:rPr>
          <w:rFonts w:hint="eastAsia" w:ascii="仿宋_GB2312" w:eastAsia="仿宋_GB2312"/>
          <w:b/>
          <w:sz w:val="32"/>
          <w:szCs w:val="32"/>
        </w:rPr>
        <w:t>，实现“政策找人”“政策上门”服务模式。开展“春风行动”、就业援助月等活动，举办线上线下招聘会48场，发布用工招聘信息77条，帮助企业解决用工需求8300余人次，为企业和求职者搭建便利交流平台。</w:t>
      </w:r>
    </w:p>
    <w:p w14:paraId="2FA57972">
      <w:pPr>
        <w:spacing w:line="240" w:lineRule="auto"/>
        <w:ind w:right="-100" w:rightChars="-50"/>
        <w:jc w:val="center"/>
      </w:pPr>
      <w:r>
        <w:rPr>
          <w:rFonts w:hint="eastAsia" w:ascii="仿宋_GB2312" w:eastAsia="仿宋_GB2312"/>
          <w:b/>
          <w:sz w:val="32"/>
          <w:szCs w:val="32"/>
          <w:lang w:eastAsia="zh-CN"/>
        </w:rPr>
        <w:drawing>
          <wp:inline distT="0" distB="0" distL="114300" distR="114300">
            <wp:extent cx="4124960" cy="2522855"/>
            <wp:effectExtent l="0" t="0" r="8890" b="10795"/>
            <wp:docPr id="6" name="图片 8" descr="wechat_2025-01-08_152505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wechat_2025-01-08_152505_65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587" w:right="1474" w:bottom="1587" w:left="1474" w:header="851" w:footer="992" w:gutter="0"/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30304000000000000"/>
    <w:charset w:val="86"/>
    <w:family w:val="auto"/>
    <w:pitch w:val="default"/>
    <w:sig w:usb0="E7FFAEFF" w:usb1="F9FFFFFF" w:usb2="000FFDFF" w:usb3="00000000" w:csb0="603F01FF" w:csb1="FFFF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B470211-A014-52C0-4979-A967CF7ABD44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3E2342B3-1A53-B1D1-4979-A9677AA45AA9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90902542-29A0-33B0-4979-A9679D2E8329}"/>
  </w:font>
  <w:font w:name="方正小标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E32A0CF3-CF8B-0521-4979-A9679C2388B3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5C69D3C0-46F0-80A2-4979-A9670C86C8FE}"/>
  </w:font>
  <w:font w:name="文星仿宋">
    <w:altName w:val="仿宋"/>
    <w:panose1 w:val="00000000000000000000"/>
    <w:charset w:val="00"/>
    <w:family w:val="auto"/>
    <w:pitch w:val="default"/>
    <w:sig w:usb0="00000000" w:usb1="00000000" w:usb2="00000010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1BECF49A-AA14-6E87-4979-A96700697B57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7" w:fontKey="{7F20A1B4-38D9-E6D5-4979-A9679192370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FlNzBmNWU5N2MwNjZjODI4ZmYxN2I2YjcxYmNlZjgifQ=="/>
  </w:docVars>
  <w:rsids>
    <w:rsidRoot w:val="0EFB1392"/>
    <w:rsid w:val="043D273F"/>
    <w:rsid w:val="0EFB1392"/>
    <w:rsid w:val="2A8A40AB"/>
    <w:rsid w:val="2E965312"/>
    <w:rsid w:val="397C6B3B"/>
    <w:rsid w:val="3F8E234A"/>
    <w:rsid w:val="3FBC18DB"/>
    <w:rsid w:val="518B2895"/>
    <w:rsid w:val="55DE8555"/>
    <w:rsid w:val="69572814"/>
    <w:rsid w:val="69F69C30"/>
    <w:rsid w:val="6D7FDCAB"/>
    <w:rsid w:val="6F216A4C"/>
    <w:rsid w:val="7E9C6694"/>
    <w:rsid w:val="7F7B31A8"/>
    <w:rsid w:val="7F8F0EBF"/>
    <w:rsid w:val="7FF7BC3F"/>
    <w:rsid w:val="BE79D95C"/>
    <w:rsid w:val="DFD5D644"/>
    <w:rsid w:val="E7FCAE1F"/>
    <w:rsid w:val="F3B7B62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sz w:val="24"/>
      <w:szCs w:val="24"/>
    </w:rPr>
  </w:style>
  <w:style w:type="character" w:styleId="5">
    <w:name w:val="Strong"/>
    <w:qFormat/>
    <w:uiPriority w:val="0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11532</Words>
  <Characters>11672</Characters>
  <Lines>0</Lines>
  <Paragraphs>0</Paragraphs>
  <TotalTime>12</TotalTime>
  <ScaleCrop>false</ScaleCrop>
  <LinksUpToDate>false</LinksUpToDate>
  <CharactersWithSpaces>12031</CharactersWithSpaces>
  <Application>WPS Office_12.8.2.18605_F1E327BC-269C-435d-A152-05C5408002CA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2022-01-13T15:35:00Z</dcterms:created>
  <dc:creator>user</dc:creator>
  <cp:lastModifiedBy>user</cp:lastModifiedBy>
  <cp:lastPrinted>2025-01-09T00:09:00Z</cp:lastPrinted>
  <dcterms:modified xsi:type="dcterms:W3CDTF">2025-02-10T11:58:01Z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2052-12.8.2.18605</vt:lpwstr>
  </property>
  <property fmtid="{D5CDD505-2E9C-101B-9397-08002B2CF9AE}" pid="3" name="ICV">
    <vt:lpwstr>003D572A6CB573FFC78F90676117CD55_43</vt:lpwstr>
  </property>
  <property fmtid="{D5CDD505-2E9C-101B-9397-08002B2CF9AE}" pid="4" name="KSOTemplateDocerSaveRecord">
    <vt:lpwstr>eyJoZGlkIjoiOTJhOTkzZDViMjY3NzRkNmRiY2E3YjU0NmZhY2I0NmIiLCJ1c2VySWQiOiI0MDI5MjQ0ODkifQ==</vt:lpwstr>
  </property>
</Properties>
</file>