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460" w:lineRule="exact"/>
        <w:rPr>
          <w:rFonts w:ascii="仿宋_GB2312" w:eastAsia="仿宋_GB2312"/>
          <w:sz w:val="28"/>
          <w:szCs w:val="28"/>
        </w:rPr>
      </w:pPr>
      <w:bookmarkStart w:id="0" w:name="MCUBE_WF_TEXT_TAG"/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sz w:val="28"/>
          <w:szCs w:val="28"/>
        </w:rPr>
        <w:t>：</w:t>
      </w:r>
    </w:p>
    <w:p>
      <w:pPr>
        <w:snapToGrid w:val="0"/>
        <w:spacing w:line="46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汶上县食品药品监督管理局</w:t>
      </w:r>
      <w:r>
        <w:rPr>
          <w:rFonts w:hint="eastAsia" w:ascii="方正小标宋简体" w:eastAsia="方正小标宋简体"/>
          <w:sz w:val="36"/>
          <w:szCs w:val="36"/>
        </w:rPr>
        <w:t>随机抽查事项清单</w:t>
      </w:r>
    </w:p>
    <w:tbl>
      <w:tblPr>
        <w:tblStyle w:val="3"/>
        <w:tblW w:w="852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545"/>
        <w:gridCol w:w="2153"/>
        <w:gridCol w:w="1465"/>
        <w:gridCol w:w="1466"/>
        <w:gridCol w:w="10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i/>
                <w:iCs/>
                <w:sz w:val="28"/>
                <w:szCs w:val="28"/>
              </w:rPr>
            </w:pPr>
            <w:r>
              <w:rPr>
                <w:rFonts w:hint="eastAsia" w:ascii="黑体" w:eastAsia="黑体"/>
                <w:i w:val="0"/>
                <w:iCs w:val="0"/>
                <w:sz w:val="28"/>
                <w:szCs w:val="28"/>
              </w:rPr>
              <w:t>序号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抽查项目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抽查依据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抽查主体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抽查方式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食品经营许可审查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《中华人民共和国食品安全法》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8"/>
                <w:szCs w:val="28"/>
              </w:rPr>
              <w:t>《食品经营许可管理办法》、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《山东省食品经营许可审查细则(试行)》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随机选派分为定向选派和不定向选派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药品经营企业（零售）GSP认证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后</w:t>
            </w:r>
            <w:r>
              <w:rPr>
                <w:rFonts w:hint="eastAsia" w:ascii="仿宋_GB2312" w:eastAsia="仿宋_GB2312"/>
                <w:sz w:val="28"/>
                <w:szCs w:val="28"/>
              </w:rPr>
              <w:t>跟踪检查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、《中华人民共和国药品管理法》及其实施条例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医疗器械经营使用单位检查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《医疗器械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监督管理条例</w:t>
            </w:r>
            <w:r>
              <w:rPr>
                <w:rFonts w:hint="eastAsia" w:ascii="仿宋_GB2312" w:eastAsia="仿宋_GB2312"/>
                <w:sz w:val="28"/>
                <w:szCs w:val="28"/>
              </w:rPr>
              <w:t>》、《医疗器械经营监督管理办法》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医疗器械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使用质量</w:t>
            </w:r>
            <w:r>
              <w:rPr>
                <w:rFonts w:hint="eastAsia" w:ascii="仿宋_GB2312" w:eastAsia="仿宋_GB2312"/>
                <w:sz w:val="28"/>
                <w:szCs w:val="28"/>
              </w:rPr>
              <w:t>监督管理办法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药品监督抽验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8"/>
                <w:szCs w:val="28"/>
              </w:rPr>
              <w:t>药品质量抽查检验管理规定》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保健食品监督抽验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《中华人民共和国食品安全法》、《国务院关于加强食品等产品安全监督管理的特别规定》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800" w:lineRule="exact"/>
              <w:jc w:val="center"/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i w:val="0"/>
                <w:iCs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化妆品监督抽验</w:t>
            </w:r>
          </w:p>
        </w:tc>
        <w:tc>
          <w:tcPr>
            <w:tcW w:w="2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《化妆品卫生监督条例》、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汶上县食品药品监督管理局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随机选派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eastAsia="仿宋_GB2312"/>
                <w:sz w:val="28"/>
                <w:szCs w:val="28"/>
              </w:rPr>
            </w:pPr>
          </w:p>
        </w:tc>
      </w:tr>
      <w:bookmarkEnd w:id="0"/>
    </w:tbl>
    <w:p>
      <w:pPr>
        <w:rPr>
          <w:sz w:val="28"/>
          <w:szCs w:val="28"/>
        </w:rPr>
      </w:pPr>
    </w:p>
    <w:p>
      <w:pPr/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2778DB"/>
    <w:rsid w:val="452778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2016-03-16T06:11:00Z</dcterms:created>
  <dc:creator>Administrator</dc:creator>
  <cp:lastModifiedBy>Administrator</cp:lastModifiedBy>
  <dcterms:modified xsi:type="dcterms:W3CDTF">2016-03-16T06:12:50Z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