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700" w:lineRule="exact"/>
        <w:rPr>
          <w:rFonts w:hint="eastAsia" w:ascii="方正大标宋简体" w:eastAsia="方正大标宋简体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大标宋简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eastAsia="方正大标宋简体"/>
          <w:sz w:val="44"/>
          <w:szCs w:val="44"/>
        </w:rPr>
        <w:t>汶上县代理记账机构执法检查名录库</w:t>
      </w:r>
    </w:p>
    <w:bookmarkEnd w:id="0"/>
    <w:p>
      <w:pPr>
        <w:spacing w:line="7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p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为进一步落实</w:t>
      </w:r>
      <w:r>
        <w:rPr>
          <w:rFonts w:hint="eastAsia" w:ascii="仿宋_GB2312" w:eastAsia="仿宋_GB2312"/>
          <w:sz w:val="32"/>
          <w:szCs w:val="32"/>
          <w:lang w:eastAsia="zh-CN"/>
        </w:rPr>
        <w:t>代理记账机构</w:t>
      </w:r>
      <w:r>
        <w:rPr>
          <w:rFonts w:hint="eastAsia" w:ascii="仿宋_GB2312" w:eastAsia="仿宋_GB2312"/>
          <w:sz w:val="32"/>
          <w:szCs w:val="32"/>
        </w:rPr>
        <w:t>随机抽查工作机制，规范事中事后监管工作，根据《济宁市财政执法检查随机抽查工作实施意见》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</w:rPr>
        <w:t>济财法〔</w:t>
      </w:r>
      <w:r>
        <w:rPr>
          <w:rFonts w:ascii="仿宋_GB2312" w:hAnsi="宋体" w:eastAsia="仿宋_GB2312"/>
          <w:color w:val="000000"/>
          <w:sz w:val="32"/>
        </w:rPr>
        <w:t>20</w:t>
      </w:r>
      <w:r>
        <w:rPr>
          <w:rFonts w:hint="eastAsia" w:ascii="仿宋_GB2312" w:hAnsi="宋体" w:eastAsia="仿宋_GB2312"/>
          <w:color w:val="000000"/>
          <w:sz w:val="32"/>
        </w:rPr>
        <w:t>20</w:t>
      </w:r>
      <w:r>
        <w:rPr>
          <w:rFonts w:ascii="仿宋_GB2312" w:hAnsi="宋体" w:eastAsia="仿宋_GB2312"/>
          <w:color w:val="000000"/>
          <w:sz w:val="32"/>
        </w:rPr>
        <w:t>〕</w:t>
      </w:r>
      <w:r>
        <w:rPr>
          <w:rFonts w:hint="eastAsia" w:ascii="仿宋_GB2312" w:hAnsi="宋体" w:eastAsia="仿宋_GB2312"/>
          <w:color w:val="000000"/>
          <w:sz w:val="32"/>
        </w:rPr>
        <w:t>1</w:t>
      </w:r>
      <w:r>
        <w:rPr>
          <w:rFonts w:ascii="仿宋_GB2312" w:hAnsi="宋体" w:eastAsia="仿宋_GB2312"/>
          <w:color w:val="000000"/>
          <w:sz w:val="32"/>
        </w:rPr>
        <w:t>号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）和</w:t>
      </w:r>
      <w:r>
        <w:rPr>
          <w:rFonts w:hint="eastAsia" w:ascii="仿宋_GB2312" w:eastAsia="仿宋_GB2312"/>
          <w:sz w:val="32"/>
          <w:szCs w:val="32"/>
        </w:rPr>
        <w:t>《汶上县财政局关于开展随机抽查规范事中事后监管工作实施方案》（汶财字〔2016〕23号）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建立代理记账机构</w:t>
      </w:r>
      <w:r>
        <w:rPr>
          <w:rFonts w:hint="eastAsia" w:ascii="仿宋_GB2312" w:eastAsia="仿宋_GB2312"/>
          <w:sz w:val="32"/>
          <w:szCs w:val="32"/>
        </w:rPr>
        <w:t>执法检查名录库</w:t>
      </w:r>
      <w:r>
        <w:rPr>
          <w:rFonts w:hint="eastAsia" w:ascii="仿宋_GB2312" w:eastAsia="仿宋_GB2312"/>
          <w:sz w:val="32"/>
          <w:szCs w:val="32"/>
          <w:lang w:eastAsia="zh-CN"/>
        </w:rPr>
        <w:t>如下：</w:t>
      </w:r>
    </w:p>
    <w:p>
      <w:pPr>
        <w:numPr>
          <w:ilvl w:val="0"/>
          <w:numId w:val="0"/>
        </w:numPr>
        <w:ind w:leftChars="0"/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冯成利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刘明静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刘灿国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于俊玲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苑季春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林存营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鹏  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彬   </w:t>
      </w:r>
      <w:r>
        <w:rPr>
          <w:rFonts w:hint="eastAsia" w:ascii="仿宋_GB2312" w:eastAsia="仿宋_GB2312"/>
          <w:sz w:val="32"/>
          <w:szCs w:val="32"/>
        </w:rPr>
        <w:t>郑灿龙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郭晓兰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5487C"/>
    <w:rsid w:val="57A5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2023-04-24T10:43:00Z</dcterms:created>
  <dc:creator>lenovo</dc:creator>
  <cp:lastModifiedBy>lenovo</cp:lastModifiedBy>
  <dcterms:modified xsi:type="dcterms:W3CDTF">2023-04-24T11:06:03Z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8FBC7B26CB29417E8DD0F83ADE4A8FA7</vt:lpwstr>
  </property>
</Properties>
</file>