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C7996">
      <w:pPr>
        <w:spacing w:line="590" w:lineRule="exact"/>
        <w:ind w:right="-100" w:rightChars="-50"/>
        <w:jc w:val="center"/>
        <w:rPr>
          <w:rFonts w:hint="default" w:ascii="Times New Roman" w:hAnsi="Times New Roman" w:eastAsia="方正小标宋_GBK" w:cs="Times New Roman"/>
          <w:b/>
          <w:color w:val="000000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b/>
          <w:color w:val="000000"/>
          <w:sz w:val="44"/>
          <w:szCs w:val="44"/>
          <w:lang w:eastAsia="zh-CN"/>
        </w:rPr>
        <w:t>汶上县财政局</w:t>
      </w:r>
      <w:r>
        <w:rPr>
          <w:rFonts w:hint="default" w:ascii="Times New Roman" w:hAnsi="Times New Roman" w:eastAsia="方正小标宋_GBK" w:cs="Times New Roman"/>
          <w:b/>
          <w:color w:val="000000"/>
          <w:sz w:val="44"/>
          <w:szCs w:val="44"/>
        </w:rPr>
        <w:t>202</w:t>
      </w:r>
      <w:r>
        <w:rPr>
          <w:rFonts w:hint="eastAsia" w:eastAsia="方正小标宋_GBK" w:cs="Times New Roman"/>
          <w:b/>
          <w:color w:val="00000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/>
          <w:color w:val="000000"/>
          <w:sz w:val="44"/>
          <w:szCs w:val="44"/>
        </w:rPr>
        <w:t>年政府信息公开</w:t>
      </w:r>
    </w:p>
    <w:p w14:paraId="383F96E4">
      <w:pPr>
        <w:spacing w:line="590" w:lineRule="exact"/>
        <w:ind w:right="-100" w:rightChars="-50"/>
        <w:jc w:val="center"/>
        <w:rPr>
          <w:rFonts w:hint="default" w:ascii="Times New Roman" w:hAnsi="Times New Roman" w:eastAsia="方正小标宋_GBK" w:cs="Times New Roman"/>
          <w:b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color w:val="000000"/>
          <w:sz w:val="44"/>
          <w:szCs w:val="44"/>
        </w:rPr>
        <w:t>工作年度报告</w:t>
      </w:r>
    </w:p>
    <w:p w14:paraId="2C71A76C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</w:p>
    <w:p w14:paraId="30E0E80A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本报告由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汶上县财政局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 w14:paraId="10AD45A8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 w14:paraId="0B83B301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本报告所列数据的统计期限自202</w:t>
      </w:r>
      <w:r>
        <w:rPr>
          <w:rFonts w:hint="eastAsia" w:eastAsia="仿宋_GB2312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年1月1日起至202</w:t>
      </w:r>
      <w:r>
        <w:rPr>
          <w:rFonts w:hint="eastAsia" w:eastAsia="仿宋_GB2312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年12月31日止。本报告电子版可在“中国·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汶上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”政府门户网站（http://www.wenshang.gov.cn/）查阅或下载。如对本报告有疑问，请与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汶上县财政局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联系（地址：汶上县政和路869号，联系电话：0537-7212847）。</w:t>
      </w:r>
    </w:p>
    <w:p w14:paraId="2755EC2B">
      <w:pPr>
        <w:spacing w:line="590" w:lineRule="exact"/>
        <w:ind w:right="-100" w:rightChars="-50" w:firstLine="643" w:firstLineChars="200"/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  <w:t>一、总体情况</w:t>
      </w:r>
    </w:p>
    <w:p w14:paraId="5F5CB35B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2025年，</w:t>
      </w:r>
      <w:r>
        <w:rPr>
          <w:rFonts w:hint="eastAsia" w:eastAsia="仿宋_GB2312" w:cs="Times New Roman"/>
          <w:b/>
          <w:color w:val="000000"/>
          <w:sz w:val="32"/>
          <w:szCs w:val="32"/>
          <w:lang w:val="en-US" w:eastAsia="zh-CN"/>
        </w:rPr>
        <w:t>汶上县财政局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坚持以习近平新时代中国特色社会主义思想为指导，深入贯彻落实党中央、国务院关于全面推进政务公开的决策部署，严格遵循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《中华人民共和国政府信息公开条例》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要求，在县委、县政府的正确领导和县政府办公室的具体指导下，紧紧围绕全县中心工作和群众关切，持续深化公开内容，完善公开平台，优化公开服务，强化监督保障，政府信息公开工作取得新进展。</w:t>
      </w:r>
    </w:p>
    <w:p w14:paraId="46695C4D">
      <w:pPr>
        <w:spacing w:line="590" w:lineRule="exact"/>
        <w:ind w:right="-100" w:rightChars="-50" w:firstLine="643" w:firstLineChars="200"/>
        <w:rPr>
          <w:rFonts w:hint="default" w:ascii="仿宋" w:hAnsi="Times New Roman" w:eastAsia="仿宋" w:cs="Times New Roman"/>
          <w:b/>
          <w:color w:val="000000"/>
          <w:sz w:val="32"/>
          <w:szCs w:val="32"/>
        </w:rPr>
      </w:pPr>
      <w:r>
        <w:rPr>
          <w:rFonts w:hint="default" w:ascii="仿宋" w:hAnsi="Times New Roman" w:eastAsia="仿宋" w:cs="Times New Roman"/>
          <w:b/>
          <w:color w:val="000000"/>
          <w:sz w:val="32"/>
          <w:szCs w:val="32"/>
        </w:rPr>
        <w:t>（一）主动公开情况</w:t>
      </w:r>
    </w:p>
    <w:p w14:paraId="1F63E2FD">
      <w:pPr>
        <w:spacing w:line="590" w:lineRule="exact"/>
        <w:ind w:right="-100" w:rightChars="-50" w:firstLine="643" w:firstLineChars="200"/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汶上县财政局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紧紧围绕职责范围与社会关注热点，依法全面深入推进主动公开工作。坚持以县政府门户网站作为第一公开平台，持续发布并更新机构职能、法规政策、财政预决算、行政许可与行政处罚结果等重点领域信息。同时，积极利用政务新媒体、政务公开栏等多种渠道，及时发布工作动态、通知公告，不断加强政策解读和舆情回应工作，着力提升信息公开的覆盖面、实效性和亲和力。全年通过各类渠道累计主动公开政府信息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200余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条，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其中，通过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县政府门户网站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发布148条、新媒体平台发布32条、各类报刊网站26条。</w:t>
      </w:r>
    </w:p>
    <w:p w14:paraId="494F5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43" w:firstLineChars="200"/>
        <w:textAlignment w:val="auto"/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</w:pPr>
    </w:p>
    <w:p w14:paraId="79ABEE65">
      <w:pPr>
        <w:spacing w:line="590" w:lineRule="exact"/>
        <w:ind w:right="-100" w:rightChars="-50"/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212090</wp:posOffset>
            </wp:positionV>
            <wp:extent cx="5265420" cy="3063875"/>
            <wp:effectExtent l="4445" t="4445" r="6985" b="17780"/>
            <wp:wrapTopAndBottom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 w14:paraId="4E7F8E30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  <w:t>（二）依申请公开情况</w:t>
      </w:r>
    </w:p>
    <w:p w14:paraId="1C4309F0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县财政局高度重视并依法规范办理政府信息公开申请，切实保障公民、法人和其他组织依法获取政府信息的权利。</w:t>
      </w:r>
      <w:r>
        <w:rPr>
          <w:rFonts w:hint="eastAsia" w:eastAsia="仿宋_GB2312" w:cs="Times New Roman"/>
          <w:b/>
          <w:color w:val="000000"/>
          <w:sz w:val="32"/>
          <w:szCs w:val="32"/>
          <w:lang w:val="en-US" w:eastAsia="zh-CN"/>
        </w:rPr>
        <w:t>全年共收到依申请公开4件，其中，线下申请2件、线上申请2件，转结下年1件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。</w:t>
      </w:r>
      <w:r>
        <w:rPr>
          <w:rFonts w:hint="eastAsia" w:eastAsia="仿宋_GB2312" w:cs="Times New Roman"/>
          <w:b/>
          <w:color w:val="000000"/>
          <w:sz w:val="32"/>
          <w:szCs w:val="32"/>
          <w:lang w:val="en-US" w:eastAsia="zh-CN"/>
        </w:rPr>
        <w:t>申请涉及我县财政预决算情况、土地征收补偿等相关信息，均在法定期限内予以答复，不涉及收费项目。</w:t>
      </w:r>
    </w:p>
    <w:p w14:paraId="72CF0F9B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  <w:t>（三）政府信息管理情况</w:t>
      </w:r>
    </w:p>
    <w:p w14:paraId="44043E89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color w:val="000000"/>
          <w:sz w:val="32"/>
          <w:szCs w:val="32"/>
          <w:lang w:val="en-US" w:eastAsia="zh-CN"/>
        </w:rPr>
        <w:t>汶上县财政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持续加强政府信息规范化、标准化管理。严格执行信息发布“三审三校”保密审查制度，强化源头属性认定与过程管控，确保公开信息依法、准确、安全。持续加强政务公开专职人员业务能力建设，通过定期组织专项培训、案例研讨等方式，不断增强工作人员的政策理解力与实务操作水平。同时，积极对接县政府办公室，及时掌握最新政策精神与工作要求，确保本单位公开标准、格式规范与全县部署同频共振，实现政府信息从制作、审核到公开、更新的闭环高效管理。</w:t>
      </w:r>
    </w:p>
    <w:p w14:paraId="75B2F6B4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  <w:t>（四）政府信息公开平台建设情况</w:t>
      </w:r>
    </w:p>
    <w:p w14:paraId="11ADAA72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color w:val="000000"/>
          <w:sz w:val="32"/>
          <w:szCs w:val="32"/>
          <w:lang w:eastAsia="zh-CN"/>
        </w:rPr>
        <w:t>汶上县财政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局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坚持将县政府门户网站作为政府信息公开的第一平台和核心阵地，安排专职人员负责相关栏目的日常信息更新与运维保障。围绕“应公开、尽公开”原则，及时、准确、规范地发布各类政策文件、配套解读材料及重要工作动态，确保法定公开内容全面覆盖、主动公开要求落实到位。通过持续优化平台功能、丰富公开内容、提升服务体验，切实增强全局政务公开工作的整体水平与实效，有效保障社会公众便捷、准确地获取政府信息，为增进公众了解、强化政民互动、维护政府公信力提供了坚实可靠的平台支撑。</w:t>
      </w:r>
    </w:p>
    <w:p w14:paraId="027D3515">
      <w:pPr>
        <w:spacing w:line="590" w:lineRule="exact"/>
        <w:ind w:right="-100" w:rightChars="-50" w:firstLine="643" w:firstLineChars="200"/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</w:pPr>
    </w:p>
    <w:p w14:paraId="5136B88C">
      <w:pPr>
        <w:spacing w:line="240" w:lineRule="auto"/>
        <w:ind w:right="-100" w:rightChars="-50"/>
        <w:jc w:val="center"/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</w:pPr>
      <w:r>
        <w:drawing>
          <wp:inline distT="0" distB="0" distL="114300" distR="114300">
            <wp:extent cx="5177155" cy="4060825"/>
            <wp:effectExtent l="0" t="0" r="4445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77155" cy="406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5A61B">
      <w:pPr>
        <w:spacing w:line="240" w:lineRule="auto"/>
        <w:ind w:right="-100" w:rightChars="-50"/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</w:pPr>
    </w:p>
    <w:p w14:paraId="1DD4B1D0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  <w:t>（五）监督保障情况</w:t>
      </w:r>
    </w:p>
    <w:p w14:paraId="1FA6F7FB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汶上县财政局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不断强化政府信息公开工作的组织保障与监督机制。将政务公开工作纳入重要议事日程，明确分管领导、责任科室和专职人员，确保工作有人抓、有人管。积极组织或参与政务公开业务培训，全年开展或参与培训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次，有效提升工作人员业务能力和水平。主动接受社会监督，认真听取和吸纳公众意见建议，持续改进工作，本年度未发生因政府信息公开工作被责任追究的情况。</w:t>
      </w:r>
    </w:p>
    <w:p w14:paraId="2197B55C">
      <w:pPr>
        <w:spacing w:line="590" w:lineRule="exact"/>
        <w:ind w:right="-100" w:rightChars="-50" w:firstLine="643" w:firstLineChars="200"/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  <w:t>二、主动公开政府信息情况</w:t>
      </w:r>
    </w:p>
    <w:tbl>
      <w:tblPr>
        <w:tblStyle w:val="6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 w14:paraId="2EC90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A5B6E6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 w14:paraId="153E1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11BACD1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C247ABE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7399AF0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915D047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 w14:paraId="1A3E1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6DA39C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4532D26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803A051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C54304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192C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64C424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167F82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5C70336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7E08CC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1DFB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34FCD42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 w14:paraId="658A6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1936A46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705CBC9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 w14:paraId="54089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0F47D49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E5782A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08B4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F97B91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 w14:paraId="60513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D34C459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B802D76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 w14:paraId="76684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BA0EA7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7A1285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3DD0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5B6B69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5479B2C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D2F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C3D7851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 w14:paraId="552CD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44412BC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9E96AD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 w14:paraId="1F8CF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239564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C0D2634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1FB99C88">
      <w:pPr>
        <w:spacing w:line="590" w:lineRule="exact"/>
        <w:ind w:right="-100" w:rightChars="-50" w:firstLine="643" w:firstLineChars="200"/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  <w:t>三、收到和处理政府信息公开申请情况</w:t>
      </w:r>
    </w:p>
    <w:tbl>
      <w:tblPr>
        <w:tblStyle w:val="6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 w14:paraId="3236A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751F84C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 w14:paraId="0EFA7BE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申请人情况</w:t>
            </w:r>
          </w:p>
        </w:tc>
      </w:tr>
      <w:tr w14:paraId="17BC9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E5C5E86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6625D8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3ADC66F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D77552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 w14:paraId="104DF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4CE9758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7E84040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7B60017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商业</w:t>
            </w:r>
          </w:p>
          <w:p w14:paraId="4DAB5DB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65B0776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科研</w:t>
            </w:r>
          </w:p>
          <w:p w14:paraId="551DC2E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240B0C9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755110D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1B05168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60FD1F4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</w:tr>
      <w:tr w14:paraId="0E980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EB1E3D2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672CFF8E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2792D6E0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041EDC9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0753188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591BF4B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6BA724B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66B6A44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4</w:t>
            </w:r>
          </w:p>
        </w:tc>
      </w:tr>
      <w:tr w14:paraId="04049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172ADB2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50D2D52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5B449C8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7B8959A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305062D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1DB82BE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0CD29C3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536331C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3E9D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04B81AC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EB29862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63FFEDBD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7080106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3E61334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486BE96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1A2CCEC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5B93250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11393F25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/>
              </w:rPr>
              <w:t>1</w:t>
            </w:r>
          </w:p>
        </w:tc>
      </w:tr>
      <w:tr w14:paraId="65889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290F9C8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9394632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32A66F1F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5B71AAE7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009938C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3DE6BC5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64F1A9D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79201E3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0CFD066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 w:bidi="ar-SA"/>
              </w:rPr>
              <w:t>0</w:t>
            </w:r>
          </w:p>
        </w:tc>
      </w:tr>
      <w:tr w14:paraId="693A0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FE1EE7E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EB7CD83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29C36643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3D4A024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0663832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1BCF1B2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0924890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1B2C825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0AB10C4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13DCEC2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 w14:paraId="3A9CF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86E4AAB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F0C8826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09C90486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270F1BF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5F961CD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78682A7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54C9DC1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32F3174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6223D9C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0DA480F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 w14:paraId="1E5F9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24755DB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64399FD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40B0FA69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5E7372B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40E1E70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267F018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422F3C3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4B81DB6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5FF6681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7BBE912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 w14:paraId="644C9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6597C8F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C2C728B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2D806D5B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051BAE4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5213718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1AF9761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5CBC4EC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7A29207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2C6F151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085B966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 w14:paraId="1E03D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4BD698F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F84C294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0F029E7C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1D32BE2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5238293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6684FC7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720534B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68816E3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1295A18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18754D1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 w14:paraId="7DABC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279C13C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9D47AC8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571FC3C4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3C795C1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7600341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21BE08E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704EAAF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3FC5C51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6981D07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463F2CB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 w14:paraId="70479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961D962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183D16D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7270CD5C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179060E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322B42A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5B10DAB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2D224AC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644BC39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0A0DC33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3A5B909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 w14:paraId="4C372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2EB6655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6E07348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35D272B8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550B40E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1AFACBC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3778125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5BA31BA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618D016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1345CE6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6512745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 w14:paraId="4F5E2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BC1CBF5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1F857F6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4E98FFDA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71E567D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7AEAD8D9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7E00BD0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07226BC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011A719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6795C0B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531D8DB0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/>
              </w:rPr>
              <w:t>2</w:t>
            </w:r>
          </w:p>
        </w:tc>
      </w:tr>
      <w:tr w14:paraId="0B251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2B04A8D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D04E6F6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7EF65507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66CE431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7F11AEE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15E00AD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1394D7B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32E2D54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4D1E112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63180AD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 w14:paraId="18A40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D449612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C957C69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4B7C209E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4B84A11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19D25A6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45788B2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526F4C6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650775B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5952A45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6CE0794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 w14:paraId="7CD23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AB445C4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BAE540A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33B49BAE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044BFAA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6B1F877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2714ABF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3159B74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7A2C991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4A4F280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3E5100A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 w14:paraId="23EE3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D5CB63D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D37B707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3A92A954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1187805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7E0989B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0474F96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50FDB0B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0440893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057C539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5ADE7EE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 w14:paraId="3B869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648B754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6699008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1ED57EA8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3143123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0D919EA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5364327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565CAD3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0193768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342A46D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57F02AE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 w14:paraId="58503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53EEDCA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F359D7F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3247C402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06BBC7C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6FA9AEC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117CAAD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71357B6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21A7684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16AF0A5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6938275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 w14:paraId="62B05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10266C2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501237F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791084C6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71A6780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0A1C768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75E8C13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24445B5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1D80763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7839D92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4E1598F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 w14:paraId="1C02B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6ACD558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498CCE0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588DED95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72AA7A7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0238015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544ADAC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19CDBD6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70042FD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5E12500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100628C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CA0D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7FE9A98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B170DA8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3D48F09E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75D20BA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54EBB67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402A7B9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2AE2EB0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0C75B45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0DDCC5F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191FF48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E1C0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096F034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74DC5E4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17A7704A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108ECBB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7493A3F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5E2A183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14430AB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7663D1E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106136E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7D71EEE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 w14:paraId="7F5C4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B2D8E40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D439E9F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6B2C5F71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348934CB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3EEA78E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6D9659B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4A44830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22D2DA0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2F2FA210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/>
              </w:rPr>
              <w:t>3</w:t>
            </w:r>
          </w:p>
        </w:tc>
      </w:tr>
      <w:tr w14:paraId="008C3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C750A71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69A80B56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6B6A1F8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51BB7CE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30CEB10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43525E2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49BE15B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22CB7136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/>
              </w:rPr>
              <w:t>1</w:t>
            </w:r>
          </w:p>
        </w:tc>
      </w:tr>
    </w:tbl>
    <w:p w14:paraId="1678E9C0">
      <w:pPr>
        <w:spacing w:line="590" w:lineRule="exact"/>
        <w:ind w:right="-100" w:rightChars="-50" w:firstLine="643" w:firstLineChars="200"/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  <w:t>四、政府信息公开行政复议、行政诉讼情况</w:t>
      </w:r>
    </w:p>
    <w:tbl>
      <w:tblPr>
        <w:tblStyle w:val="6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 w14:paraId="3A4295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44FA0E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6F93BC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行政诉讼</w:t>
            </w:r>
          </w:p>
        </w:tc>
      </w:tr>
      <w:tr w14:paraId="0EFD19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231ED6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BB7E34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  <w:p w14:paraId="6B4FFB75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EC2166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其他</w:t>
            </w:r>
          </w:p>
          <w:p w14:paraId="55F02467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428E22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尚未</w:t>
            </w:r>
          </w:p>
          <w:p w14:paraId="5714DE83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D7EB45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B4A0A8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C4379B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复议后起诉</w:t>
            </w:r>
          </w:p>
        </w:tc>
      </w:tr>
      <w:tr w14:paraId="0C8A8A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983508"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2CD43A"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71F2A7"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87FB24"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9CA5CD"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192C6D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  <w:p w14:paraId="09950C13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D657F1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  <w:p w14:paraId="392126F2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B281A1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其他</w:t>
            </w:r>
          </w:p>
          <w:p w14:paraId="0EC171DE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DE2A96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尚未</w:t>
            </w:r>
          </w:p>
          <w:p w14:paraId="37DA20D0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0FA14E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A223E6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  <w:p w14:paraId="5167FB97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A910F8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  <w:p w14:paraId="01A1DB8B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98F2E5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其他</w:t>
            </w:r>
          </w:p>
          <w:p w14:paraId="3CE6440B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A3294F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尚未</w:t>
            </w:r>
          </w:p>
          <w:p w14:paraId="3E88DDFB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77D847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 w14:paraId="3EC04E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993203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4269AE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EF4D53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669D04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BE2633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9EE316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4929BD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B747DA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13765E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C33BCA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C5A841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28319D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298E2F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0BA9CE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CA3732"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597BAF26">
      <w:pPr>
        <w:spacing w:line="590" w:lineRule="exact"/>
        <w:ind w:right="-100" w:rightChars="-50" w:firstLine="643" w:firstLineChars="200"/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  <w:t>五、存在的主要问题及改进情况</w:t>
      </w:r>
    </w:p>
    <w:p w14:paraId="6AA41145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当前工作中，政策解读的形式和深度仍有拓展空间，部分重点领域信息公开的精细化水平有待进一步提升，依申请公开办理的标准化程度也需持续巩固和加强。针对上述问题，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我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单位已在工作中积极改进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。积极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创新政策解读方式，更多运用图解、视频、新闻发布会等生动形式，增强解读效果；同时，聚焦优化营商环境、民生保障等重点领域，深化细化公开内容，提升服务实效；并通过加强案例学习与业务培训，进一步规范依申请公开各环节工作，提升答复文书质量，确保依法依规满足人民群众的信息需求。</w:t>
      </w:r>
    </w:p>
    <w:p w14:paraId="0FBF55A6">
      <w:pPr>
        <w:spacing w:line="590" w:lineRule="exact"/>
        <w:ind w:right="-100" w:rightChars="-50" w:firstLine="643" w:firstLineChars="200"/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  <w:t>六、其他需要报告的事项</w:t>
      </w:r>
    </w:p>
    <w:p w14:paraId="3AC18FA5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（一）依据《政府信息公开信息处理费管理办法》收取信息处理费的情况</w:t>
      </w:r>
    </w:p>
    <w:p w14:paraId="52E72B60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年汶上县财政局未收取任何信息处理费。</w:t>
      </w:r>
    </w:p>
    <w:p w14:paraId="15845F14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（二）落实上级年度政务公开工作要点情况</w:t>
      </w:r>
    </w:p>
    <w:p w14:paraId="3D484FFB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2025年，</w:t>
      </w:r>
      <w:r>
        <w:rPr>
          <w:rFonts w:hint="eastAsia" w:eastAsia="仿宋_GB2312" w:cs="Times New Roman"/>
          <w:b/>
          <w:sz w:val="32"/>
          <w:szCs w:val="32"/>
          <w:lang w:val="en-US" w:eastAsia="zh-CN"/>
        </w:rPr>
        <w:t>汶上县财政局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严格对标对表国家、省、市及县政府年度政务公开工作要点部署要求，结合部门职责制定具体落实方案，细化任务分工，明确责任科室与完成时限。</w:t>
      </w:r>
      <w:r>
        <w:rPr>
          <w:rFonts w:hint="eastAsia" w:eastAsia="仿宋_GB2312" w:cs="Times New Roman"/>
          <w:b/>
          <w:sz w:val="32"/>
          <w:szCs w:val="32"/>
          <w:lang w:val="en-US" w:eastAsia="zh-CN"/>
        </w:rPr>
        <w:t>围绕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预决算、行政事业性收费、财政扶持政策等关键领域，深化信息公开内容，创新公开形式，着力提升政策透明度和服务效能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持续规范依申请公开办理，完善政府信息管理机制，积极配合完成全县政务公开平台优化与数据归集工作。通过专项督查与日常监测相结合的方式，跟踪要点落实情况，确保上级各项部署要求不折不扣执行到位，有效提升了政务公开工作的系统性与实效性。</w:t>
      </w:r>
    </w:p>
    <w:p w14:paraId="7064FDDB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（三）人大代表建议和政协提案办理结果公开情况</w:t>
      </w:r>
    </w:p>
    <w:p w14:paraId="4F90B17E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2025年，我局共承办人大代表建议和政协委员提案3件。其中，承办县人大代表建议2件，政协委员提案1件。截至目前，所有建议已在规定时限内办复完毕，并向代表们作出了书面答复。所有答复均通过汶上县人民政府网站政府信息公开栏目公开。</w:t>
      </w:r>
    </w:p>
    <w:p w14:paraId="34807D6E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（四）年度政务公开工作创新情况</w:t>
      </w:r>
    </w:p>
    <w:p w14:paraId="588D658C">
      <w:pPr>
        <w:tabs>
          <w:tab w:val="left" w:pos="2106"/>
        </w:tabs>
        <w:bidi w:val="0"/>
        <w:ind w:firstLine="643" w:firstLineChars="200"/>
        <w:jc w:val="left"/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积极响应县政府办公室已公开信息管理规范化试点建设工作要求，开展专题会议调研统计已公开信息公开时限管理建议，根据调研结果制定相关方案，明确后续公开信息有效时限，提高发布信息的时效性及准确性。</w:t>
      </w:r>
    </w:p>
    <w:p w14:paraId="5BB628BE">
      <w:pPr>
        <w:tabs>
          <w:tab w:val="left" w:pos="2106"/>
        </w:tabs>
        <w:bidi w:val="0"/>
        <w:jc w:val="left"/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</w:pPr>
    </w:p>
    <w:p w14:paraId="166BFA55">
      <w:pP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br w:type="page"/>
      </w:r>
    </w:p>
    <w:p w14:paraId="43E4CB26">
      <w:pPr>
        <w:spacing w:line="590" w:lineRule="exact"/>
        <w:ind w:right="-100" w:rightChars="-5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附件3</w:t>
      </w:r>
    </w:p>
    <w:p w14:paraId="2FEE699C">
      <w:pPr>
        <w:spacing w:line="590" w:lineRule="exact"/>
        <w:ind w:right="-100" w:rightChars="-50"/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  <w:t>汶上财政局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年政府信息公开</w:t>
      </w:r>
    </w:p>
    <w:p w14:paraId="3E929EB2">
      <w:pPr>
        <w:spacing w:line="590" w:lineRule="exact"/>
        <w:ind w:right="-100" w:rightChars="-50"/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情况统计表</w:t>
      </w:r>
    </w:p>
    <w:tbl>
      <w:tblPr>
        <w:tblStyle w:val="6"/>
        <w:tblW w:w="8696" w:type="dxa"/>
        <w:jc w:val="center"/>
        <w:tblBorders>
          <w:top w:val="single" w:color="0A0A0A" w:sz="6" w:space="0"/>
          <w:left w:val="single" w:color="0A0A0A" w:sz="6" w:space="0"/>
          <w:bottom w:val="single" w:color="0A0A0A" w:sz="6" w:space="0"/>
          <w:right w:val="single" w:color="0A0A0A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7"/>
        <w:gridCol w:w="904"/>
        <w:gridCol w:w="825"/>
      </w:tblGrid>
      <w:tr w14:paraId="65680D69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tblHeader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43D830BE">
            <w:pPr>
              <w:pStyle w:val="5"/>
              <w:spacing w:before="0" w:beforeAutospacing="0" w:after="0" w:afterAutospacing="0" w:line="240" w:lineRule="exact"/>
              <w:ind w:firstLine="685"/>
              <w:jc w:val="center"/>
              <w:rPr>
                <w:rFonts w:ascii="黑体" w:eastAsia="黑体"/>
                <w:b/>
                <w:color w:val="000000"/>
              </w:rPr>
            </w:pPr>
            <w:r>
              <w:rPr>
                <w:rStyle w:val="8"/>
                <w:rFonts w:hint="eastAsia" w:ascii="黑体" w:eastAsia="黑体"/>
                <w:color w:val="000000"/>
                <w:sz w:val="20"/>
                <w:szCs w:val="20"/>
              </w:rPr>
              <w:t>统　计　指　标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7839976C">
            <w:pPr>
              <w:spacing w:line="240" w:lineRule="exact"/>
              <w:jc w:val="center"/>
              <w:rPr>
                <w:rFonts w:ascii="黑体" w:hAnsi="宋体" w:eastAsia="黑体" w:cs="宋体"/>
                <w:b/>
                <w:color w:val="000000"/>
                <w:sz w:val="24"/>
              </w:rPr>
            </w:pPr>
            <w:r>
              <w:rPr>
                <w:rStyle w:val="8"/>
                <w:rFonts w:hint="eastAsia" w:ascii="黑体" w:eastAsia="黑体"/>
                <w:color w:val="000000"/>
              </w:rPr>
              <w:t>单位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21597F9D">
            <w:pPr>
              <w:spacing w:line="240" w:lineRule="exact"/>
              <w:jc w:val="center"/>
              <w:rPr>
                <w:rFonts w:ascii="黑体" w:hAnsi="宋体" w:eastAsia="黑体" w:cs="宋体"/>
                <w:b/>
                <w:color w:val="000000"/>
                <w:sz w:val="24"/>
              </w:rPr>
            </w:pPr>
            <w:r>
              <w:rPr>
                <w:rStyle w:val="8"/>
                <w:rFonts w:hint="eastAsia" w:ascii="黑体" w:eastAsia="黑体"/>
                <w:color w:val="000000"/>
              </w:rPr>
              <w:t>统计数</w:t>
            </w:r>
          </w:p>
        </w:tc>
      </w:tr>
      <w:tr w14:paraId="6AFB5D46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72B15998">
            <w:pPr>
              <w:spacing w:line="240" w:lineRule="exact"/>
              <w:rPr>
                <w:rFonts w:ascii="黑体" w:hAnsi="宋体" w:eastAsia="黑体" w:cs="宋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</w:rPr>
              <w:t>一、主动公开情况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auto"/>
            <w:noWrap w:val="0"/>
            <w:vAlign w:val="center"/>
          </w:tcPr>
          <w:p w14:paraId="71EE6F3C"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64B60439"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</w:p>
        </w:tc>
      </w:tr>
      <w:tr w14:paraId="335A3837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7E4F73EC">
            <w:pPr>
              <w:spacing w:line="240" w:lineRule="exact"/>
              <w:rPr>
                <w:rFonts w:hint="eastAsia" w:ascii="仿宋_GB2312" w:hAnsi="宋体" w:eastAsia="仿宋_GB2312"/>
                <w:b/>
                <w:color w:val="000000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　　（一）主动公开政府信息数（不同渠道和方式公开相同信息计1条）</w:t>
            </w:r>
          </w:p>
          <w:p w14:paraId="0ABED44F">
            <w:pPr>
              <w:spacing w:line="240" w:lineRule="exact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　　　　（不同渠道和方式公开相同信息计1条）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61CF5535"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18C92CBD">
            <w:pPr>
              <w:spacing w:line="240" w:lineRule="exact"/>
              <w:jc w:val="center"/>
              <w:rPr>
                <w:rFonts w:hint="default" w:ascii="仿宋_GB2312" w:hAnsi="宋体" w:eastAsia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206</w:t>
            </w:r>
          </w:p>
        </w:tc>
      </w:tr>
      <w:tr w14:paraId="234358AC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52B5DA96">
            <w:pPr>
              <w:spacing w:line="240" w:lineRule="exact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　　　　　　其中：主动公开规范性文件数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15F03A7E"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7FDEECDF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0</w:t>
            </w:r>
          </w:p>
        </w:tc>
      </w:tr>
      <w:tr w14:paraId="7DE542F2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53E19A3E">
            <w:pPr>
              <w:spacing w:line="240" w:lineRule="exact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　　　　　　　　　制发规范性文件总数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343C271A"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件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05D632A7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0</w:t>
            </w:r>
          </w:p>
        </w:tc>
      </w:tr>
      <w:tr w14:paraId="595FD9A9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3605910B">
            <w:pPr>
              <w:spacing w:line="240" w:lineRule="exact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　　（二）通过不同渠道和方式公开政府信息的情况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auto"/>
            <w:noWrap w:val="0"/>
            <w:vAlign w:val="center"/>
          </w:tcPr>
          <w:p w14:paraId="34D4F6EC"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6CBF3A68">
            <w:pPr>
              <w:spacing w:line="240" w:lineRule="exact"/>
              <w:jc w:val="center"/>
              <w:rPr>
                <w:rFonts w:ascii="仿宋_GB2312" w:hAnsi="宋体" w:eastAsia="仿宋_GB2312"/>
                <w:b/>
                <w:color w:val="000000"/>
              </w:rPr>
            </w:pPr>
          </w:p>
        </w:tc>
      </w:tr>
      <w:tr w14:paraId="6D03899A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42063DF0">
            <w:pPr>
              <w:spacing w:line="240" w:lineRule="exact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　　　　　1.政府公报公开政府信息数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1773C45C"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15D40EFF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0</w:t>
            </w:r>
          </w:p>
        </w:tc>
      </w:tr>
      <w:tr w14:paraId="401AEAF6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409CB04E">
            <w:pPr>
              <w:spacing w:line="240" w:lineRule="exact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　　　　　2.政府网站公开政府信息数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383A8220"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6DA46811">
            <w:pPr>
              <w:spacing w:line="240" w:lineRule="exact"/>
              <w:jc w:val="center"/>
              <w:rPr>
                <w:rFonts w:hint="default" w:ascii="仿宋_GB2312" w:hAnsi="宋体" w:eastAsia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148</w:t>
            </w:r>
          </w:p>
        </w:tc>
      </w:tr>
      <w:tr w14:paraId="73A6926E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7564B8EB">
            <w:pPr>
              <w:spacing w:line="240" w:lineRule="exact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　　　　　3.政务微博公开政府信息数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5CBBFE5B"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5A647514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0</w:t>
            </w:r>
          </w:p>
        </w:tc>
      </w:tr>
      <w:tr w14:paraId="19A8E93B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669D0364">
            <w:pPr>
              <w:spacing w:line="240" w:lineRule="exact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　　　　　4.政务微信公开政府信息数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4B38D13B"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65636D3F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0</w:t>
            </w:r>
          </w:p>
        </w:tc>
      </w:tr>
      <w:tr w14:paraId="314C0E47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233C249E">
            <w:pPr>
              <w:spacing w:line="240" w:lineRule="exact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　　　　　5.其他方式公开政府信息数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275526FE"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3AF1D69E">
            <w:pPr>
              <w:spacing w:line="240" w:lineRule="exact"/>
              <w:jc w:val="center"/>
              <w:rPr>
                <w:rFonts w:hint="default" w:ascii="仿宋_GB2312" w:hAnsi="宋体" w:eastAsia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58</w:t>
            </w:r>
          </w:p>
        </w:tc>
      </w:tr>
      <w:tr w14:paraId="3F4920DA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53496A06">
            <w:pPr>
              <w:spacing w:line="240" w:lineRule="exact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</w:rPr>
              <w:t>二、回应解读情况（不同方式回应同一热点或舆情计1次）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auto"/>
            <w:noWrap w:val="0"/>
            <w:vAlign w:val="center"/>
          </w:tcPr>
          <w:p w14:paraId="7E40D19F">
            <w:pPr>
              <w:pStyle w:val="5"/>
              <w:spacing w:before="0" w:beforeAutospacing="0" w:after="0" w:afterAutospacing="0" w:line="240" w:lineRule="exact"/>
              <w:ind w:firstLine="685"/>
              <w:jc w:val="center"/>
              <w:rPr>
                <w:rFonts w:ascii="仿宋_GB2312" w:eastAsia="仿宋_GB2312"/>
                <w:b/>
                <w:color w:val="000000"/>
              </w:rPr>
            </w:pPr>
          </w:p>
        </w:tc>
        <w:tc>
          <w:tcPr>
            <w:tcW w:w="82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</w:tcBorders>
            <w:shd w:val="clear" w:color="auto" w:fill="auto"/>
            <w:noWrap w:val="0"/>
            <w:vAlign w:val="center"/>
          </w:tcPr>
          <w:p w14:paraId="43F1757F">
            <w:pPr>
              <w:spacing w:line="240" w:lineRule="exact"/>
              <w:jc w:val="center"/>
              <w:rPr>
                <w:rFonts w:ascii="仿宋_GB2312" w:hAnsi="宋体" w:eastAsia="仿宋_GB2312"/>
                <w:b/>
                <w:color w:val="000000"/>
              </w:rPr>
            </w:pPr>
          </w:p>
        </w:tc>
      </w:tr>
      <w:tr w14:paraId="6FAAD60D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29A2FB24">
            <w:pPr>
              <w:pStyle w:val="5"/>
              <w:spacing w:before="0" w:beforeAutospacing="0" w:after="0" w:afterAutospacing="0" w:line="240" w:lineRule="exact"/>
              <w:ind w:firstLine="402" w:firstLineChars="200"/>
              <w:rPr>
                <w:rFonts w:hint="eastAsia" w:ascii="仿宋_GB2312" w:eastAsia="仿宋_GB2312" w:cs="Times New Roman"/>
                <w:b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Times New Roman"/>
                <w:b/>
                <w:color w:val="000000"/>
                <w:kern w:val="2"/>
                <w:sz w:val="20"/>
                <w:szCs w:val="20"/>
              </w:rPr>
              <w:t>（一）回应公众关注热点或重大舆情数</w:t>
            </w:r>
          </w:p>
          <w:p w14:paraId="1F80603D">
            <w:pPr>
              <w:pStyle w:val="5"/>
              <w:spacing w:before="0" w:beforeAutospacing="0" w:after="0" w:afterAutospacing="0" w:line="240" w:lineRule="exact"/>
              <w:ind w:firstLine="402" w:firstLineChars="200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hint="eastAsia" w:ascii="仿宋_GB2312" w:eastAsia="仿宋_GB2312" w:cs="Times New Roman"/>
                <w:b/>
                <w:color w:val="000000"/>
                <w:kern w:val="2"/>
                <w:sz w:val="20"/>
                <w:szCs w:val="20"/>
              </w:rPr>
              <w:t>　　　　 （不同方式回应同一热点或舆情计1次）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2D33F706"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7EFCE88B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0</w:t>
            </w:r>
          </w:p>
        </w:tc>
      </w:tr>
      <w:tr w14:paraId="72AFD803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33BF6777">
            <w:pPr>
              <w:spacing w:line="240" w:lineRule="exact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　　（二）通过不同渠道和方式回应解读的情况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auto"/>
            <w:noWrap w:val="0"/>
            <w:vAlign w:val="center"/>
          </w:tcPr>
          <w:p w14:paraId="47C320C2"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4D695092">
            <w:pPr>
              <w:spacing w:line="240" w:lineRule="exact"/>
              <w:jc w:val="center"/>
              <w:rPr>
                <w:rFonts w:ascii="仿宋_GB2312" w:hAnsi="宋体" w:eastAsia="仿宋_GB2312"/>
                <w:b/>
                <w:color w:val="000000"/>
              </w:rPr>
            </w:pPr>
          </w:p>
        </w:tc>
      </w:tr>
      <w:tr w14:paraId="2BC0073A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47745C06">
            <w:pPr>
              <w:spacing w:line="240" w:lineRule="exact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　　　　　1.参加或举办新闻发布会总次数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613C4A23"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3EF78518">
            <w:pPr>
              <w:spacing w:line="240" w:lineRule="exact"/>
              <w:jc w:val="center"/>
              <w:rPr>
                <w:rFonts w:hint="default" w:ascii="仿宋_GB2312" w:hAnsi="宋体" w:eastAsia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3</w:t>
            </w:r>
          </w:p>
        </w:tc>
      </w:tr>
      <w:tr w14:paraId="6DC7BDA0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3A163ED0">
            <w:pPr>
              <w:spacing w:line="240" w:lineRule="exact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　　　　　　 其中：主要负责同志参加新闻发布会次数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2D1A2233"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2B0E4EEF">
            <w:pPr>
              <w:spacing w:line="240" w:lineRule="exact"/>
              <w:jc w:val="center"/>
              <w:rPr>
                <w:rFonts w:hint="default" w:ascii="仿宋_GB2312" w:hAnsi="宋体" w:eastAsia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0</w:t>
            </w:r>
          </w:p>
        </w:tc>
      </w:tr>
      <w:tr w14:paraId="3B40676D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5B8872E8">
            <w:pPr>
              <w:spacing w:line="240" w:lineRule="exact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　　　　　2.政府网站在线访谈次数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72519986"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1EF1F3DA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0</w:t>
            </w:r>
          </w:p>
        </w:tc>
      </w:tr>
      <w:tr w14:paraId="42F9A4D4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0E2356C5">
            <w:pPr>
              <w:spacing w:line="240" w:lineRule="exact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　　　　　　 其中：主要负责同志参加政府网站在线访谈次数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3AB76177"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02B156DC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0</w:t>
            </w:r>
          </w:p>
        </w:tc>
      </w:tr>
      <w:tr w14:paraId="3FD4C0B8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018D29E2">
            <w:pPr>
              <w:spacing w:line="240" w:lineRule="exact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　　　　　3.政策解读稿件发布数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73B782A0"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篇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2BF0D173">
            <w:pPr>
              <w:spacing w:line="240" w:lineRule="exact"/>
              <w:jc w:val="center"/>
              <w:rPr>
                <w:rFonts w:hint="default" w:ascii="仿宋_GB2312" w:hAnsi="宋体" w:eastAsia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0</w:t>
            </w:r>
          </w:p>
        </w:tc>
      </w:tr>
      <w:tr w14:paraId="51DC2324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18B558E5">
            <w:pPr>
              <w:spacing w:line="240" w:lineRule="exact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　　　　　4.微博微信回应事件数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3D02A6D9"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00E81B7B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0</w:t>
            </w:r>
          </w:p>
        </w:tc>
      </w:tr>
      <w:tr w14:paraId="68BE78B0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028AA453">
            <w:pPr>
              <w:spacing w:line="240" w:lineRule="exact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　　　　　5.其他方式回应事件数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3A5775E5"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1C0C0207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0</w:t>
            </w:r>
          </w:p>
        </w:tc>
      </w:tr>
      <w:tr w14:paraId="7C850270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77B59E63">
            <w:pPr>
              <w:spacing w:line="240" w:lineRule="exact"/>
              <w:rPr>
                <w:rFonts w:ascii="黑体" w:hAnsi="宋体" w:eastAsia="黑体"/>
                <w:b/>
                <w:color w:val="000000"/>
              </w:rPr>
            </w:pPr>
            <w:r>
              <w:rPr>
                <w:rFonts w:hint="eastAsia" w:ascii="黑体" w:hAnsi="宋体" w:eastAsia="黑体"/>
                <w:b/>
                <w:color w:val="000000"/>
                <w:lang w:val="en-US" w:eastAsia="zh-CN"/>
              </w:rPr>
              <w:t>三</w:t>
            </w:r>
            <w:r>
              <w:rPr>
                <w:rFonts w:hint="eastAsia" w:ascii="黑体" w:hAnsi="宋体" w:eastAsia="黑体"/>
                <w:b/>
                <w:color w:val="000000"/>
              </w:rPr>
              <w:t>、设置政府信息查阅点数</w:t>
            </w:r>
          </w:p>
        </w:tc>
        <w:tc>
          <w:tcPr>
            <w:tcW w:w="904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373C528B"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b/>
                <w:color w:val="00000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7731F4A1"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b/>
                <w:color w:val="000000"/>
              </w:rPr>
            </w:pPr>
          </w:p>
        </w:tc>
      </w:tr>
      <w:tr w14:paraId="6B46EBB1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7FBD8762">
            <w:pPr>
              <w:spacing w:line="240" w:lineRule="exact"/>
              <w:ind w:firstLine="402" w:firstLineChars="200"/>
              <w:rPr>
                <w:rFonts w:hint="default" w:ascii="仿宋_GB2312" w:hAnsi="宋体" w:eastAsia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（</w:t>
            </w: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一</w:t>
            </w:r>
            <w:r>
              <w:rPr>
                <w:rFonts w:hint="eastAsia" w:ascii="仿宋_GB2312" w:hAnsi="宋体" w:eastAsia="仿宋_GB2312"/>
                <w:b/>
                <w:color w:val="000000"/>
              </w:rPr>
              <w:t>）</w:t>
            </w: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县直</w:t>
            </w:r>
            <w:r>
              <w:rPr>
                <w:rFonts w:hint="eastAsia" w:ascii="仿宋_GB2312" w:hAnsi="宋体" w:eastAsia="仿宋_GB2312"/>
                <w:b/>
                <w:color w:val="000000"/>
              </w:rPr>
              <w:t>部门</w:t>
            </w:r>
            <w:r>
              <w:rPr>
                <w:rFonts w:hint="eastAsia" w:ascii="仿宋_GB2312" w:hAnsi="宋体" w:eastAsia="仿宋_GB2312"/>
                <w:b/>
                <w:color w:val="000000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单位</w:t>
            </w:r>
          </w:p>
        </w:tc>
        <w:tc>
          <w:tcPr>
            <w:tcW w:w="904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2E6389A8">
            <w:pPr>
              <w:spacing w:line="240" w:lineRule="exact"/>
              <w:jc w:val="center"/>
              <w:rPr>
                <w:rFonts w:ascii="仿宋_GB2312" w:hAnsi="宋体" w:eastAsia="仿宋_GB2312"/>
                <w:b/>
                <w:color w:val="00000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5384BC0C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1</w:t>
            </w:r>
          </w:p>
        </w:tc>
      </w:tr>
      <w:tr w14:paraId="0D9CA422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66F15991">
            <w:pPr>
              <w:spacing w:line="240" w:lineRule="exact"/>
              <w:ind w:firstLine="402" w:firstLineChars="200"/>
              <w:rPr>
                <w:rFonts w:ascii="仿宋_GB2312" w:hAnsi="宋体" w:eastAsia="仿宋_GB2312"/>
                <w:b/>
                <w:color w:val="00000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（</w:t>
            </w: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二</w:t>
            </w:r>
            <w:r>
              <w:rPr>
                <w:rFonts w:hint="eastAsia" w:ascii="仿宋_GB2312" w:hAnsi="宋体" w:eastAsia="仿宋_GB2312"/>
                <w:b/>
                <w:color w:val="000000"/>
              </w:rPr>
              <w:t>）乡镇政府（街道办事处）</w:t>
            </w:r>
          </w:p>
        </w:tc>
        <w:tc>
          <w:tcPr>
            <w:tcW w:w="904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27B68423">
            <w:pPr>
              <w:spacing w:line="240" w:lineRule="exact"/>
              <w:jc w:val="center"/>
              <w:rPr>
                <w:rFonts w:ascii="仿宋_GB2312" w:hAnsi="宋体" w:eastAsia="仿宋_GB2312"/>
                <w:b/>
                <w:color w:val="00000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22EBFA7A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0</w:t>
            </w:r>
          </w:p>
        </w:tc>
      </w:tr>
      <w:tr w14:paraId="4DEC631E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568060A1">
            <w:pPr>
              <w:spacing w:line="240" w:lineRule="exact"/>
              <w:rPr>
                <w:rFonts w:ascii="仿宋_GB2312" w:hAnsi="宋体" w:eastAsia="仿宋_GB2312"/>
                <w:b/>
                <w:color w:val="000000"/>
              </w:rPr>
            </w:pPr>
            <w:r>
              <w:rPr>
                <w:rFonts w:hint="eastAsia" w:ascii="黑体" w:hAnsi="宋体" w:eastAsia="黑体"/>
                <w:b/>
                <w:color w:val="000000"/>
                <w:lang w:val="en-US" w:eastAsia="zh-CN"/>
              </w:rPr>
              <w:t>四</w:t>
            </w:r>
            <w:r>
              <w:rPr>
                <w:rFonts w:hint="eastAsia" w:ascii="黑体" w:hAnsi="宋体" w:eastAsia="黑体"/>
                <w:b/>
                <w:color w:val="000000"/>
              </w:rPr>
              <w:t>、查阅点接待人数</w:t>
            </w:r>
          </w:p>
        </w:tc>
        <w:tc>
          <w:tcPr>
            <w:tcW w:w="904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6E824CD6"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b/>
                <w:color w:val="00000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4C0E38AF"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b/>
                <w:color w:val="000000"/>
              </w:rPr>
            </w:pPr>
          </w:p>
        </w:tc>
      </w:tr>
      <w:tr w14:paraId="0DCFDBAB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3A252C62">
            <w:pPr>
              <w:spacing w:line="240" w:lineRule="exact"/>
              <w:ind w:firstLine="402" w:firstLineChars="200"/>
              <w:rPr>
                <w:rFonts w:hint="default" w:ascii="仿宋_GB2312" w:hAnsi="宋体" w:eastAsia="仿宋_GB2312"/>
                <w:b/>
                <w:color w:val="000000"/>
                <w:lang w:val="en-US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（</w:t>
            </w: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一</w:t>
            </w:r>
            <w:r>
              <w:rPr>
                <w:rFonts w:hint="eastAsia" w:ascii="仿宋_GB2312" w:hAnsi="宋体" w:eastAsia="仿宋_GB2312"/>
                <w:b/>
                <w:color w:val="000000"/>
              </w:rPr>
              <w:t>）</w:t>
            </w: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县直</w:t>
            </w:r>
            <w:r>
              <w:rPr>
                <w:rFonts w:hint="eastAsia" w:ascii="仿宋_GB2312" w:hAnsi="宋体" w:eastAsia="仿宋_GB2312"/>
                <w:b/>
                <w:color w:val="000000"/>
              </w:rPr>
              <w:t>部门</w:t>
            </w:r>
            <w:r>
              <w:rPr>
                <w:rFonts w:hint="eastAsia" w:ascii="仿宋_GB2312" w:hAnsi="宋体" w:eastAsia="仿宋_GB2312"/>
                <w:b/>
                <w:color w:val="000000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 xml:space="preserve">单位 </w:t>
            </w:r>
          </w:p>
        </w:tc>
        <w:tc>
          <w:tcPr>
            <w:tcW w:w="904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0E5DC8AE">
            <w:pPr>
              <w:spacing w:line="240" w:lineRule="exact"/>
              <w:jc w:val="center"/>
              <w:rPr>
                <w:rFonts w:ascii="仿宋_GB2312" w:hAnsi="宋体" w:eastAsia="仿宋_GB2312"/>
                <w:b/>
                <w:color w:val="00000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2619411D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2</w:t>
            </w:r>
          </w:p>
        </w:tc>
      </w:tr>
      <w:tr w14:paraId="7AA2AF86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62ADFB8C">
            <w:pPr>
              <w:spacing w:line="240" w:lineRule="exact"/>
              <w:ind w:firstLine="402" w:firstLineChars="200"/>
              <w:rPr>
                <w:rFonts w:ascii="仿宋_GB2312" w:hAnsi="宋体" w:eastAsia="仿宋_GB2312"/>
                <w:b/>
                <w:color w:val="00000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（</w:t>
            </w: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二</w:t>
            </w:r>
            <w:r>
              <w:rPr>
                <w:rFonts w:hint="eastAsia" w:ascii="仿宋_GB2312" w:hAnsi="宋体" w:eastAsia="仿宋_GB2312"/>
                <w:b/>
                <w:color w:val="000000"/>
              </w:rPr>
              <w:t>）乡镇政府（街道办事处）</w:t>
            </w:r>
          </w:p>
        </w:tc>
        <w:tc>
          <w:tcPr>
            <w:tcW w:w="904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1EF9E0B5">
            <w:pPr>
              <w:spacing w:line="240" w:lineRule="exact"/>
              <w:jc w:val="center"/>
              <w:rPr>
                <w:rFonts w:ascii="仿宋_GB2312" w:hAnsi="宋体" w:eastAsia="仿宋_GB2312"/>
                <w:b/>
                <w:color w:val="00000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55706248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0</w:t>
            </w:r>
          </w:p>
        </w:tc>
      </w:tr>
      <w:tr w14:paraId="4F6B70DF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4111FEBB">
            <w:pPr>
              <w:spacing w:line="240" w:lineRule="exact"/>
              <w:rPr>
                <w:rFonts w:ascii="仿宋_GB2312" w:hAnsi="宋体" w:eastAsia="仿宋_GB2312"/>
                <w:b/>
                <w:color w:val="000000"/>
              </w:rPr>
            </w:pPr>
            <w:r>
              <w:rPr>
                <w:rFonts w:hint="eastAsia" w:ascii="黑体" w:hAnsi="宋体" w:eastAsia="黑体"/>
                <w:b/>
                <w:color w:val="000000"/>
                <w:lang w:val="en-US" w:eastAsia="zh-CN"/>
              </w:rPr>
              <w:t>五</w:t>
            </w:r>
            <w:r>
              <w:rPr>
                <w:rFonts w:hint="eastAsia" w:ascii="黑体" w:hAnsi="宋体" w:eastAsia="黑体"/>
                <w:b/>
                <w:color w:val="000000"/>
              </w:rPr>
              <w:t>、机构建设和保障经费情况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auto"/>
            <w:noWrap w:val="0"/>
            <w:vAlign w:val="center"/>
          </w:tcPr>
          <w:p w14:paraId="30B5A87E"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1A313A03">
            <w:pPr>
              <w:spacing w:line="240" w:lineRule="exact"/>
              <w:jc w:val="center"/>
              <w:rPr>
                <w:rFonts w:ascii="仿宋_GB2312" w:hAnsi="宋体" w:eastAsia="仿宋_GB2312"/>
                <w:b/>
                <w:color w:val="000000"/>
              </w:rPr>
            </w:pPr>
          </w:p>
        </w:tc>
      </w:tr>
      <w:tr w14:paraId="52524924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5278E11D">
            <w:pPr>
              <w:spacing w:line="240" w:lineRule="exact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　　（一）政府信息公开工作专门机构数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475E5FB0"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个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7F647909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1</w:t>
            </w:r>
          </w:p>
        </w:tc>
      </w:tr>
      <w:tr w14:paraId="2CEF0D67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4109ADCC">
            <w:pPr>
              <w:spacing w:line="240" w:lineRule="exact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　　（二）从事政府信息公开工作人员数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798A2F6A"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人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069A506C">
            <w:pPr>
              <w:spacing w:line="240" w:lineRule="exact"/>
              <w:jc w:val="center"/>
              <w:rPr>
                <w:rFonts w:hint="default" w:ascii="仿宋_GB2312" w:hAnsi="宋体" w:eastAsia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5</w:t>
            </w:r>
          </w:p>
        </w:tc>
      </w:tr>
      <w:tr w14:paraId="46AA6487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45E07EFE">
            <w:pPr>
              <w:spacing w:line="240" w:lineRule="exact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　　　　　1.专职人员数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36AEE296"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人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2833129D">
            <w:pPr>
              <w:spacing w:line="240" w:lineRule="exact"/>
              <w:jc w:val="center"/>
              <w:rPr>
                <w:rFonts w:hint="default" w:ascii="仿宋_GB2312" w:hAnsi="宋体" w:eastAsia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1</w:t>
            </w:r>
          </w:p>
        </w:tc>
      </w:tr>
      <w:tr w14:paraId="799251AA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35EE1572">
            <w:pPr>
              <w:spacing w:line="240" w:lineRule="exact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　　　　　2.兼职人员数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7DA9448A"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人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22B61B3F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4</w:t>
            </w:r>
          </w:p>
        </w:tc>
      </w:tr>
      <w:tr w14:paraId="08A197A9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0D58BC40">
            <w:pPr>
              <w:spacing w:line="240" w:lineRule="exact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　　（三）政府信息公开专项经费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2BCA9197"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万元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11E555EB">
            <w:pPr>
              <w:spacing w:line="240" w:lineRule="exact"/>
              <w:jc w:val="center"/>
              <w:rPr>
                <w:rFonts w:ascii="仿宋_GB2312" w:hAnsi="宋体" w:eastAsia="仿宋_GB2312"/>
                <w:b/>
                <w:color w:val="000000"/>
              </w:rPr>
            </w:pPr>
          </w:p>
        </w:tc>
      </w:tr>
      <w:tr w14:paraId="1F3D6106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6AF04832">
            <w:pPr>
              <w:spacing w:line="240" w:lineRule="exact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lang w:val="en-US" w:eastAsia="zh-CN"/>
              </w:rPr>
              <w:t>六</w:t>
            </w:r>
            <w:r>
              <w:rPr>
                <w:rFonts w:hint="eastAsia" w:ascii="黑体" w:hAnsi="宋体" w:eastAsia="黑体"/>
                <w:b/>
                <w:color w:val="000000"/>
              </w:rPr>
              <w:t>、政府信息公开会议和培训情况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auto"/>
            <w:noWrap w:val="0"/>
            <w:vAlign w:val="center"/>
          </w:tcPr>
          <w:p w14:paraId="67C412DD"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255A95D7">
            <w:pPr>
              <w:spacing w:line="240" w:lineRule="exact"/>
              <w:jc w:val="center"/>
              <w:rPr>
                <w:rFonts w:ascii="仿宋_GB2312" w:hAnsi="宋体" w:eastAsia="仿宋_GB2312"/>
                <w:b/>
                <w:color w:val="000000"/>
              </w:rPr>
            </w:pPr>
          </w:p>
        </w:tc>
      </w:tr>
      <w:tr w14:paraId="447B0B7F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1545D393">
            <w:pPr>
              <w:spacing w:line="240" w:lineRule="exact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　　（一）召开政府信息公开工作会议或专题会议数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06DBC499"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1DC0DE1C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0</w:t>
            </w:r>
          </w:p>
        </w:tc>
      </w:tr>
      <w:tr w14:paraId="55D523DD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19A6AC9C">
            <w:pPr>
              <w:spacing w:line="240" w:lineRule="exact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　　（二）举办各类培训班数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2E0CD6D9"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326EA0D5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0</w:t>
            </w:r>
          </w:p>
        </w:tc>
      </w:tr>
      <w:tr w14:paraId="232F326C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0E879900">
            <w:pPr>
              <w:spacing w:line="240" w:lineRule="exact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　　（三）接受培训人员数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2C93246A"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人次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1F054821">
            <w:pPr>
              <w:spacing w:line="240" w:lineRule="exact"/>
              <w:jc w:val="center"/>
              <w:rPr>
                <w:rFonts w:hint="default" w:ascii="仿宋_GB2312" w:hAnsi="宋体" w:eastAsia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0</w:t>
            </w:r>
          </w:p>
        </w:tc>
      </w:tr>
    </w:tbl>
    <w:p w14:paraId="185AB82C">
      <w:pPr>
        <w:spacing w:line="590" w:lineRule="exact"/>
        <w:ind w:right="-100" w:rightChars="-5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仿宋_GB2312" w:eastAsia="仿宋_GB2312"/>
          <w:b/>
          <w:sz w:val="24"/>
          <w:szCs w:val="24"/>
        </w:rPr>
        <w:t>（注：各子栏目数总数要等于总栏目</w:t>
      </w:r>
      <w:r>
        <w:rPr>
          <w:rFonts w:hint="eastAsia" w:ascii="仿宋_GB2312" w:eastAsia="仿宋_GB2312"/>
          <w:b/>
          <w:sz w:val="24"/>
          <w:szCs w:val="24"/>
          <w:lang w:eastAsia="zh-CN"/>
        </w:rPr>
        <w:t>数量）</w:t>
      </w:r>
    </w:p>
    <w:p w14:paraId="0750BFC7">
      <w:pPr>
        <w:tabs>
          <w:tab w:val="left" w:pos="2106"/>
        </w:tabs>
        <w:bidi w:val="0"/>
        <w:jc w:val="left"/>
        <w:rPr>
          <w:rFonts w:hint="default" w:ascii="仿宋_GB2312" w:eastAsia="仿宋_GB2312"/>
          <w:b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kMWJjMmMzMjJlMWRkZjA4OGVkYWUwYjgwZDA5YjQifQ=="/>
  </w:docVars>
  <w:rsids>
    <w:rsidRoot w:val="FEEB3934"/>
    <w:rsid w:val="2DF6DC9E"/>
    <w:rsid w:val="3B7F26B4"/>
    <w:rsid w:val="3BBF47BF"/>
    <w:rsid w:val="5BF735BB"/>
    <w:rsid w:val="5DD7C708"/>
    <w:rsid w:val="5FCFF3FD"/>
    <w:rsid w:val="63FF3DDD"/>
    <w:rsid w:val="6DFEB488"/>
    <w:rsid w:val="75AFF94B"/>
    <w:rsid w:val="75B9C803"/>
    <w:rsid w:val="796FD80D"/>
    <w:rsid w:val="7BC583DB"/>
    <w:rsid w:val="7BCF43AB"/>
    <w:rsid w:val="7E4FA0F6"/>
    <w:rsid w:val="7ED72267"/>
    <w:rsid w:val="7F9FA708"/>
    <w:rsid w:val="BEFEF16B"/>
    <w:rsid w:val="CCFB91B7"/>
    <w:rsid w:val="D7A84B14"/>
    <w:rsid w:val="DB566BB1"/>
    <w:rsid w:val="DBF70AE8"/>
    <w:rsid w:val="DCEFE6BC"/>
    <w:rsid w:val="DFDF9356"/>
    <w:rsid w:val="F1FED0C1"/>
    <w:rsid w:val="FD53B044"/>
    <w:rsid w:val="FE7FB9FA"/>
    <w:rsid w:val="FEEB3934"/>
    <w:rsid w:val="FF7F4E08"/>
    <w:rsid w:val="FFE745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700" w:lineRule="exact"/>
      <w:ind w:firstLine="0" w:firstLineChars="0"/>
      <w:jc w:val="center"/>
      <w:outlineLvl w:val="0"/>
    </w:pPr>
    <w:rPr>
      <w:rFonts w:ascii="Times New Roman" w:hAnsi="Times New Roman" w:eastAsia="方正小标宋_GBK"/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1"/>
    </w:pPr>
    <w:rPr>
      <w:rFonts w:eastAsia="黑体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2"/>
    </w:pPr>
    <w:rPr>
      <w:rFonts w:ascii="Times New Roman" w:hAnsi="Times New Roman" w:eastAsia="楷体_GB231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8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effectLst/>
      </c:spPr>
    </c:floor>
    <c:sideWall>
      <c:thickness val="0"/>
      <c:spPr>
        <a:noFill/>
        <a:effectLst/>
      </c:spPr>
    </c:sideWall>
    <c:backWall>
      <c:thickness val="0"/>
      <c:spPr>
        <a:noFill/>
        <a:effectLst/>
      </c:spPr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条数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 contourW="9525"/>
          </c:spPr>
          <c:explosion val="0"/>
          <c:dPt>
            <c:idx val="0"/>
            <c:bubble3D val="0"/>
            <c:spPr>
              <a:gradFill>
                <a:gsLst>
                  <a:gs pos="100000">
                    <a:schemeClr val="accent1"/>
                  </a:gs>
                  <a:gs pos="0">
                    <a:schemeClr val="accent1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1">
                        <a:lumMod val="75000"/>
                      </a:schemeClr>
                    </a:gs>
                    <a:gs pos="0">
                      <a:schemeClr val="accent1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1"/>
            <c:bubble3D val="0"/>
            <c:spPr>
              <a:gradFill>
                <a:gsLst>
                  <a:gs pos="100000">
                    <a:schemeClr val="accent2"/>
                  </a:gs>
                  <a:gs pos="0">
                    <a:schemeClr val="accent2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2">
                        <a:lumMod val="75000"/>
                      </a:schemeClr>
                    </a:gs>
                    <a:gs pos="0">
                      <a:schemeClr val="accent2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2"/>
            <c:bubble3D val="0"/>
            <c:spPr>
              <a:gradFill>
                <a:gsLst>
                  <a:gs pos="100000">
                    <a:schemeClr val="accent3"/>
                  </a:gs>
                  <a:gs pos="0">
                    <a:schemeClr val="accent3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3">
                        <a:lumMod val="75000"/>
                      </a:schemeClr>
                    </a:gs>
                    <a:gs pos="0">
                      <a:schemeClr val="accent3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县政府门户网站</c:v>
                </c:pt>
                <c:pt idx="1">
                  <c:v>新媒体平台</c:v>
                </c:pt>
                <c:pt idx="2">
                  <c:v>各类报刊网站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148</c:v>
                </c:pt>
                <c:pt idx="1">
                  <c:v>32</c:v>
                </c:pt>
                <c:pt idx="2">
                  <c:v>26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</c:pie3D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860e65c2-8b47-488b-bdb2-882db71b7489}"/>
      </c:ext>
    </c:extLst>
  </c:chart>
  <c:spPr>
    <a:solidFill>
      <a:schemeClr val="lt1">
        <a:lumMod val="96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9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lt1">
          <a:lumMod val="96000"/>
        </a:schemeClr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100000">
            <a:schemeClr val="phClr"/>
          </a:gs>
          <a:gs pos="0">
            <a:schemeClr val="phClr">
              <a:hueOff val="-1670000"/>
            </a:schemeClr>
          </a:gs>
        </a:gsLst>
        <a:lin ang="5400000" scaled="0"/>
      </a:gradFill>
      <a:ln>
        <a:gradFill>
          <a:gsLst>
            <a:gs pos="100000">
              <a:schemeClr val="phClr">
                <a:lumMod val="75000"/>
              </a:schemeClr>
            </a:gs>
            <a:gs pos="0">
              <a:schemeClr val="phClr">
                <a:lumMod val="75000"/>
                <a:hueOff val="-1670000"/>
              </a:schemeClr>
            </a:gs>
          </a:gsLst>
          <a:lin ang="4620000" scaled="0"/>
        </a:gradFill>
      </a:ln>
      <a:effectLst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3413</Words>
  <Characters>3532</Characters>
  <Lines>0</Lines>
  <Paragraphs>0</Paragraphs>
  <TotalTime>474</TotalTime>
  <ScaleCrop>false</ScaleCrop>
  <LinksUpToDate>false</LinksUpToDate>
  <CharactersWithSpaces>3837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2025-01-12T19:34:00Z</dcterms:created>
  <dc:creator>bgs</dc:creator>
  <cp:lastModifiedBy>bgs</cp:lastModifiedBy>
  <dcterms:modified xsi:type="dcterms:W3CDTF">2026-01-22T16:16:08Z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07CEFFF8F3F86052C8DC7169D386B179_43</vt:lpwstr>
  </property>
</Properties>
</file>