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C7996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  <w:lang w:eastAsia="zh-CN"/>
        </w:rPr>
        <w:t>汶上县财政局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202</w:t>
      </w:r>
      <w:r>
        <w:rPr>
          <w:rFonts w:hint="eastAsia" w:eastAsia="方正小标宋_GBK" w:cs="Times New Roman"/>
          <w:b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年政府信息公开</w:t>
      </w:r>
    </w:p>
    <w:p w14:paraId="383F96E4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44"/>
          <w:szCs w:val="44"/>
        </w:rPr>
        <w:t>工作年度报告</w:t>
      </w:r>
    </w:p>
    <w:p w14:paraId="2C71A76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30E0E80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汶上县财政局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10AD45A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0B83B30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”政府门户网站（http://www.wenshang.gov.cn/）查阅或下载。如对本报告有疑问，请与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汶上县财政局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联系（地址：汶上县政和路869号，联系电话：0537-7212847）。</w:t>
      </w:r>
    </w:p>
    <w:p w14:paraId="2755EC2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 w14:paraId="5F5CB35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2025年，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汶上县财政局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坚持以习近平新时代中国特色社会主义思想为指导，深入贯彻落实党中央、国务院关于全面推进政务公开的决策部署，严格遵循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《中华人民共和国政府信息公开条例》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要求，在县委、县政府的正确领导和县政府办公室的具体指导下，紧紧围绕全县中心工作和群众关切，持续深化公开内容，完善公开平台，优化公开服务，强化监督保障，政府信息公开工作取得新进展。</w:t>
      </w:r>
    </w:p>
    <w:p w14:paraId="46695C4D">
      <w:pPr>
        <w:spacing w:line="590" w:lineRule="exact"/>
        <w:ind w:right="-100" w:rightChars="-50" w:firstLine="643" w:firstLineChars="200"/>
        <w:rPr>
          <w:rFonts w:hint="default" w:ascii="仿宋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仿宋" w:hAnsi="Times New Roman" w:eastAsia="仿宋" w:cs="Times New Roman"/>
          <w:b/>
          <w:color w:val="000000"/>
          <w:sz w:val="32"/>
          <w:szCs w:val="32"/>
        </w:rPr>
        <w:t>（一）主动公开情况</w:t>
      </w:r>
    </w:p>
    <w:p w14:paraId="1F63E2FD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汶上县财政局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紧紧围绕职责范围与社会关注热点，依法全面深入推进主动公开工作。坚持以县政府门户网站作为第一公开平台，持续发布并更新机构职能、法规政策、财政预决算、行政许可与行政处罚结果等重点领域信息。同时，积极利用政务新媒体、政务公开栏等多种渠道，及时发布工作动态、通知公告，不断加强政策解读和舆情回应工作，着力提升信息公开的覆盖面、实效性和亲和力。全年通过各类渠道累计主动公开政府信息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200余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条，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其中，通过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县政府门户网站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发布148条、新媒体平台发布32条、各类报刊网站26条。</w:t>
      </w:r>
    </w:p>
    <w:p w14:paraId="494F5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</w:p>
    <w:p w14:paraId="79ABEE65">
      <w:pPr>
        <w:spacing w:line="590" w:lineRule="exact"/>
        <w:ind w:right="-100" w:rightChars="-50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212090</wp:posOffset>
            </wp:positionV>
            <wp:extent cx="5265420" cy="3063875"/>
            <wp:effectExtent l="4445" t="4445" r="6985" b="17780"/>
            <wp:wrapTopAndBottom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4E7F8E3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（二）依申请公开情况</w:t>
      </w:r>
    </w:p>
    <w:p w14:paraId="1C4309F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县财政局高度重视并依法规范办理政府信息公开申请，切实保障公民、法人和其他组织依法获取政府信息的权利。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全年共收到依申请公开4件，其中，线下申请2件、线上申请2件，转结下年1件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。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申请涉及我县财政预决算情况、土地征收补偿等相关信息，均在法定期限内予以答复，不涉及收费项目。</w:t>
      </w:r>
    </w:p>
    <w:p w14:paraId="72CF0F9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（三）政府信息管理情况</w:t>
      </w:r>
    </w:p>
    <w:p w14:paraId="44043E8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汶上县财政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持续加强政府信息规范化、标准化管理。严格执行信息发布“三审三校”保密审查制度，强化源头属性认定与过程管控，确保公开信息依法、准确、安全。持续加强政务公开专职人员业务能力建设，通过定期组织专项培训、案例研讨等方式，不断增强工作人员的政策理解力与实务操作水平。同时，积极对接县政府办公室，及时掌握最新政策精神与工作要求，确保本单位公开标准、格式规范与全县部署同频共振，实现政府信息从制作、审核到公开、更新的闭环高效管理。</w:t>
      </w:r>
    </w:p>
    <w:p w14:paraId="75B2F6B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（四）政府信息公开平台建设情况</w:t>
      </w:r>
    </w:p>
    <w:p w14:paraId="11ADAA7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汶上县财政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坚持将县政府门户网站作为政府信息公开的第一平台和核心阵地，安排专职人员负责相关栏目的日常信息更新与运维保障。围绕“应公开、尽公开”原则，及时、准确、规范地发布各类政策文件、配套解读材料及重要工作动态，确保法定公开内容全面覆盖、主动公开要求落实到位。通过持续优化平台功能、丰富公开内容、提升服务体验，切实增强全局政务公开工作的整体水平与实效，有效保障社会公众便捷、准确地获取政府信息，为增进公众了解、强化政民互动、维护政府公信力提供了坚实可靠的平台支撑。</w:t>
      </w:r>
    </w:p>
    <w:p w14:paraId="027D3515">
      <w:pPr>
        <w:spacing w:line="590" w:lineRule="exact"/>
        <w:ind w:right="-100" w:rightChars="-50" w:firstLine="643" w:firstLineChars="200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</w:p>
    <w:p w14:paraId="5136B88C">
      <w:pPr>
        <w:spacing w:line="240" w:lineRule="auto"/>
        <w:ind w:right="-100" w:rightChars="-50"/>
        <w:jc w:val="center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drawing>
          <wp:inline distT="0" distB="0" distL="114300" distR="114300">
            <wp:extent cx="5177155" cy="4060825"/>
            <wp:effectExtent l="0" t="0" r="444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406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5A61B">
      <w:pPr>
        <w:spacing w:line="240" w:lineRule="auto"/>
        <w:ind w:right="-100" w:rightChars="-50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</w:p>
    <w:p w14:paraId="1DD4B1D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（五）监督保障情况</w:t>
      </w:r>
    </w:p>
    <w:p w14:paraId="1FA6F7F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汶上县财政局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不断强化政府信息公开工作的组织保障与监督机制。将政务公开工作纳入重要议事日程，明确分管领导、责任科室和专职人员，确保工作有人抓、有人管。积极组织或参与政务公开业务培训，全年开展或参与培训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次，有效提升工作人员业务能力和水平。主动接受社会监督，认真听取和吸纳公众意见建议，持续改进工作，本年度未发生因政府信息公开工作被责任追究的情况。</w:t>
      </w:r>
    </w:p>
    <w:p w14:paraId="2197B55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2EC90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A5B6E6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153E1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11BACD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C247AB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7399AF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915D04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1A3E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6DA39C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4532D2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803A05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C54304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192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64C424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167F82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5C7033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7E08CC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1DF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34FCD4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658A6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1936A4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705CBC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54089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0F47D4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E5782A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08B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F97B91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60513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D34C45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B802D7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7668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BA0EA7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7A1285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3DD0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5B6B69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5479B2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D2F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C3D785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552CD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44412B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9E96AD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1F8CF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239564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C0D2634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FB99C8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3236A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51F84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0EFA7B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17BC9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E5C5E86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6625D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3ADC66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D7755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104D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4CE975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7E8404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B6001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商业</w:t>
            </w:r>
          </w:p>
          <w:p w14:paraId="4DAB5D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5B0776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科研</w:t>
            </w:r>
          </w:p>
          <w:p w14:paraId="551DC2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40B0C9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55110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B05168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60FD1F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</w:tr>
      <w:tr w14:paraId="0E980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2EB1E3D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72CFF8E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792D6E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41EDC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75318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91BF4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BA724B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6B6A4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 w14:paraId="04049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5172ADB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0D2D5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B449C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B8959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05062D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DB82B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CD29C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36331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3E9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04B81AC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7EB2986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3FFEDB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08010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E6133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86BE9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A2CCEC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B9325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1393F25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 w14:paraId="65889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290F9C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939463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2A66F1F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B71AAE7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09938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DE6BC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4F1A9D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9201E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CFD06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lang w:val="en-US" w:eastAsia="zh-CN" w:bidi="ar-SA"/>
              </w:rPr>
            </w:pPr>
            <w:r>
              <w:rPr>
                <w:rFonts w:hint="eastAsia" w:cs="Times New Roman"/>
                <w:lang w:val="en-US" w:eastAsia="zh-CN" w:bidi="ar-SA"/>
              </w:rPr>
              <w:t>0</w:t>
            </w:r>
          </w:p>
        </w:tc>
      </w:tr>
      <w:tr w14:paraId="693A0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FE1EE7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EB7CD83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C36643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D4A024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66383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BCF1B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924890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B2C82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AB10C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3DCEC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3A9CF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86E4AA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0C882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9C9048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70F1B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F961CD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8682A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4C9DC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2F317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223D9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DA480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1E5F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24755D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4399F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0B0FA6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E7372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0E1E7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67F01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22F3C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B81DB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FF668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BBE91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644C9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6597C8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C2C728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D806D5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51BAE4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213718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AF976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CBC4E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A29207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C6F15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85B96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1E03D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BD698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F84C29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F029E7C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D32BE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23829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684FC7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20534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8816E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295A1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8754D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7DABC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279C13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9D47AC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71FC3C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C795C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60034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1BE08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04EAA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FC5C5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981D0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63F2C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70479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961D96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183D16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270CD5C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79060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22B42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B10DA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D224AC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44BC3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A0DC3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A5B90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4C372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2EB665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6E0734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5D272B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50B40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AFACB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778125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BA31B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18D016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345CE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512745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4F5E2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BC1CBF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1F857F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E98FFD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1E567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AEAD8D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E00BD0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7226BC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11A71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795C0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31D8DB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 w14:paraId="0B251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2B04A8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D04E6F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EF6550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6CE43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F11AE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5E00AD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394D7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2E2D5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D1E11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3180A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18A40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D44961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C957C6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B7C209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B84A1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9D25A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5788B2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26F4C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50775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952A45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CE079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7CD23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AB445C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BAE540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3B49BA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44BFA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B1F87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714ABF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159B7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A2C99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A4F28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E5100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23EE3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D5CB63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D37B70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A92A95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18780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E0989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474F9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0FDB0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440893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57C539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ADE7EE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3B869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648B75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69900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ED57EA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14312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D919E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36432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65CAD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19376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42A46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7F02A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58503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53EEDC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F359D7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247C40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6BBC7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FA9AE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17CAA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1357B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1A768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6AF0A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938275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62B05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10266C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501237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91084C6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1A678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A1C768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5E8C13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4445B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D8076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839D9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E1598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1C02B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ACD55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498CCE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88DED95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2AA7A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23801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44ADA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9CDBD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0042F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E1250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00628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CA0D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7FE9A9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B170DA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D48F09E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5D20B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4EBB6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02A7B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AE2EB0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C75B45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DDCC5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91FF4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E1C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096F03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74DC5E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17A7704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08ECB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493A3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E2A18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4430A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663D1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06136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D71EE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7F5C4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B2D8E4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D439E9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B2C5F7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48934C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EEA78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D9659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A4483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2D2DA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F2FA210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 w14:paraId="008C3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5C750A7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9A80B5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B6A1F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1BB7C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0CEB1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3525E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9BE15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2CB713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1678E9C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3A4295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44FA0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6F93B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0EFD19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231ED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BB7E3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6B4FFB7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EC216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55F0246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428E2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5714DE8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D7EB4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B4A0A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C4379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0C8A8A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983508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2CD43A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71F2A7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87FB24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9CA5CD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192C6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09950C1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D657F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392126F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B281A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0EC171D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DE2A9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37DA20D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0FA14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A223E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5167FB9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A910F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01A1DB8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98F2E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3CE6440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A3294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3E88DDF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77D84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3EC04E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99320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4269A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EF4D5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669D0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BE263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9EE31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4929B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B747D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13765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C33BC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C5A84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28319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298E2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0BA9C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CA3732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597BAF2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五、存在的主要问题及改进情况</w:t>
      </w:r>
    </w:p>
    <w:p w14:paraId="6AA4114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当前工作中，政策解读的形式和深度仍有拓展空间，部分重点领域信息公开的精细化水平有待进一步提升，依申请公开办理的标准化程度也需持续巩固和加强。针对上述问题，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单位已在工作中积极改进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。积极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创新政策解读方式，更多运用图解、视频、新闻发布会等生动形式，增强解读效果；同时，聚焦优化营商环境、民生保障等重点领域，深化细化公开内容，提升服务实效；并通过加强案例学习与业务培训，进一步规范依申请公开各环节工作，提升答复文书质量，确保依法依规满足人民群众的信息需求。</w:t>
      </w:r>
    </w:p>
    <w:p w14:paraId="0FBF55A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六、其他需要报告的事项</w:t>
      </w:r>
    </w:p>
    <w:p w14:paraId="3AC18FA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（一）依据《政府信息公开信息处理费管理办法》收取信息处理费的情况</w:t>
      </w:r>
    </w:p>
    <w:p w14:paraId="52E72B6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年汶上县财政局未收取任何信息处理费。</w:t>
      </w:r>
    </w:p>
    <w:p w14:paraId="15845F1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（二）落实上级年度政务公开工作要点情况</w:t>
      </w:r>
    </w:p>
    <w:p w14:paraId="3D484FF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2025年，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汶上县财政局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严格对标对表国家、省、市及县政府年度政务公开工作要点部署要求，结合部门职责制定具体落实方案，细化任务分工，明确责任科室与完成时限。</w:t>
      </w:r>
      <w:r>
        <w:rPr>
          <w:rFonts w:hint="eastAsia" w:eastAsia="仿宋_GB2312" w:cs="Times New Roman"/>
          <w:b/>
          <w:sz w:val="32"/>
          <w:szCs w:val="32"/>
          <w:lang w:val="en-US" w:eastAsia="zh-CN"/>
        </w:rPr>
        <w:t>围绕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预决算、行政事业性收费、财政扶持政策等关键领域，深化信息公开内容，创新公开形式，着力提升政策透明度和服务效能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持续规范依申请公开办理，完善政府信息管理机制，积极配合完成全县政务公开平台优化与数据归集工作。通过专项督查与日常监测相结合的方式，跟踪要点落实情况，确保上级各项部署要求不折不扣执行到位，有效提升了政务公开工作的系统性与实效性。</w:t>
      </w:r>
    </w:p>
    <w:p w14:paraId="7064FDD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（三）人大代表建议和政协提案办理结果公开情况</w:t>
      </w:r>
    </w:p>
    <w:p w14:paraId="4F90B17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2025年，我局共承办人大代表建议和政协委员提案3件。其中，承办县人大代表建议2件，政协委员提案1件。截至目前，所有建议已在规定时限内办复完毕，并向代表们作出了书面答复。所有答复均通过汶上县人民政府网站政府信息公开栏目公开。</w:t>
      </w:r>
    </w:p>
    <w:p w14:paraId="34807D6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（四）年度政务公开工作创新情况</w:t>
      </w:r>
    </w:p>
    <w:p w14:paraId="588D658C">
      <w:pPr>
        <w:tabs>
          <w:tab w:val="left" w:pos="2106"/>
        </w:tabs>
        <w:bidi w:val="0"/>
        <w:ind w:firstLine="643" w:firstLineChars="200"/>
        <w:jc w:val="left"/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积极响应县政府办公室已公开信息管理规范化试点建设工作要求，开展专题会议调研统计已公开信息公开时限管理建议，根据调研结果制定相关方案，明确后续公开信息有效时限，提高发布信息的时效性及准确性。</w:t>
      </w:r>
    </w:p>
    <w:p w14:paraId="5BB628BE">
      <w:pPr>
        <w:tabs>
          <w:tab w:val="left" w:pos="2106"/>
        </w:tabs>
        <w:bidi w:val="0"/>
        <w:jc w:val="left"/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</w:p>
    <w:p w14:paraId="166BFA55">
      <w:pP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br w:type="page"/>
      </w:r>
    </w:p>
    <w:p w14:paraId="43E4CB26">
      <w:pPr>
        <w:spacing w:line="590" w:lineRule="exact"/>
        <w:ind w:right="-100" w:rightChars="-5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附件3</w:t>
      </w:r>
    </w:p>
    <w:p w14:paraId="2FEE699C">
      <w:pPr>
        <w:spacing w:line="590" w:lineRule="exact"/>
        <w:ind w:right="-100" w:rightChars="-50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  <w:t>汶上财政局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年政府信息公开</w:t>
      </w:r>
    </w:p>
    <w:p w14:paraId="3E929EB2">
      <w:pPr>
        <w:spacing w:line="590" w:lineRule="exact"/>
        <w:ind w:right="-100" w:rightChars="-50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情况统计表</w:t>
      </w:r>
    </w:p>
    <w:tbl>
      <w:tblPr>
        <w:tblStyle w:val="6"/>
        <w:tblW w:w="8696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7"/>
        <w:gridCol w:w="904"/>
        <w:gridCol w:w="825"/>
      </w:tblGrid>
      <w:tr w14:paraId="65680D69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tblHeader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3D830BE">
            <w:pPr>
              <w:pStyle w:val="5"/>
              <w:spacing w:before="0" w:beforeAutospacing="0" w:after="0" w:afterAutospacing="0" w:line="240" w:lineRule="exact"/>
              <w:ind w:firstLine="685"/>
              <w:jc w:val="center"/>
              <w:rPr>
                <w:rFonts w:ascii="黑体" w:eastAsia="黑体"/>
                <w:b/>
                <w:color w:val="000000"/>
              </w:rPr>
            </w:pPr>
            <w:r>
              <w:rPr>
                <w:rStyle w:val="8"/>
                <w:rFonts w:hint="eastAsia" w:ascii="黑体" w:eastAsia="黑体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839976C">
            <w:pPr>
              <w:spacing w:line="240" w:lineRule="exact"/>
              <w:jc w:val="center"/>
              <w:rPr>
                <w:rFonts w:ascii="黑体" w:hAnsi="宋体" w:eastAsia="黑体" w:cs="宋体"/>
                <w:b/>
                <w:color w:val="000000"/>
                <w:sz w:val="24"/>
              </w:rPr>
            </w:pPr>
            <w:r>
              <w:rPr>
                <w:rStyle w:val="8"/>
                <w:rFonts w:hint="eastAsia" w:ascii="黑体" w:eastAsia="黑体"/>
                <w:color w:val="000000"/>
              </w:rPr>
              <w:t>单位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1597F9D">
            <w:pPr>
              <w:spacing w:line="240" w:lineRule="exact"/>
              <w:jc w:val="center"/>
              <w:rPr>
                <w:rFonts w:ascii="黑体" w:hAnsi="宋体" w:eastAsia="黑体" w:cs="宋体"/>
                <w:b/>
                <w:color w:val="000000"/>
                <w:sz w:val="24"/>
              </w:rPr>
            </w:pPr>
            <w:r>
              <w:rPr>
                <w:rStyle w:val="8"/>
                <w:rFonts w:hint="eastAsia" w:ascii="黑体" w:eastAsia="黑体"/>
                <w:color w:val="000000"/>
              </w:rPr>
              <w:t>统计数</w:t>
            </w:r>
          </w:p>
        </w:tc>
      </w:tr>
      <w:tr w14:paraId="6AFB5D46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2B15998">
            <w:pPr>
              <w:spacing w:line="240" w:lineRule="exact"/>
              <w:rPr>
                <w:rFonts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/>
                <w:color w:val="000000"/>
              </w:rPr>
              <w:t>一、主动公开情况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 w14:paraId="71EE6F3C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4B60439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</w:tr>
      <w:tr w14:paraId="335A3837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E4F73EC">
            <w:pPr>
              <w:spacing w:line="240" w:lineRule="exact"/>
              <w:rPr>
                <w:rFonts w:hint="eastAsia" w:ascii="仿宋_GB2312" w:hAnsi="宋体" w:eastAsia="仿宋_GB2312"/>
                <w:b/>
                <w:color w:val="000000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（一）主动公开政府信息数（不同渠道和方式公开相同信息计1条）</w:t>
            </w:r>
          </w:p>
          <w:p w14:paraId="0ABED44F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（不同渠道和方式公开相同信息计1条）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1CF5535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8C92CBD"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206</w:t>
            </w:r>
          </w:p>
        </w:tc>
      </w:tr>
      <w:tr w14:paraId="234358AC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2B5DA96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　其中：主动公开规范性文件数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5F03A7E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FDEECDF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7DE542F2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3E19A3E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　　　　制发规范性文件总数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43C271A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件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5D632A7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595FD9A9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605910B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（二）通过不同渠道和方式公开政府信息的情况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 w14:paraId="34D4F6EC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CBF3A68"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 w14:paraId="6D03899A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2063DF0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1.政府公报公开政府信息数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773C45C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5D40EFF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401AEAF6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09CB04E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2.政府网站公开政府信息数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83A8220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DA46811"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148</w:t>
            </w:r>
          </w:p>
        </w:tc>
      </w:tr>
      <w:tr w14:paraId="73A6926E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564B8EB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3.政务微博公开政府信息数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CBBFE5B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A647514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19A8E93B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69D0364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4.政务微信公开政府信息数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B38D13B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5636D3F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314C0E47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33C249E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5.其他方式公开政府信息数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75526FE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AF1D69E"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58</w:t>
            </w:r>
          </w:p>
        </w:tc>
      </w:tr>
      <w:tr w14:paraId="3F4920DA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3496A06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 w14:paraId="7E40D19F">
            <w:pPr>
              <w:pStyle w:val="5"/>
              <w:spacing w:before="0" w:beforeAutospacing="0" w:after="0" w:afterAutospacing="0" w:line="240" w:lineRule="exact"/>
              <w:ind w:firstLine="685"/>
              <w:jc w:val="center"/>
              <w:rPr>
                <w:rFonts w:ascii="仿宋_GB2312" w:eastAsia="仿宋_GB2312"/>
                <w:b/>
                <w:color w:val="000000"/>
              </w:rPr>
            </w:pPr>
          </w:p>
        </w:tc>
        <w:tc>
          <w:tcPr>
            <w:tcW w:w="82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auto"/>
            <w:noWrap w:val="0"/>
            <w:vAlign w:val="center"/>
          </w:tcPr>
          <w:p w14:paraId="43F1757F"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 w14:paraId="6FAAD60D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9A2FB24">
            <w:pPr>
              <w:pStyle w:val="5"/>
              <w:spacing w:before="0" w:beforeAutospacing="0" w:after="0" w:afterAutospacing="0" w:line="240" w:lineRule="exact"/>
              <w:ind w:firstLine="402" w:firstLineChars="200"/>
              <w:rPr>
                <w:rFonts w:hint="eastAsia" w:ascii="仿宋_GB2312" w:eastAsia="仿宋_GB2312" w:cs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</w:p>
          <w:p w14:paraId="1F80603D">
            <w:pPr>
              <w:pStyle w:val="5"/>
              <w:spacing w:before="0" w:beforeAutospacing="0" w:after="0" w:afterAutospacing="0" w:line="240" w:lineRule="exact"/>
              <w:ind w:firstLine="402" w:firstLineChars="200"/>
              <w:rPr>
                <w:rFonts w:ascii="仿宋_GB2312" w:eastAsia="仿宋_GB2312"/>
                <w:b/>
                <w:color w:val="000000"/>
              </w:rPr>
            </w:pPr>
            <w:r>
              <w:rPr>
                <w:rFonts w:hint="eastAsia" w:ascii="仿宋_GB2312" w:eastAsia="仿宋_GB2312" w:cs="Times New Roman"/>
                <w:b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D33F706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EFCE88B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72AFD803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3BF6777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（二）通过不同渠道和方式回应解读的情况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 w14:paraId="47C320C2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D695092"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 w14:paraId="2BC0073A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7745C06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1.参加或举办新闻发布会总次数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13C4A23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EF78518"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3</w:t>
            </w:r>
          </w:p>
        </w:tc>
      </w:tr>
      <w:tr w14:paraId="6DC7BDA0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A163ED0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　 其中：主要负责同志参加新闻发布会次数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D1A2233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B0E4EEF"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3B40676D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B8872E8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2.政府网站在线访谈次数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2519986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EF1F3DA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42F9A4D4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E2356C5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　 其中：主要负责同志参加政府网站在线访谈次数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AB76177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2B156DC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3FD4C0B8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18D29E2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3.政策解读稿件发布数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3B782A0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篇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BF0D173"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51DC2324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8B558E5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4.微博微信回应事件数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D02A6D9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0E81B7B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68BE78B0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28AA453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5.其他方式回应事件数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A5775E5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C0C0207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7C850270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7B59E63">
            <w:pPr>
              <w:spacing w:line="240" w:lineRule="exact"/>
              <w:rPr>
                <w:rFonts w:ascii="黑体" w:hAnsi="宋体" w:eastAsia="黑体"/>
                <w:b/>
                <w:color w:val="000000"/>
              </w:rPr>
            </w:pPr>
            <w:r>
              <w:rPr>
                <w:rFonts w:hint="eastAsia" w:ascii="黑体" w:hAnsi="宋体" w:eastAsia="黑体"/>
                <w:b/>
                <w:color w:val="000000"/>
                <w:lang w:val="en-US" w:eastAsia="zh-CN"/>
              </w:rPr>
              <w:t>三</w:t>
            </w:r>
            <w:r>
              <w:rPr>
                <w:rFonts w:hint="eastAsia" w:ascii="黑体" w:hAnsi="宋体" w:eastAsia="黑体"/>
                <w:b/>
                <w:color w:val="000000"/>
              </w:rPr>
              <w:t>、设置政府信息查阅点数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73C528B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731F4A1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 w14:paraId="6B46EBB1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FBD8762">
            <w:pPr>
              <w:spacing w:line="240" w:lineRule="exact"/>
              <w:ind w:firstLine="402" w:firstLineChars="200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（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一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）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县直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部门</w:t>
            </w:r>
            <w:r>
              <w:rPr>
                <w:rFonts w:hint="eastAsia" w:ascii="仿宋_GB2312" w:hAnsi="宋体" w:eastAsia="仿宋_GB2312"/>
                <w:b/>
                <w:color w:val="000000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单位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E6389A8"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384BC0C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1</w:t>
            </w:r>
          </w:p>
        </w:tc>
      </w:tr>
      <w:tr w14:paraId="0D9CA422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6F15991">
            <w:pPr>
              <w:spacing w:line="240" w:lineRule="exact"/>
              <w:ind w:firstLine="402" w:firstLineChars="200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（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二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）乡镇政府（街道办事处）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7B68423"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2EBFA7A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4DEC631E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68060A1">
            <w:pPr>
              <w:spacing w:line="240" w:lineRule="exact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黑体" w:hAnsi="宋体" w:eastAsia="黑体"/>
                <w:b/>
                <w:color w:val="000000"/>
                <w:lang w:val="en-US" w:eastAsia="zh-CN"/>
              </w:rPr>
              <w:t>四</w:t>
            </w:r>
            <w:r>
              <w:rPr>
                <w:rFonts w:hint="eastAsia" w:ascii="黑体" w:hAnsi="宋体" w:eastAsia="黑体"/>
                <w:b/>
                <w:color w:val="000000"/>
              </w:rPr>
              <w:t>、查阅点接待人数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E824CD6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C0E38AF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 w14:paraId="0DCFDBAB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A252C62">
            <w:pPr>
              <w:spacing w:line="240" w:lineRule="exact"/>
              <w:ind w:firstLine="402" w:firstLineChars="200"/>
              <w:rPr>
                <w:rFonts w:hint="default" w:ascii="仿宋_GB2312" w:hAnsi="宋体" w:eastAsia="仿宋_GB2312"/>
                <w:b/>
                <w:color w:val="000000"/>
                <w:lang w:val="en-US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（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一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）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县直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部门</w:t>
            </w:r>
            <w:r>
              <w:rPr>
                <w:rFonts w:hint="eastAsia" w:ascii="仿宋_GB2312" w:hAnsi="宋体" w:eastAsia="仿宋_GB2312"/>
                <w:b/>
                <w:color w:val="000000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 xml:space="preserve">单位 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E5DC8AE"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619411D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2</w:t>
            </w:r>
          </w:p>
        </w:tc>
      </w:tr>
      <w:tr w14:paraId="7AA2AF86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2ADFB8C">
            <w:pPr>
              <w:spacing w:line="240" w:lineRule="exact"/>
              <w:ind w:firstLine="402" w:firstLineChars="200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（</w:t>
            </w: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二</w:t>
            </w:r>
            <w:r>
              <w:rPr>
                <w:rFonts w:hint="eastAsia" w:ascii="仿宋_GB2312" w:hAnsi="宋体" w:eastAsia="仿宋_GB2312"/>
                <w:b/>
                <w:color w:val="000000"/>
              </w:rPr>
              <w:t>）乡镇政府（街道办事处）</w:t>
            </w:r>
          </w:p>
        </w:tc>
        <w:tc>
          <w:tcPr>
            <w:tcW w:w="904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EF9E0B5"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5706248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4F6B70DF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111FEBB">
            <w:pPr>
              <w:spacing w:line="240" w:lineRule="exact"/>
              <w:rPr>
                <w:rFonts w:ascii="仿宋_GB2312" w:hAnsi="宋体" w:eastAsia="仿宋_GB2312"/>
                <w:b/>
                <w:color w:val="000000"/>
              </w:rPr>
            </w:pPr>
            <w:r>
              <w:rPr>
                <w:rFonts w:hint="eastAsia" w:ascii="黑体" w:hAnsi="宋体" w:eastAsia="黑体"/>
                <w:b/>
                <w:color w:val="000000"/>
                <w:lang w:val="en-US" w:eastAsia="zh-CN"/>
              </w:rPr>
              <w:t>五</w:t>
            </w:r>
            <w:r>
              <w:rPr>
                <w:rFonts w:hint="eastAsia" w:ascii="黑体" w:hAnsi="宋体" w:eastAsia="黑体"/>
                <w:b/>
                <w:color w:val="000000"/>
              </w:rPr>
              <w:t>、机构建设和保障经费情况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 w14:paraId="30B5A87E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A313A03"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 w14:paraId="52524924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5278E11D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（一）政府信息公开工作专门机构数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75E5FB0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个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F647909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1</w:t>
            </w:r>
          </w:p>
        </w:tc>
      </w:tr>
      <w:tr w14:paraId="2CEF0D67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109ADCC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（二）从事政府信息公开工作人员数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98A2F6A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人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69A506C"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5</w:t>
            </w:r>
          </w:p>
        </w:tc>
      </w:tr>
      <w:tr w14:paraId="46AA6487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45E07EFE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1.专职人员数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6AEE296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人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833129D"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1</w:t>
            </w:r>
          </w:p>
        </w:tc>
      </w:tr>
      <w:tr w14:paraId="799251AA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5EE1572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　　　2.兼职人员数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7DA9448A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人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2B61B3F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4</w:t>
            </w:r>
          </w:p>
        </w:tc>
      </w:tr>
      <w:tr w14:paraId="08A197A9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D58BC40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（三）政府信息公开专项经费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BCA9197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万元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1E555EB"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 w14:paraId="1F3D6106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6AF04832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/>
                <w:color w:val="000000"/>
                <w:lang w:val="en-US" w:eastAsia="zh-CN"/>
              </w:rPr>
              <w:t>六</w:t>
            </w:r>
            <w:r>
              <w:rPr>
                <w:rFonts w:hint="eastAsia" w:ascii="黑体" w:hAnsi="宋体" w:eastAsia="黑体"/>
                <w:b/>
                <w:color w:val="000000"/>
              </w:rPr>
              <w:t>、政府信息公开会议和培训情况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noWrap w:val="0"/>
            <w:vAlign w:val="center"/>
          </w:tcPr>
          <w:p w14:paraId="67C412DD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55A95D7">
            <w:pPr>
              <w:spacing w:line="240" w:lineRule="exact"/>
              <w:jc w:val="center"/>
              <w:rPr>
                <w:rFonts w:ascii="仿宋_GB2312" w:hAnsi="宋体" w:eastAsia="仿宋_GB2312"/>
                <w:b/>
                <w:color w:val="000000"/>
              </w:rPr>
            </w:pPr>
          </w:p>
        </w:tc>
      </w:tr>
      <w:tr w14:paraId="447B0B7F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545D393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（一）召开政府信息公开工作会议或专题会议数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6DBC499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DC0DE1C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55D523DD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9A6AC9C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（二）举办各类培训班数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E0CD6D9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326EA0D5">
            <w:pPr>
              <w:spacing w:line="24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  <w:tr w14:paraId="232F326C"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696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0E879900">
            <w:pPr>
              <w:spacing w:line="240" w:lineRule="exact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　　（三）接受培训人员数</w:t>
            </w:r>
          </w:p>
        </w:tc>
        <w:tc>
          <w:tcPr>
            <w:tcW w:w="9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2C93246A">
            <w:pPr>
              <w:spacing w:line="24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</w:rPr>
              <w:t>人次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 w:val="0"/>
            <w:vAlign w:val="center"/>
          </w:tcPr>
          <w:p w14:paraId="1F054821">
            <w:pPr>
              <w:spacing w:line="240" w:lineRule="exact"/>
              <w:jc w:val="center"/>
              <w:rPr>
                <w:rFonts w:hint="default" w:ascii="仿宋_GB2312" w:hAnsi="宋体" w:eastAsia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lang w:val="en-US" w:eastAsia="zh-CN"/>
              </w:rPr>
              <w:t>0</w:t>
            </w:r>
          </w:p>
        </w:tc>
      </w:tr>
    </w:tbl>
    <w:p w14:paraId="185AB82C">
      <w:pPr>
        <w:spacing w:line="590" w:lineRule="exact"/>
        <w:ind w:right="-100" w:rightChars="-5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eastAsia="仿宋_GB2312"/>
          <w:b/>
          <w:sz w:val="24"/>
          <w:szCs w:val="24"/>
        </w:rPr>
        <w:t>（注：各子栏目数总数要等于总栏目</w:t>
      </w:r>
      <w:r>
        <w:rPr>
          <w:rFonts w:hint="eastAsia" w:ascii="仿宋_GB2312" w:eastAsia="仿宋_GB2312"/>
          <w:b/>
          <w:sz w:val="24"/>
          <w:szCs w:val="24"/>
          <w:lang w:eastAsia="zh-CN"/>
        </w:rPr>
        <w:t>数量）</w:t>
      </w:r>
    </w:p>
    <w:p w14:paraId="0750BFC7">
      <w:pPr>
        <w:tabs>
          <w:tab w:val="left" w:pos="2106"/>
        </w:tabs>
        <w:bidi w:val="0"/>
        <w:jc w:val="left"/>
        <w:rPr>
          <w:rFonts w:hint="default" w:ascii="仿宋_GB2312" w:eastAsia="仿宋_GB2312"/>
          <w:b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kMWJjMmMzMjJlMWRkZjA4OGVkYWUwYjgwZDA5YjQifQ=="/>
  </w:docVars>
  <w:rsids>
    <w:rsidRoot w:val="FEEB3934"/>
    <w:rsid w:val="2DF6DC9E"/>
    <w:rsid w:val="3B7F26B4"/>
    <w:rsid w:val="3BBF47BF"/>
    <w:rsid w:val="5BF735BB"/>
    <w:rsid w:val="5DD7C708"/>
    <w:rsid w:val="5FCFF3FD"/>
    <w:rsid w:val="63FF3DDD"/>
    <w:rsid w:val="6DFEB488"/>
    <w:rsid w:val="75AFF94B"/>
    <w:rsid w:val="75B9C803"/>
    <w:rsid w:val="796FD80D"/>
    <w:rsid w:val="7BC583DB"/>
    <w:rsid w:val="7BCF43AB"/>
    <w:rsid w:val="7E4FA0F6"/>
    <w:rsid w:val="7ED72267"/>
    <w:rsid w:val="7F9FA708"/>
    <w:rsid w:val="BEFEF16B"/>
    <w:rsid w:val="CCFB91B7"/>
    <w:rsid w:val="D7A84B14"/>
    <w:rsid w:val="DB566BB1"/>
    <w:rsid w:val="DBF70AE8"/>
    <w:rsid w:val="DCEFE6BC"/>
    <w:rsid w:val="DFDF9356"/>
    <w:rsid w:val="F1FED0C1"/>
    <w:rsid w:val="FD53B044"/>
    <w:rsid w:val="FE7FB9FA"/>
    <w:rsid w:val="FEEB3934"/>
    <w:rsid w:val="FF7F4E08"/>
    <w:rsid w:val="FFE745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Times New Roman" w:hAnsi="Times New Roman" w:eastAsia="方正小标宋_GBK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1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Times New Roman" w:hAnsi="Times New Roman" w:eastAsia="楷体_GB231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8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条数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 contourW="9525"/>
          </c:spPr>
          <c:explosion val="0"/>
          <c:dPt>
            <c:idx val="0"/>
            <c:bubble3D val="0"/>
            <c:spPr>
              <a:gradFill>
                <a:gsLst>
                  <a:gs pos="100000">
                    <a:schemeClr val="accent1"/>
                  </a:gs>
                  <a:gs pos="0">
                    <a:schemeClr val="accent1">
                      <a:hueOff val="-1670000"/>
                    </a:schemeClr>
                  </a:gs>
                </a:gsLst>
                <a:lin ang="5400000" scaled="0"/>
              </a:gradFill>
              <a:ln>
                <a:gradFill>
                  <a:gsLst>
                    <a:gs pos="100000">
                      <a:schemeClr val="accent1">
                        <a:lumMod val="75000"/>
                      </a:schemeClr>
                    </a:gs>
                    <a:gs pos="0">
                      <a:schemeClr val="accent1">
                        <a:lumMod val="75000"/>
                        <a:hueOff val="-1670000"/>
                      </a:schemeClr>
                    </a:gs>
                  </a:gsLst>
                  <a:lin ang="4620000" scaled="0"/>
                </a:gradFill>
              </a:ln>
              <a:effectLst/>
              <a:scene3d>
                <a:camera prst="orthographicFront"/>
                <a:lightRig rig="threePt" dir="t"/>
              </a:scene3d>
              <a:sp3d contourW="9525"/>
            </c:spPr>
          </c:dPt>
          <c:dPt>
            <c:idx val="1"/>
            <c:bubble3D val="0"/>
            <c:spPr>
              <a:gradFill>
                <a:gsLst>
                  <a:gs pos="100000">
                    <a:schemeClr val="accent2"/>
                  </a:gs>
                  <a:gs pos="0">
                    <a:schemeClr val="accent2">
                      <a:hueOff val="-1670000"/>
                    </a:schemeClr>
                  </a:gs>
                </a:gsLst>
                <a:lin ang="5400000" scaled="0"/>
              </a:gradFill>
              <a:ln>
                <a:gradFill>
                  <a:gsLst>
                    <a:gs pos="100000">
                      <a:schemeClr val="accent2">
                        <a:lumMod val="75000"/>
                      </a:schemeClr>
                    </a:gs>
                    <a:gs pos="0">
                      <a:schemeClr val="accent2">
                        <a:lumMod val="75000"/>
                        <a:hueOff val="-1670000"/>
                      </a:schemeClr>
                    </a:gs>
                  </a:gsLst>
                  <a:lin ang="4620000" scaled="0"/>
                </a:gradFill>
              </a:ln>
              <a:effectLst/>
              <a:scene3d>
                <a:camera prst="orthographicFront"/>
                <a:lightRig rig="threePt" dir="t"/>
              </a:scene3d>
              <a:sp3d contourW="9525"/>
            </c:spPr>
          </c:dPt>
          <c:dPt>
            <c:idx val="2"/>
            <c:bubble3D val="0"/>
            <c:spPr>
              <a:gradFill>
                <a:gsLst>
                  <a:gs pos="100000">
                    <a:schemeClr val="accent3"/>
                  </a:gs>
                  <a:gs pos="0">
                    <a:schemeClr val="accent3">
                      <a:hueOff val="-1670000"/>
                    </a:schemeClr>
                  </a:gs>
                </a:gsLst>
                <a:lin ang="5400000" scaled="0"/>
              </a:gradFill>
              <a:ln>
                <a:gradFill>
                  <a:gsLst>
                    <a:gs pos="100000">
                      <a:schemeClr val="accent3">
                        <a:lumMod val="75000"/>
                      </a:schemeClr>
                    </a:gs>
                    <a:gs pos="0">
                      <a:schemeClr val="accent3">
                        <a:lumMod val="75000"/>
                        <a:hueOff val="-1670000"/>
                      </a:schemeClr>
                    </a:gs>
                  </a:gsLst>
                  <a:lin ang="4620000" scaled="0"/>
                </a:gradFill>
              </a:ln>
              <a:effectLst/>
              <a:scene3d>
                <a:camera prst="orthographicFront"/>
                <a:lightRig rig="threePt" dir="t"/>
              </a:scene3d>
              <a:sp3d contourW="9525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县政府门户网站</c:v>
                </c:pt>
                <c:pt idx="1">
                  <c:v>新媒体平台</c:v>
                </c:pt>
                <c:pt idx="2">
                  <c:v>各类报刊网站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148</c:v>
                </c:pt>
                <c:pt idx="1">
                  <c:v>32</c:v>
                </c:pt>
                <c:pt idx="2">
                  <c:v>26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60e65c2-8b47-488b-bdb2-882db71b7489}"/>
      </c:ext>
    </c:extLst>
  </c:chart>
  <c:spPr>
    <a:solidFill>
      <a:schemeClr val="lt1">
        <a:lumMod val="96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9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lt1">
          <a:lumMod val="96000"/>
        </a:schemeClr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100000">
            <a:schemeClr val="phClr"/>
          </a:gs>
          <a:gs pos="0">
            <a:schemeClr val="phClr">
              <a:hueOff val="-1670000"/>
            </a:schemeClr>
          </a:gs>
        </a:gsLst>
        <a:lin ang="5400000" scaled="0"/>
      </a:gradFill>
      <a:ln>
        <a:gradFill>
          <a:gsLst>
            <a:gs pos="100000">
              <a:schemeClr val="phClr">
                <a:lumMod val="75000"/>
              </a:schemeClr>
            </a:gs>
            <a:gs pos="0">
              <a:schemeClr val="phClr">
                <a:lumMod val="75000"/>
                <a:hueOff val="-1670000"/>
              </a:schemeClr>
            </a:gs>
          </a:gsLst>
          <a:lin ang="4620000" scaled="0"/>
        </a:gradFill>
      </a:ln>
      <a:effectLst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3413</Words>
  <Characters>3532</Characters>
  <Lines>0</Lines>
  <Paragraphs>0</Paragraphs>
  <TotalTime>474</TotalTime>
  <ScaleCrop>false</ScaleCrop>
  <LinksUpToDate>false</LinksUpToDate>
  <CharactersWithSpaces>3837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2025-01-12T19:34:00Z</dcterms:created>
  <dc:creator>bgs</dc:creator>
  <cp:lastModifiedBy>bgs</cp:lastModifiedBy>
  <dcterms:modified xsi:type="dcterms:W3CDTF">2026-01-22T16:16:08Z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07CEFFF8F3F86052C8DC7169D386B179_43</vt:lpwstr>
  </property>
</Properties>
</file>