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2BA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highlight w:val="none"/>
        </w:rPr>
        <w:t>山东</w:t>
      </w:r>
      <w:r>
        <w:rPr>
          <w:rFonts w:hint="eastAsia" w:ascii="Times New Roman" w:hAnsi="Times New Roman" w:eastAsia="方正小标宋简体" w:cs="Times New Roman"/>
          <w:sz w:val="44"/>
          <w:szCs w:val="44"/>
          <w:highlight w:val="none"/>
          <w:lang w:val="en-US" w:eastAsia="zh-CN"/>
        </w:rPr>
        <w:t>驿嘉集团</w:t>
      </w:r>
      <w:r>
        <w:rPr>
          <w:rFonts w:hint="default" w:ascii="Times New Roman" w:hAnsi="Times New Roman" w:eastAsia="方正小标宋简体" w:cs="Times New Roman"/>
          <w:sz w:val="44"/>
          <w:szCs w:val="44"/>
          <w:highlight w:val="none"/>
        </w:rPr>
        <w:t>有限公司等</w:t>
      </w:r>
      <w:r>
        <w:rPr>
          <w:rFonts w:hint="eastAsia" w:ascii="Times New Roman" w:hAnsi="Times New Roman" w:eastAsia="方正小标宋简体" w:cs="Times New Roman"/>
          <w:sz w:val="44"/>
          <w:szCs w:val="44"/>
          <w:highlight w:val="none"/>
          <w:lang w:val="en-US" w:eastAsia="zh-CN"/>
        </w:rPr>
        <w:t>企业</w:t>
      </w:r>
      <w:r>
        <w:rPr>
          <w:rFonts w:hint="default" w:ascii="Times New Roman" w:hAnsi="Times New Roman" w:eastAsia="方正小标宋简体" w:cs="Times New Roman"/>
          <w:sz w:val="44"/>
          <w:szCs w:val="44"/>
          <w:lang w:eastAsia="zh-CN"/>
        </w:rPr>
        <w:t>申请建筑业企业资质审批结果的公告</w:t>
      </w:r>
    </w:p>
    <w:p w14:paraId="23A0B433">
      <w:pPr>
        <w:pStyle w:val="2"/>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方正楷体简体" w:cs="Times New Roman"/>
          <w:i w:val="0"/>
          <w:iCs w:val="0"/>
          <w:caps w:val="0"/>
          <w:color w:val="333333"/>
          <w:spacing w:val="0"/>
          <w:sz w:val="27"/>
          <w:szCs w:val="27"/>
          <w:shd w:val="clear" w:fill="FFFFFF"/>
          <w:lang w:eastAsia="zh-CN"/>
        </w:rPr>
      </w:pPr>
      <w:r>
        <w:rPr>
          <w:rFonts w:hint="default" w:ascii="Times New Roman" w:hAnsi="Times New Roman" w:eastAsia="方正楷体简体" w:cs="Times New Roman"/>
          <w:i w:val="0"/>
          <w:iCs w:val="0"/>
          <w:caps w:val="0"/>
          <w:color w:val="333333"/>
          <w:spacing w:val="0"/>
          <w:sz w:val="27"/>
          <w:szCs w:val="27"/>
          <w:shd w:val="clear" w:fill="FFFFFF"/>
          <w:lang w:eastAsia="zh-CN"/>
        </w:rPr>
        <w:t>（</w:t>
      </w:r>
      <w:r>
        <w:rPr>
          <w:rFonts w:hint="eastAsia" w:ascii="Times New Roman" w:hAnsi="Times New Roman" w:eastAsia="方正楷体简体" w:cs="Times New Roman"/>
          <w:i w:val="0"/>
          <w:iCs w:val="0"/>
          <w:caps w:val="0"/>
          <w:color w:val="333333"/>
          <w:spacing w:val="0"/>
          <w:sz w:val="27"/>
          <w:szCs w:val="27"/>
          <w:shd w:val="clear" w:fill="FFFFFF"/>
          <w:lang w:val="en-US" w:eastAsia="zh-CN"/>
        </w:rPr>
        <w:t>汶</w:t>
      </w:r>
      <w:r>
        <w:rPr>
          <w:rFonts w:hint="default" w:ascii="Times New Roman" w:hAnsi="Times New Roman" w:eastAsia="方正楷体简体" w:cs="Times New Roman"/>
          <w:i w:val="0"/>
          <w:iCs w:val="0"/>
          <w:caps w:val="0"/>
          <w:color w:val="333333"/>
          <w:spacing w:val="0"/>
          <w:sz w:val="27"/>
          <w:szCs w:val="27"/>
          <w:shd w:val="clear" w:fill="FFFFFF"/>
          <w:lang w:eastAsia="zh-CN"/>
        </w:rPr>
        <w:t>建资许字〔202</w:t>
      </w:r>
      <w:r>
        <w:rPr>
          <w:rFonts w:hint="eastAsia" w:ascii="Times New Roman" w:hAnsi="Times New Roman" w:eastAsia="方正楷体简体" w:cs="Times New Roman"/>
          <w:i w:val="0"/>
          <w:iCs w:val="0"/>
          <w:caps w:val="0"/>
          <w:color w:val="333333"/>
          <w:spacing w:val="0"/>
          <w:sz w:val="27"/>
          <w:szCs w:val="27"/>
          <w:shd w:val="clear" w:fill="FFFFFF"/>
          <w:lang w:val="en-US" w:eastAsia="zh-CN"/>
        </w:rPr>
        <w:t>5</w:t>
      </w:r>
      <w:r>
        <w:rPr>
          <w:rFonts w:hint="default" w:ascii="Times New Roman" w:hAnsi="Times New Roman" w:eastAsia="方正楷体简体" w:cs="Times New Roman"/>
          <w:i w:val="0"/>
          <w:iCs w:val="0"/>
          <w:caps w:val="0"/>
          <w:color w:val="333333"/>
          <w:spacing w:val="0"/>
          <w:sz w:val="27"/>
          <w:szCs w:val="27"/>
          <w:shd w:val="clear" w:fill="FFFFFF"/>
          <w:lang w:eastAsia="zh-CN"/>
        </w:rPr>
        <w:t>〕</w:t>
      </w:r>
      <w:r>
        <w:rPr>
          <w:rFonts w:hint="eastAsia" w:ascii="Times New Roman" w:hAnsi="Times New Roman" w:eastAsia="方正楷体简体" w:cs="Times New Roman"/>
          <w:i w:val="0"/>
          <w:iCs w:val="0"/>
          <w:caps w:val="0"/>
          <w:color w:val="333333"/>
          <w:spacing w:val="0"/>
          <w:sz w:val="27"/>
          <w:szCs w:val="27"/>
          <w:shd w:val="clear" w:fill="FFFFFF"/>
          <w:lang w:val="en-US" w:eastAsia="zh-CN"/>
        </w:rPr>
        <w:t>1</w:t>
      </w:r>
      <w:r>
        <w:rPr>
          <w:rFonts w:hint="default" w:ascii="Times New Roman" w:hAnsi="Times New Roman" w:eastAsia="方正楷体简体" w:cs="Times New Roman"/>
          <w:i w:val="0"/>
          <w:iCs w:val="0"/>
          <w:caps w:val="0"/>
          <w:color w:val="333333"/>
          <w:spacing w:val="0"/>
          <w:sz w:val="27"/>
          <w:szCs w:val="27"/>
          <w:shd w:val="clear" w:fill="FFFFFF"/>
          <w:lang w:eastAsia="zh-CN"/>
        </w:rPr>
        <w:t>号）</w:t>
      </w:r>
    </w:p>
    <w:p w14:paraId="37726F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643974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根据《建筑业企业资质管理规定》（住房城乡建设部令第22号）、《建筑业企业资质标准》（建市〔2014〕159号）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《山东省住房和城乡建设厅关于进一步优化建设工程企业资质审批管理工作的通知》及《济宁市人民政府关于调整济宁市“市县同权”改革事项清单的通知》（济政字〔2020〕56 号）</w:t>
      </w:r>
      <w:r>
        <w:rPr>
          <w:rFonts w:hint="default" w:ascii="Times New Roman" w:hAnsi="Times New Roman" w:eastAsia="仿宋_GB2312" w:cs="Times New Roman"/>
          <w:sz w:val="32"/>
          <w:szCs w:val="32"/>
          <w:lang w:eastAsia="zh-CN"/>
        </w:rPr>
        <w:t>等规定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我局</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对山东驿嘉集团有限公司等企业</w:t>
      </w:r>
      <w:r>
        <w:rPr>
          <w:rFonts w:hint="default" w:ascii="Times New Roman" w:hAnsi="Times New Roman" w:eastAsia="仿宋_GB2312" w:cs="Times New Roman"/>
          <w:sz w:val="32"/>
          <w:szCs w:val="32"/>
          <w:lang w:eastAsia="zh-CN"/>
        </w:rPr>
        <w:t>进行了公示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公示期已满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在接受社会监督期间，</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未接到投诉举报信息，</w:t>
      </w:r>
      <w:r>
        <w:rPr>
          <w:rFonts w:hint="default" w:ascii="Times New Roman" w:hAnsi="Times New Roman" w:eastAsia="仿宋_GB2312" w:cs="Times New Roman"/>
          <w:sz w:val="32"/>
          <w:szCs w:val="32"/>
          <w:lang w:eastAsia="zh-CN"/>
        </w:rPr>
        <w:t>结合人员</w:t>
      </w:r>
      <w:r>
        <w:rPr>
          <w:rFonts w:hint="eastAsia" w:ascii="Times New Roman" w:hAnsi="Times New Roman" w:eastAsia="仿宋_GB2312" w:cs="Times New Roman"/>
          <w:sz w:val="32"/>
          <w:szCs w:val="32"/>
          <w:lang w:eastAsia="zh-CN"/>
        </w:rPr>
        <w:t>复核</w:t>
      </w:r>
      <w:r>
        <w:rPr>
          <w:rFonts w:hint="default" w:ascii="Times New Roman" w:hAnsi="Times New Roman" w:eastAsia="仿宋_GB2312" w:cs="Times New Roman"/>
          <w:sz w:val="32"/>
          <w:szCs w:val="32"/>
          <w:lang w:eastAsia="zh-CN"/>
        </w:rPr>
        <w:t>情况，现将本批次企业审批情况公告如下</w:t>
      </w:r>
      <w:r>
        <w:rPr>
          <w:rFonts w:hint="default" w:ascii="Times New Roman" w:hAnsi="Times New Roman" w:eastAsia="仿宋_GB2312" w:cs="Times New Roman"/>
          <w:sz w:val="32"/>
          <w:szCs w:val="32"/>
        </w:rPr>
        <w:t>。</w:t>
      </w:r>
    </w:p>
    <w:p w14:paraId="0B8FC31C">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附件：建筑业企业资质审批结果公告名单</w:t>
      </w:r>
    </w:p>
    <w:p w14:paraId="5D6D77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14:paraId="57EC6E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p>
    <w:p w14:paraId="490D78B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汶上县行政审批服务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 xml:space="preserve"> </w:t>
      </w:r>
    </w:p>
    <w:p w14:paraId="4638DCD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highlight w:val="none"/>
          <w:lang w:val="en-US" w:eastAsia="zh-CN"/>
        </w:rPr>
        <w:t>年6月16日</w:t>
      </w:r>
      <w:bookmarkStart w:id="0" w:name="_GoBack"/>
      <w:bookmarkEnd w:id="0"/>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p>
    <w:p w14:paraId="3F78D45E">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0DD335FF">
      <w:pP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附件：</w:t>
      </w:r>
    </w:p>
    <w:tbl>
      <w:tblPr>
        <w:tblStyle w:val="3"/>
        <w:tblW w:w="14629" w:type="dxa"/>
        <w:jc w:val="center"/>
        <w:tblLayout w:type="fixed"/>
        <w:tblCellMar>
          <w:top w:w="0" w:type="dxa"/>
          <w:left w:w="0" w:type="dxa"/>
          <w:bottom w:w="0" w:type="dxa"/>
          <w:right w:w="0" w:type="dxa"/>
        </w:tblCellMar>
      </w:tblPr>
      <w:tblGrid>
        <w:gridCol w:w="843"/>
        <w:gridCol w:w="4876"/>
        <w:gridCol w:w="2040"/>
        <w:gridCol w:w="4680"/>
        <w:gridCol w:w="2190"/>
      </w:tblGrid>
      <w:tr w14:paraId="455D4535">
        <w:tblPrEx>
          <w:tblCellMar>
            <w:top w:w="0" w:type="dxa"/>
            <w:left w:w="0" w:type="dxa"/>
            <w:bottom w:w="0" w:type="dxa"/>
            <w:right w:w="0" w:type="dxa"/>
          </w:tblCellMar>
        </w:tblPrEx>
        <w:trPr>
          <w:trHeight w:val="551" w:hRule="atLeast"/>
          <w:jc w:val="center"/>
        </w:trPr>
        <w:tc>
          <w:tcPr>
            <w:tcW w:w="14629" w:type="dxa"/>
            <w:gridSpan w:val="5"/>
            <w:tcBorders>
              <w:top w:val="nil"/>
              <w:left w:val="nil"/>
              <w:bottom w:val="single" w:color="auto" w:sz="4" w:space="0"/>
              <w:right w:val="nil"/>
            </w:tcBorders>
            <w:noWrap w:val="0"/>
            <w:tcMar>
              <w:top w:w="15" w:type="dxa"/>
              <w:left w:w="15" w:type="dxa"/>
              <w:right w:w="15" w:type="dxa"/>
            </w:tcMar>
            <w:vAlign w:val="center"/>
          </w:tcPr>
          <w:p w14:paraId="0D3FD209">
            <w:pPr>
              <w:spacing w:beforeLines="0" w:afterLines="0" w:line="58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建筑业企业资质审批结果公告名单</w:t>
            </w:r>
          </w:p>
          <w:p w14:paraId="27FDC8D0">
            <w:pPr>
              <w:spacing w:beforeLines="0" w:afterLines="0"/>
              <w:jc w:val="center"/>
              <w:rPr>
                <w:rFonts w:hint="default" w:ascii="Times New Roman" w:hAnsi="Times New Roman" w:eastAsia="方正黑体简体" w:cs="Times New Roman"/>
                <w:i w:val="0"/>
                <w:color w:val="000000"/>
                <w:sz w:val="24"/>
                <w:szCs w:val="24"/>
                <w:u w:val="none"/>
              </w:rPr>
            </w:pPr>
          </w:p>
        </w:tc>
      </w:tr>
      <w:tr w14:paraId="56670FE2">
        <w:tblPrEx>
          <w:tblCellMar>
            <w:top w:w="0" w:type="dxa"/>
            <w:left w:w="0" w:type="dxa"/>
            <w:bottom w:w="0" w:type="dxa"/>
            <w:right w:w="0" w:type="dxa"/>
          </w:tblCellMar>
        </w:tblPrEx>
        <w:trPr>
          <w:trHeight w:val="551" w:hRule="atLeast"/>
          <w:jc w:val="center"/>
        </w:trPr>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6461CB">
            <w:pPr>
              <w:keepNext w:val="0"/>
              <w:keepLines w:val="0"/>
              <w:widowControl/>
              <w:suppressLineNumbers w:val="0"/>
              <w:jc w:val="center"/>
              <w:textAlignment w:val="center"/>
              <w:rPr>
                <w:rFonts w:hint="default" w:ascii="Times New Roman" w:hAnsi="Times New Roman" w:eastAsia="方正黑体简体" w:cs="Times New Roman"/>
                <w:i w:val="0"/>
                <w:color w:val="000000"/>
                <w:kern w:val="2"/>
                <w:sz w:val="24"/>
                <w:szCs w:val="24"/>
                <w:u w:val="none"/>
                <w:lang w:val="en-US" w:eastAsia="zh-CN" w:bidi="ar-SA"/>
              </w:rPr>
            </w:pPr>
            <w:r>
              <w:rPr>
                <w:rFonts w:hint="default" w:ascii="Times New Roman" w:hAnsi="Times New Roman" w:eastAsia="方正黑体简体" w:cs="Times New Roman"/>
                <w:i w:val="0"/>
                <w:color w:val="000000"/>
                <w:kern w:val="0"/>
                <w:sz w:val="24"/>
                <w:szCs w:val="24"/>
                <w:u w:val="none"/>
                <w:lang w:val="en-US" w:eastAsia="zh-CN" w:bidi="ar"/>
              </w:rPr>
              <w:t>序号</w:t>
            </w:r>
          </w:p>
        </w:tc>
        <w:tc>
          <w:tcPr>
            <w:tcW w:w="4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0524A4">
            <w:pPr>
              <w:keepNext w:val="0"/>
              <w:keepLines w:val="0"/>
              <w:widowControl/>
              <w:suppressLineNumbers w:val="0"/>
              <w:jc w:val="center"/>
              <w:textAlignment w:val="center"/>
              <w:rPr>
                <w:rFonts w:hint="default" w:ascii="Times New Roman" w:hAnsi="Times New Roman" w:eastAsia="方正黑体简体" w:cs="Times New Roman"/>
                <w:i w:val="0"/>
                <w:color w:val="000000"/>
                <w:kern w:val="2"/>
                <w:sz w:val="24"/>
                <w:szCs w:val="24"/>
                <w:u w:val="none"/>
                <w:lang w:val="en-US" w:eastAsia="zh-CN" w:bidi="ar-SA"/>
              </w:rPr>
            </w:pPr>
            <w:r>
              <w:rPr>
                <w:rFonts w:hint="eastAsia" w:ascii="Times New Roman" w:hAnsi="Times New Roman" w:eastAsia="方正黑体简体" w:cs="Times New Roman"/>
                <w:i w:val="0"/>
                <w:color w:val="000000"/>
                <w:kern w:val="0"/>
                <w:sz w:val="24"/>
                <w:szCs w:val="24"/>
                <w:u w:val="none"/>
                <w:lang w:val="en-US" w:eastAsia="zh-CN" w:bidi="ar"/>
              </w:rPr>
              <w:t>企业</w:t>
            </w:r>
            <w:r>
              <w:rPr>
                <w:rFonts w:hint="default" w:ascii="Times New Roman" w:hAnsi="Times New Roman" w:eastAsia="方正黑体简体" w:cs="Times New Roman"/>
                <w:i w:val="0"/>
                <w:color w:val="000000"/>
                <w:kern w:val="0"/>
                <w:sz w:val="24"/>
                <w:szCs w:val="24"/>
                <w:u w:val="none"/>
                <w:lang w:val="en-US" w:eastAsia="zh-CN" w:bidi="ar"/>
              </w:rPr>
              <w:t>名称</w:t>
            </w:r>
          </w:p>
        </w:tc>
        <w:tc>
          <w:tcPr>
            <w:tcW w:w="20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76A374">
            <w:pPr>
              <w:keepNext w:val="0"/>
              <w:keepLines w:val="0"/>
              <w:widowControl/>
              <w:suppressLineNumbers w:val="0"/>
              <w:jc w:val="center"/>
              <w:textAlignment w:val="center"/>
              <w:rPr>
                <w:rFonts w:hint="default" w:ascii="Times New Roman" w:hAnsi="Times New Roman" w:eastAsia="方正黑体简体" w:cs="Times New Roman"/>
                <w:i w:val="0"/>
                <w:color w:val="000000"/>
                <w:kern w:val="0"/>
                <w:sz w:val="24"/>
                <w:szCs w:val="24"/>
                <w:u w:val="none"/>
                <w:lang w:val="en-US" w:eastAsia="zh-CN" w:bidi="ar"/>
              </w:rPr>
            </w:pPr>
            <w:r>
              <w:rPr>
                <w:rFonts w:hint="default" w:ascii="Times New Roman" w:hAnsi="Times New Roman" w:eastAsia="方正黑体简体" w:cs="Times New Roman"/>
                <w:i w:val="0"/>
                <w:color w:val="000000"/>
                <w:kern w:val="0"/>
                <w:sz w:val="24"/>
                <w:szCs w:val="24"/>
                <w:u w:val="none"/>
                <w:lang w:val="en-US" w:eastAsia="zh-CN" w:bidi="ar"/>
              </w:rPr>
              <w:t>申请类型</w:t>
            </w:r>
          </w:p>
        </w:tc>
        <w:tc>
          <w:tcPr>
            <w:tcW w:w="4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6DAE7">
            <w:pPr>
              <w:keepNext w:val="0"/>
              <w:keepLines w:val="0"/>
              <w:widowControl/>
              <w:suppressLineNumbers w:val="0"/>
              <w:jc w:val="center"/>
              <w:textAlignment w:val="center"/>
              <w:rPr>
                <w:rFonts w:hint="default" w:ascii="Times New Roman" w:hAnsi="Times New Roman" w:eastAsia="方正黑体简体" w:cs="Times New Roman"/>
                <w:i w:val="0"/>
                <w:color w:val="000000"/>
                <w:kern w:val="2"/>
                <w:sz w:val="24"/>
                <w:szCs w:val="24"/>
                <w:u w:val="none"/>
                <w:lang w:val="en-US" w:eastAsia="zh-CN" w:bidi="ar-SA"/>
              </w:rPr>
            </w:pPr>
            <w:r>
              <w:rPr>
                <w:rFonts w:hint="default" w:ascii="Times New Roman" w:hAnsi="Times New Roman" w:eastAsia="方正黑体简体" w:cs="Times New Roman"/>
                <w:i w:val="0"/>
                <w:color w:val="000000"/>
                <w:kern w:val="0"/>
                <w:sz w:val="24"/>
                <w:szCs w:val="24"/>
                <w:u w:val="none"/>
                <w:lang w:val="en-US" w:eastAsia="zh-CN" w:bidi="ar"/>
              </w:rPr>
              <w:t>资质</w:t>
            </w:r>
            <w:r>
              <w:rPr>
                <w:rFonts w:hint="eastAsia" w:ascii="Times New Roman" w:hAnsi="Times New Roman" w:eastAsia="方正黑体简体" w:cs="Times New Roman"/>
                <w:i w:val="0"/>
                <w:color w:val="000000"/>
                <w:kern w:val="0"/>
                <w:sz w:val="24"/>
                <w:szCs w:val="24"/>
                <w:u w:val="none"/>
                <w:lang w:val="en-US" w:eastAsia="zh-CN" w:bidi="ar"/>
              </w:rPr>
              <w:t>类别及等级</w:t>
            </w:r>
          </w:p>
        </w:tc>
        <w:tc>
          <w:tcPr>
            <w:tcW w:w="21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C59FA">
            <w:pPr>
              <w:spacing w:beforeLines="0" w:afterLines="0"/>
              <w:jc w:val="center"/>
              <w:rPr>
                <w:rFonts w:hint="default" w:ascii="Times New Roman" w:hAnsi="Times New Roman" w:eastAsia="方正黑体简体" w:cs="Times New Roman"/>
                <w:i w:val="0"/>
                <w:color w:val="000000"/>
                <w:kern w:val="2"/>
                <w:sz w:val="24"/>
                <w:szCs w:val="24"/>
                <w:u w:val="none"/>
                <w:lang w:val="en-US" w:eastAsia="zh-CN" w:bidi="ar-SA"/>
              </w:rPr>
            </w:pPr>
            <w:r>
              <w:rPr>
                <w:rFonts w:hint="default" w:ascii="Times New Roman" w:hAnsi="Times New Roman" w:eastAsia="方正黑体简体" w:cs="Times New Roman"/>
                <w:color w:val="auto"/>
                <w:kern w:val="0"/>
                <w:sz w:val="22"/>
                <w:szCs w:val="22"/>
                <w:lang w:eastAsia="zh-CN"/>
              </w:rPr>
              <w:t>审批意见</w:t>
            </w:r>
          </w:p>
        </w:tc>
      </w:tr>
      <w:tr w14:paraId="12026226">
        <w:tblPrEx>
          <w:tblCellMar>
            <w:top w:w="0" w:type="dxa"/>
            <w:left w:w="0" w:type="dxa"/>
            <w:bottom w:w="0" w:type="dxa"/>
            <w:right w:w="0" w:type="dxa"/>
          </w:tblCellMar>
        </w:tblPrEx>
        <w:trPr>
          <w:trHeight w:val="652" w:hRule="exact"/>
          <w:jc w:val="center"/>
        </w:trPr>
        <w:tc>
          <w:tcPr>
            <w:tcW w:w="84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64FFE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4876"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F76533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auto"/>
                <w:kern w:val="0"/>
                <w:sz w:val="24"/>
                <w:szCs w:val="24"/>
                <w:highlight w:val="yellow"/>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山东驿嘉集团有限公司</w:t>
            </w:r>
          </w:p>
        </w:tc>
        <w:tc>
          <w:tcPr>
            <w:tcW w:w="20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8ADCC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default" w:ascii="仿宋_GB2312" w:hAnsi="仿宋_GB2312" w:eastAsia="仿宋_GB2312" w:cs="仿宋_GB2312"/>
                <w:i w:val="0"/>
                <w:color w:val="auto"/>
                <w:kern w:val="0"/>
                <w:sz w:val="28"/>
                <w:szCs w:val="28"/>
                <w:highlight w:val="none"/>
                <w:u w:val="none"/>
                <w:lang w:val="en-US" w:eastAsia="zh-CN" w:bidi="ar"/>
              </w:rPr>
              <w:t>增项</w:t>
            </w:r>
          </w:p>
        </w:tc>
        <w:tc>
          <w:tcPr>
            <w:tcW w:w="4680"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40F0B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default" w:ascii="仿宋_GB2312" w:hAnsi="仿宋_GB2312" w:eastAsia="仿宋_GB2312" w:cs="仿宋_GB2312"/>
                <w:i w:val="0"/>
                <w:color w:val="auto"/>
                <w:kern w:val="0"/>
                <w:sz w:val="28"/>
                <w:szCs w:val="28"/>
                <w:highlight w:val="none"/>
                <w:u w:val="none"/>
                <w:lang w:val="en-US" w:eastAsia="zh-CN" w:bidi="ar"/>
              </w:rPr>
              <w:t>模板脚手架专业承包不分等级</w:t>
            </w:r>
          </w:p>
        </w:tc>
        <w:tc>
          <w:tcPr>
            <w:tcW w:w="21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11FD9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default" w:ascii="仿宋_GB2312" w:hAnsi="仿宋_GB2312" w:eastAsia="仿宋_GB2312" w:cs="仿宋_GB2312"/>
                <w:i w:val="0"/>
                <w:color w:val="auto"/>
                <w:kern w:val="0"/>
                <w:sz w:val="28"/>
                <w:szCs w:val="28"/>
                <w:highlight w:val="none"/>
                <w:u w:val="none"/>
                <w:lang w:val="en-US" w:eastAsia="zh-CN" w:bidi="ar"/>
              </w:rPr>
              <w:t>核准</w:t>
            </w:r>
          </w:p>
        </w:tc>
      </w:tr>
      <w:tr w14:paraId="1035442D">
        <w:tblPrEx>
          <w:tblCellMar>
            <w:top w:w="0" w:type="dxa"/>
            <w:left w:w="0" w:type="dxa"/>
            <w:bottom w:w="0" w:type="dxa"/>
            <w:right w:w="0" w:type="dxa"/>
          </w:tblCellMar>
        </w:tblPrEx>
        <w:trPr>
          <w:trHeight w:val="652" w:hRule="exact"/>
          <w:jc w:val="center"/>
        </w:trPr>
        <w:tc>
          <w:tcPr>
            <w:tcW w:w="84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EA672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4876"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3AC25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yellow"/>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济宁正和建材有限公司</w:t>
            </w:r>
          </w:p>
        </w:tc>
        <w:tc>
          <w:tcPr>
            <w:tcW w:w="20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2396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新申请</w:t>
            </w:r>
          </w:p>
        </w:tc>
        <w:tc>
          <w:tcPr>
            <w:tcW w:w="4680"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22E93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yellow"/>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预拌混凝土专业承包不分等级</w:t>
            </w:r>
          </w:p>
        </w:tc>
        <w:tc>
          <w:tcPr>
            <w:tcW w:w="21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AFCEA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auto"/>
                <w:kern w:val="0"/>
                <w:sz w:val="28"/>
                <w:szCs w:val="28"/>
                <w:highlight w:val="yellow"/>
                <w:u w:val="none"/>
                <w:lang w:val="en-US" w:eastAsia="zh-CN" w:bidi="ar"/>
              </w:rPr>
            </w:pPr>
            <w:r>
              <w:rPr>
                <w:rFonts w:hint="default" w:ascii="仿宋_GB2312" w:hAnsi="仿宋_GB2312" w:eastAsia="仿宋_GB2312" w:cs="仿宋_GB2312"/>
                <w:i w:val="0"/>
                <w:color w:val="auto"/>
                <w:kern w:val="0"/>
                <w:sz w:val="28"/>
                <w:szCs w:val="28"/>
                <w:highlight w:val="none"/>
                <w:u w:val="none"/>
                <w:lang w:val="en-US" w:eastAsia="zh-CN" w:bidi="ar"/>
              </w:rPr>
              <w:t>核准</w:t>
            </w:r>
          </w:p>
        </w:tc>
      </w:tr>
    </w:tbl>
    <w:p w14:paraId="595A0F28">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32"/>
          <w:szCs w:val="32"/>
          <w:lang w:eastAsia="zh-CN"/>
        </w:rPr>
        <w:t>注意：请</w:t>
      </w:r>
      <w:r>
        <w:rPr>
          <w:rFonts w:hint="eastAsia" w:ascii="Times New Roman" w:hAnsi="Times New Roman" w:eastAsia="仿宋_GB2312" w:cs="Times New Roman"/>
          <w:sz w:val="32"/>
          <w:szCs w:val="32"/>
          <w:lang w:val="en-US" w:eastAsia="zh-CN"/>
        </w:rPr>
        <w:t>所有</w:t>
      </w:r>
      <w:r>
        <w:rPr>
          <w:rFonts w:hint="eastAsia" w:ascii="Times New Roman" w:hAnsi="Times New Roman" w:eastAsia="仿宋_GB2312" w:cs="Times New Roman"/>
          <w:sz w:val="32"/>
          <w:szCs w:val="32"/>
          <w:lang w:eastAsia="zh-CN"/>
        </w:rPr>
        <w:t>企业保持申报使用人员稳定，因减员造成的任何后果，由企业自负。</w:t>
      </w:r>
    </w:p>
    <w:p w14:paraId="0AD0D046">
      <w:pPr>
        <w:jc w:val="both"/>
        <w:rPr>
          <w:rFonts w:hint="default" w:ascii="Times New Roman" w:hAnsi="Times New Roman" w:eastAsia="仿宋_GB2312" w:cs="Times New Roman"/>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DdhY2VlNjAxNTllMGNiODc0ZWZiNjI2M2IzYTQifQ=="/>
  </w:docVars>
  <w:rsids>
    <w:rsidRoot w:val="00172A27"/>
    <w:rsid w:val="0027285C"/>
    <w:rsid w:val="005B74AE"/>
    <w:rsid w:val="007B1009"/>
    <w:rsid w:val="018F7A2B"/>
    <w:rsid w:val="01D84234"/>
    <w:rsid w:val="02654C56"/>
    <w:rsid w:val="03982832"/>
    <w:rsid w:val="05A20CB3"/>
    <w:rsid w:val="07147921"/>
    <w:rsid w:val="073B085A"/>
    <w:rsid w:val="08407581"/>
    <w:rsid w:val="08AF2BF6"/>
    <w:rsid w:val="09815806"/>
    <w:rsid w:val="0995305F"/>
    <w:rsid w:val="0A724AF6"/>
    <w:rsid w:val="0B79407B"/>
    <w:rsid w:val="0E682AF0"/>
    <w:rsid w:val="0E712206"/>
    <w:rsid w:val="0F8D2E5F"/>
    <w:rsid w:val="0FC153E7"/>
    <w:rsid w:val="10904F9C"/>
    <w:rsid w:val="10B22386"/>
    <w:rsid w:val="10B33647"/>
    <w:rsid w:val="11254D4D"/>
    <w:rsid w:val="116705E6"/>
    <w:rsid w:val="118B5473"/>
    <w:rsid w:val="11C61DD1"/>
    <w:rsid w:val="11DA3D05"/>
    <w:rsid w:val="12AD5E82"/>
    <w:rsid w:val="1360023A"/>
    <w:rsid w:val="1402217A"/>
    <w:rsid w:val="140B464A"/>
    <w:rsid w:val="145678CD"/>
    <w:rsid w:val="14CD1994"/>
    <w:rsid w:val="158A4B01"/>
    <w:rsid w:val="1627221C"/>
    <w:rsid w:val="16A7188E"/>
    <w:rsid w:val="18185587"/>
    <w:rsid w:val="185F3DFA"/>
    <w:rsid w:val="18602BFA"/>
    <w:rsid w:val="19D07AE3"/>
    <w:rsid w:val="1A073B05"/>
    <w:rsid w:val="1B065B6B"/>
    <w:rsid w:val="1C3106DE"/>
    <w:rsid w:val="1C324211"/>
    <w:rsid w:val="1C6A4185"/>
    <w:rsid w:val="1DF640BB"/>
    <w:rsid w:val="1E774A57"/>
    <w:rsid w:val="1E995EBB"/>
    <w:rsid w:val="209D3610"/>
    <w:rsid w:val="20F04AC5"/>
    <w:rsid w:val="213E6169"/>
    <w:rsid w:val="21403B32"/>
    <w:rsid w:val="214F320F"/>
    <w:rsid w:val="23105968"/>
    <w:rsid w:val="250026DA"/>
    <w:rsid w:val="250474F1"/>
    <w:rsid w:val="255B2F57"/>
    <w:rsid w:val="258B55EA"/>
    <w:rsid w:val="263513DD"/>
    <w:rsid w:val="26F24B66"/>
    <w:rsid w:val="27662893"/>
    <w:rsid w:val="2844748E"/>
    <w:rsid w:val="288B69CD"/>
    <w:rsid w:val="296000C2"/>
    <w:rsid w:val="2A5E4195"/>
    <w:rsid w:val="2B602780"/>
    <w:rsid w:val="2C444745"/>
    <w:rsid w:val="2CCF4031"/>
    <w:rsid w:val="2DFB7AF8"/>
    <w:rsid w:val="2FCF1EA4"/>
    <w:rsid w:val="2FFD0E93"/>
    <w:rsid w:val="30BB0E26"/>
    <w:rsid w:val="30E6401D"/>
    <w:rsid w:val="34DA62C8"/>
    <w:rsid w:val="36EC4555"/>
    <w:rsid w:val="37AD7642"/>
    <w:rsid w:val="37CC2FE7"/>
    <w:rsid w:val="382952F2"/>
    <w:rsid w:val="38392C84"/>
    <w:rsid w:val="38CD161E"/>
    <w:rsid w:val="3B4E5967"/>
    <w:rsid w:val="3B5129DA"/>
    <w:rsid w:val="3B823C74"/>
    <w:rsid w:val="3B8B1A48"/>
    <w:rsid w:val="3B9823B7"/>
    <w:rsid w:val="3D670293"/>
    <w:rsid w:val="3E1201DE"/>
    <w:rsid w:val="3E130DF9"/>
    <w:rsid w:val="3EEE2FEA"/>
    <w:rsid w:val="3F2F455D"/>
    <w:rsid w:val="3F794C64"/>
    <w:rsid w:val="3FE108BB"/>
    <w:rsid w:val="40156322"/>
    <w:rsid w:val="401E584A"/>
    <w:rsid w:val="40E371AC"/>
    <w:rsid w:val="410A340F"/>
    <w:rsid w:val="41190928"/>
    <w:rsid w:val="41504649"/>
    <w:rsid w:val="430F346B"/>
    <w:rsid w:val="43DE0B83"/>
    <w:rsid w:val="451A3E3D"/>
    <w:rsid w:val="469C3D1C"/>
    <w:rsid w:val="477027E6"/>
    <w:rsid w:val="4A6856B1"/>
    <w:rsid w:val="4B1D6435"/>
    <w:rsid w:val="4B2E688A"/>
    <w:rsid w:val="4B677340"/>
    <w:rsid w:val="4B6A710F"/>
    <w:rsid w:val="4BA24A03"/>
    <w:rsid w:val="4BB24DCF"/>
    <w:rsid w:val="4C445AB0"/>
    <w:rsid w:val="4C942B6D"/>
    <w:rsid w:val="4CB0631E"/>
    <w:rsid w:val="4D094EC3"/>
    <w:rsid w:val="4D205169"/>
    <w:rsid w:val="4E30647F"/>
    <w:rsid w:val="4E7B594C"/>
    <w:rsid w:val="4E9973EC"/>
    <w:rsid w:val="4EB1309C"/>
    <w:rsid w:val="4EF00506"/>
    <w:rsid w:val="4EFD19A1"/>
    <w:rsid w:val="50937B6E"/>
    <w:rsid w:val="50DD469C"/>
    <w:rsid w:val="51065E40"/>
    <w:rsid w:val="51DC0DF8"/>
    <w:rsid w:val="5345787C"/>
    <w:rsid w:val="539E42B0"/>
    <w:rsid w:val="53B574F4"/>
    <w:rsid w:val="559F40AD"/>
    <w:rsid w:val="55E95436"/>
    <w:rsid w:val="56D43EA0"/>
    <w:rsid w:val="571E06D8"/>
    <w:rsid w:val="573A2209"/>
    <w:rsid w:val="57AC40EA"/>
    <w:rsid w:val="59725B9E"/>
    <w:rsid w:val="597A7AAC"/>
    <w:rsid w:val="59BA58E4"/>
    <w:rsid w:val="5A2A36B2"/>
    <w:rsid w:val="5A567682"/>
    <w:rsid w:val="5B5515E7"/>
    <w:rsid w:val="5BB56A16"/>
    <w:rsid w:val="5BD83A12"/>
    <w:rsid w:val="5CC07647"/>
    <w:rsid w:val="5CC130C4"/>
    <w:rsid w:val="5ECB39D9"/>
    <w:rsid w:val="5F2D41D5"/>
    <w:rsid w:val="5F9B6061"/>
    <w:rsid w:val="5FBF693E"/>
    <w:rsid w:val="60940AF0"/>
    <w:rsid w:val="63CE60C7"/>
    <w:rsid w:val="63D61A72"/>
    <w:rsid w:val="63E458E8"/>
    <w:rsid w:val="65233C6E"/>
    <w:rsid w:val="65AB5DF8"/>
    <w:rsid w:val="6626043C"/>
    <w:rsid w:val="66840385"/>
    <w:rsid w:val="66CE0678"/>
    <w:rsid w:val="67006EDF"/>
    <w:rsid w:val="678F5491"/>
    <w:rsid w:val="679879D6"/>
    <w:rsid w:val="6A0E25D7"/>
    <w:rsid w:val="6AB22038"/>
    <w:rsid w:val="6B571F99"/>
    <w:rsid w:val="6B6A0DCB"/>
    <w:rsid w:val="6C3B248C"/>
    <w:rsid w:val="6CF2141E"/>
    <w:rsid w:val="6CF223EA"/>
    <w:rsid w:val="6EC07B7C"/>
    <w:rsid w:val="719B7511"/>
    <w:rsid w:val="719C27DC"/>
    <w:rsid w:val="71A90289"/>
    <w:rsid w:val="71F65166"/>
    <w:rsid w:val="731D3368"/>
    <w:rsid w:val="746667FB"/>
    <w:rsid w:val="74C36E18"/>
    <w:rsid w:val="75220020"/>
    <w:rsid w:val="75D14D01"/>
    <w:rsid w:val="762D3121"/>
    <w:rsid w:val="763C0048"/>
    <w:rsid w:val="76941244"/>
    <w:rsid w:val="772067E2"/>
    <w:rsid w:val="79E05927"/>
    <w:rsid w:val="7A9419C0"/>
    <w:rsid w:val="7AAE3ADD"/>
    <w:rsid w:val="7C343B18"/>
    <w:rsid w:val="7C533FCC"/>
    <w:rsid w:val="7D667F1E"/>
    <w:rsid w:val="7E8916AA"/>
    <w:rsid w:val="7EAF0074"/>
    <w:rsid w:val="7F6D27E0"/>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456</Characters>
  <Lines>0</Lines>
  <Paragraphs>0</Paragraphs>
  <TotalTime>5</TotalTime>
  <ScaleCrop>false</ScaleCrop>
  <LinksUpToDate>false</LinksUpToDate>
  <CharactersWithSpaces>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2022-03-25T06:04:00Z</dcterms:created>
  <dc:creator>Administrator</dc:creator>
  <cp:lastModifiedBy>HP</cp:lastModifiedBy>
  <cp:lastPrinted>2022-10-26T01:54:00Z</cp:lastPrinted>
  <dcterms:modified xsi:type="dcterms:W3CDTF">2025-06-16T07:07:22Z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AAC4AD712DB240B0A4FF562EF2AFE65D_13</vt:lpwstr>
  </property>
  <property fmtid="{D5CDD505-2E9C-101B-9397-08002B2CF9AE}" pid="4" name="KSOTemplateDocerSaveRecord">
    <vt:lpwstr>eyJoZGlkIjoiM2E0MDdhY2VlNjAxNTllMGNiODc0ZWZiNjI2M2IzYTQifQ==</vt:lpwstr>
  </property>
</Properties>
</file>