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spacing w:line="1520" w:lineRule="exact"/>
        <w:rPr>
          <w:rFonts w:ascii="华文中宋" w:hAnsi="华文中宋" w:eastAsia="华文中宋"/>
          <w:spacing w:val="20"/>
          <w:sz w:val="52"/>
          <w:szCs w:val="52"/>
        </w:rPr>
      </w:pPr>
    </w:p>
    <w:p>
      <w:pPr>
        <w:spacing w:line="1520" w:lineRule="exact"/>
        <w:jc w:val="center"/>
        <w:rPr>
          <w:rFonts w:hint="eastAsia" w:ascii="华文中宋" w:hAnsi="华文中宋" w:eastAsia="方正小标宋简体"/>
          <w:spacing w:val="20"/>
          <w:sz w:val="52"/>
          <w:szCs w:val="52"/>
          <w:lang w:val="en-US" w:eastAsia="zh-CN"/>
        </w:rPr>
      </w:pPr>
      <w:r>
        <w:rPr>
          <w:rFonts w:hint="eastAsia" w:ascii="方正小标宋简体" w:hAnsi="方正小标宋简体" w:eastAsia="方正小标宋简体" w:cs="方正小标宋简体"/>
          <w:spacing w:val="20"/>
          <w:sz w:val="72"/>
          <w:szCs w:val="72"/>
          <w:lang w:val="en-US" w:eastAsia="zh-CN"/>
        </w:rPr>
        <w:t>2024年济宁汶上县</w:t>
      </w:r>
      <w:r>
        <w:rPr>
          <w:rFonts w:hint="eastAsia" w:ascii="方正小标宋简体" w:hAnsi="方正小标宋简体" w:eastAsia="方正小标宋简体" w:cs="方正小标宋简体"/>
          <w:spacing w:val="20"/>
          <w:sz w:val="72"/>
          <w:szCs w:val="72"/>
          <w:lang w:eastAsia="zh-CN"/>
        </w:rPr>
        <w:t>苑庄</w:t>
      </w:r>
      <w:r>
        <w:rPr>
          <w:rFonts w:hint="eastAsia" w:ascii="方正小标宋简体" w:hAnsi="方正小标宋简体" w:eastAsia="方正小标宋简体" w:cs="方正小标宋简体"/>
          <w:spacing w:val="20"/>
          <w:sz w:val="72"/>
          <w:szCs w:val="72"/>
        </w:rPr>
        <w:t>镇</w:t>
      </w:r>
      <w:r>
        <w:rPr>
          <w:rFonts w:hint="eastAsia" w:ascii="方正小标宋简体" w:hAnsi="方正小标宋简体" w:eastAsia="方正小标宋简体" w:cs="方正小标宋简体"/>
          <w:spacing w:val="20"/>
          <w:sz w:val="72"/>
          <w:szCs w:val="72"/>
          <w:lang w:eastAsia="zh-CN"/>
        </w:rPr>
        <w:t>基层</w:t>
      </w:r>
      <w:r>
        <w:rPr>
          <w:rFonts w:hint="eastAsia" w:ascii="方正小标宋简体" w:hAnsi="方正小标宋简体" w:eastAsia="方正小标宋简体" w:cs="方正小标宋简体"/>
          <w:spacing w:val="20"/>
          <w:sz w:val="72"/>
          <w:szCs w:val="72"/>
        </w:rPr>
        <w:t>政务公开标准</w:t>
      </w:r>
      <w:r>
        <w:rPr>
          <w:rFonts w:hint="eastAsia" w:ascii="方正小标宋简体" w:hAnsi="方正小标宋简体" w:eastAsia="方正小标宋简体" w:cs="方正小标宋简体"/>
          <w:spacing w:val="20"/>
          <w:sz w:val="72"/>
          <w:szCs w:val="72"/>
          <w:lang w:eastAsia="zh-CN"/>
        </w:rPr>
        <w:t>目录汇编</w:t>
      </w: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Fonts w:ascii="Times New Roman" w:hAnsi="Times New Roman" w:eastAsia="华文中宋"/>
          <w:sz w:val="48"/>
          <w:szCs w:val="48"/>
        </w:rPr>
      </w:pPr>
      <w:r>
        <w:rPr>
          <w:rFonts w:hint="eastAsia" w:ascii="Times New Roman" w:hAnsi="Times New Roman" w:eastAsia="华文中宋"/>
          <w:sz w:val="48"/>
          <w:szCs w:val="48"/>
          <w:lang w:val="en-US" w:eastAsia="zh-CN"/>
        </w:rPr>
        <w:t>2024</w:t>
      </w:r>
      <w:r>
        <w:rPr>
          <w:rFonts w:ascii="Times New Roman" w:hAnsi="华文中宋" w:eastAsia="华文中宋"/>
          <w:sz w:val="48"/>
          <w:szCs w:val="48"/>
        </w:rPr>
        <w:t>年</w:t>
      </w:r>
      <w:r>
        <w:rPr>
          <w:rFonts w:hint="eastAsia" w:ascii="Times New Roman" w:hAnsi="华文中宋" w:eastAsia="华文中宋"/>
          <w:sz w:val="48"/>
          <w:szCs w:val="48"/>
          <w:lang w:val="en-US" w:eastAsia="zh-CN"/>
        </w:rPr>
        <w:t>5</w:t>
      </w:r>
      <w:r>
        <w:rPr>
          <w:rFonts w:ascii="Times New Roman" w:hAnsi="华文中宋" w:eastAsia="华文中宋"/>
          <w:sz w:val="48"/>
          <w:szCs w:val="48"/>
        </w:rPr>
        <w:t>月</w:t>
      </w:r>
    </w:p>
    <w:p>
      <w:pPr>
        <w:pStyle w:val="7"/>
        <w:ind w:left="0"/>
        <w:rPr>
          <w:rStyle w:val="15"/>
          <w:rFonts w:ascii="黑体" w:hAnsi="方正小标宋_GBK" w:eastAsia="黑体"/>
          <w:sz w:val="30"/>
          <w:szCs w:val="30"/>
        </w:rPr>
      </w:pPr>
    </w:p>
    <w:p>
      <w:pPr>
        <w:pStyle w:val="7"/>
        <w:ind w:left="0"/>
        <w:rPr>
          <w:rStyle w:val="15"/>
          <w:rFonts w:ascii="黑体" w:hAnsi="方正小标宋_GBK" w:eastAsia="黑体"/>
          <w:sz w:val="30"/>
          <w:szCs w:val="30"/>
        </w:rPr>
      </w:pPr>
    </w:p>
    <w:p/>
    <w:p>
      <w:pPr>
        <w:pStyle w:val="2"/>
        <w:rPr>
          <w:rStyle w:val="15"/>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pPr>
            <w:jc w:val="center"/>
            <w:rPr>
              <w:sz w:val="56"/>
              <w:szCs w:val="72"/>
            </w:rPr>
          </w:pPr>
          <w:bookmarkStart w:id="0" w:name="_Toc24724704"/>
          <w:r>
            <w:rPr>
              <w:rFonts w:ascii="宋体" w:hAnsi="宋体"/>
              <w:sz w:val="56"/>
              <w:szCs w:val="72"/>
            </w:rPr>
            <w:t>目录</w:t>
          </w:r>
        </w:p>
        <w:p>
          <w:pPr>
            <w:pStyle w:val="17"/>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pPr>
            <w:pStyle w:val="17"/>
            <w:tabs>
              <w:tab w:val="right" w:leader="dot" w:pos="13958"/>
            </w:tabs>
            <w:rPr>
              <w:rFonts w:hint="eastAsia" w:ascii="方正小标宋_GBK" w:hAnsi="方正小标宋_GBK" w:eastAsia="方正小标宋_GBK"/>
              <w:sz w:val="44"/>
              <w:szCs w:val="44"/>
              <w:lang w:eastAsia="zh-CN"/>
            </w:rPr>
          </w:pPr>
          <w:r>
            <w:rPr>
              <w:rFonts w:hint="eastAsia" w:ascii="方正小标宋_GBK" w:hAnsi="方正小标宋_GBK" w:eastAsia="方正小标宋_GBK"/>
              <w:sz w:val="44"/>
              <w:szCs w:val="44"/>
            </w:rPr>
            <w:t>（七）国有土地上房屋征收与补偿领域基层政务公开标准目录</w:t>
          </w:r>
          <w:r>
            <w:rPr>
              <w:sz w:val="44"/>
              <w:szCs w:val="44"/>
            </w:rPr>
            <w:tab/>
          </w:r>
          <w:r>
            <w:rPr>
              <w:rFonts w:hint="eastAsia"/>
              <w:sz w:val="44"/>
              <w:szCs w:val="44"/>
              <w:lang w:val="en-US" w:eastAsia="zh-CN"/>
            </w:rPr>
            <w:t>30</w:t>
          </w:r>
        </w:p>
        <w:p>
          <w:pPr>
            <w:pStyle w:val="17"/>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pPr>
            <w:pStyle w:val="17"/>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pPr>
            <w:rPr>
              <w:rFonts w:hint="eastAsia"/>
            </w:rPr>
          </w:pPr>
          <w:r>
            <w:rPr>
              <w:sz w:val="44"/>
              <w:szCs w:val="44"/>
            </w:rPr>
            <w:fldChar w:fldCharType="end"/>
          </w:r>
          <w:bookmarkStart w:id="1" w:name="_Toc27205"/>
        </w:p>
      </w:sdtContent>
    </w:sdt>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11"/>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镇政府</w:t>
            </w:r>
          </w:p>
        </w:tc>
        <w:tc>
          <w:tcPr>
            <w:tcW w:w="275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vMerge w:val="continue"/>
          </w:tcP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镇政府</w:t>
            </w:r>
          </w:p>
        </w:tc>
        <w:tc>
          <w:tcPr>
            <w:tcW w:w="275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11"/>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vMerge w:val="continue"/>
          </w:tc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镇人民政府政务公开及门户网站</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vMerge w:val="continue"/>
          </w:tc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2700" w:type="dxa"/>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p>
        </w:tc>
        <w:tc>
          <w:tcPr>
            <w:tcW w:w="720" w:type="dxa"/>
            <w:vAlign w:val="center"/>
          </w:tcPr>
          <w:p>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pPr>
              <w:spacing w:line="240" w:lineRule="exact"/>
              <w:jc w:val="center"/>
              <w:rPr>
                <w:rFonts w:ascii="Times New Roman" w:hAnsi="Times New Roman"/>
                <w:sz w:val="30"/>
                <w:szCs w:val="30"/>
              </w:rPr>
            </w:pPr>
          </w:p>
        </w:tc>
        <w:tc>
          <w:tcPr>
            <w:tcW w:w="736"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vMerge w:val="continue"/>
          </w:tc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p>
            <w:pPr>
              <w:spacing w:line="240" w:lineRule="exact"/>
              <w:rPr>
                <w:rFonts w:ascii="仿宋_GB2312" w:hAnsi="Times New Roman" w:eastAsia="仿宋_GB2312"/>
                <w:sz w:val="18"/>
                <w:szCs w:val="18"/>
              </w:rPr>
            </w:pPr>
          </w:p>
        </w:tc>
        <w:tc>
          <w:tcPr>
            <w:tcW w:w="2700" w:type="dxa"/>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p>
            <w:pPr>
              <w:spacing w:line="240" w:lineRule="exact"/>
              <w:rPr>
                <w:rFonts w:ascii="Times New Roman" w:hAnsi="Times New Roman"/>
                <w:sz w:val="30"/>
                <w:szCs w:val="30"/>
              </w:rPr>
            </w:pPr>
          </w:p>
          <w:p>
            <w:pPr>
              <w:spacing w:line="240" w:lineRule="exact"/>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r>
              <w:rPr>
                <w:rFonts w:hint="eastAsia" w:ascii="仿宋_GB2312" w:hAnsi="Times New Roman" w:eastAsia="仿宋_GB2312"/>
                <w:sz w:val="18"/>
                <w:szCs w:val="18"/>
              </w:rPr>
              <w:t>、招标代理机构</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pPr>
              <w:spacing w:line="240" w:lineRule="exact"/>
              <w:jc w:val="left"/>
              <w:rPr>
                <w:rFonts w:ascii="仿宋_GB2312" w:hAnsi="宋体" w:eastAsia="仿宋_GB2312"/>
                <w:sz w:val="18"/>
                <w:szCs w:val="18"/>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pPr>
              <w:spacing w:line="240" w:lineRule="exac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p>
            <w:pPr>
              <w:spacing w:line="240" w:lineRule="exact"/>
              <w:rPr>
                <w:rFonts w:ascii="仿宋_GB2312" w:hAnsi="Times New Roman" w:eastAsia="仿宋_GB2312"/>
                <w:sz w:val="18"/>
                <w:szCs w:val="18"/>
              </w:rPr>
            </w:pP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pPr>
              <w:spacing w:line="240" w:lineRule="exact"/>
              <w:jc w:val="left"/>
            </w:pPr>
            <w:r>
              <w:rPr>
                <w:rFonts w:hint="eastAsia" w:ascii="仿宋_GB2312" w:hAnsi="Times New Roman" w:eastAsia="仿宋_GB2312"/>
                <w:sz w:val="18"/>
                <w:szCs w:val="18"/>
              </w:rPr>
              <w:t>《政府信息公开条例》、《关于全面推进政务公开工作意见》、《关于推进重大建设项目批准和实施领域政府信息公开的意见》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p>
            <w:pPr>
              <w:spacing w:line="240" w:lineRule="exact"/>
              <w:rPr>
                <w:rFonts w:ascii="仿宋_GB2312" w:hAnsi="Times New Roman" w:eastAsia="仿宋_GB2312"/>
                <w:sz w:val="18"/>
                <w:szCs w:val="18"/>
              </w:rPr>
            </w:pP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bl>
    <w:p>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11"/>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镇人民政府政务公开网站</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vMerge w:val="continue"/>
          </w:tc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4</w:t>
            </w:r>
          </w:p>
        </w:tc>
        <w:tc>
          <w:tcPr>
            <w:vMerge w:val="continue"/>
          </w:tc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vMerge w:val="continue"/>
          </w:tcP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vMerge w:val="continue"/>
          </w:tc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6</w:t>
            </w:r>
          </w:p>
        </w:tc>
        <w:tc>
          <w:tcPr>
            <w:vMerge w:val="continue"/>
          </w:tc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8</w:t>
            </w:r>
          </w:p>
        </w:tc>
        <w:tc>
          <w:tcPr>
            <w:vMerge w:val="continue"/>
          </w:tcPr>
          <w:p/>
        </w:tc>
        <w:tc>
          <w:tcPr>
            <w:tcW w:w="776" w:type="dxa"/>
            <w:vAlign w:val="center"/>
          </w:tcPr>
          <w:p>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Merge w:val="restart"/>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9</w:t>
            </w:r>
          </w:p>
        </w:tc>
        <w:tc>
          <w:tcPr>
            <w:vMerge w:val="continue"/>
          </w:tcPr>
          <w:p/>
        </w:tc>
        <w:tc>
          <w:tcPr>
            <w:tcW w:w="776" w:type="dxa"/>
            <w:vAlign w:val="center"/>
          </w:tcPr>
          <w:p>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vMerge w:val="continue"/>
          </w:tc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11</w:t>
            </w:r>
          </w:p>
        </w:tc>
        <w:tc>
          <w:tcPr>
            <w:vMerge w:val="continue"/>
          </w:tcPr>
          <w:p/>
        </w:tc>
        <w:tc>
          <w:tcPr>
            <w:tcW w:w="776" w:type="dxa"/>
            <w:vAlign w:val="center"/>
          </w:tcPr>
          <w:p>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Merge w:val="restart"/>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13</w:t>
            </w:r>
          </w:p>
        </w:tc>
        <w:tc>
          <w:tcPr>
            <w:vMerge w:val="continue"/>
          </w:tcPr>
          <w:p/>
        </w:tc>
        <w:tc>
          <w:tcPr>
            <w:tcW w:w="776" w:type="dxa"/>
            <w:vAlign w:val="center"/>
          </w:tcPr>
          <w:p>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苑庄</w:t>
            </w:r>
            <w:r>
              <w:rPr>
                <w:rFonts w:hint="eastAsia" w:ascii="仿宋_GB2312" w:eastAsia="仿宋_GB2312"/>
                <w:sz w:val="18"/>
                <w:szCs w:val="18"/>
              </w:rPr>
              <w:t>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vMerge w:val="continue"/>
          </w:tc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15</w:t>
            </w:r>
          </w:p>
        </w:tc>
        <w:tc>
          <w:tcPr>
            <w:vMerge w:val="continue"/>
          </w:tcPr>
          <w:p/>
        </w:tc>
        <w:tc>
          <w:tcPr>
            <w:tcW w:w="776" w:type="dxa"/>
            <w:vAlign w:val="center"/>
          </w:tcPr>
          <w:p>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苑庄</w:t>
            </w:r>
            <w:r>
              <w:rPr>
                <w:rFonts w:hint="eastAsia" w:ascii="仿宋_GB2312" w:eastAsia="仿宋_GB2312"/>
                <w:sz w:val="18"/>
                <w:szCs w:val="18"/>
              </w:rPr>
              <w:t>镇人民政府财政工作办公室的联系地址、联系人和联系电话。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17</w:t>
            </w:r>
          </w:p>
        </w:tc>
        <w:tc>
          <w:tcPr>
            <w:vMerge w:val="continue"/>
          </w:tcPr>
          <w:p/>
        </w:tc>
        <w:tc>
          <w:tcPr>
            <w:tcW w:w="776" w:type="dxa"/>
            <w:vAlign w:val="center"/>
          </w:tcPr>
          <w:p>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19</w:t>
            </w:r>
          </w:p>
        </w:tc>
        <w:tc>
          <w:tcPr>
            <w:vMerge w:val="continue"/>
          </w:tcPr>
          <w:p/>
        </w:tc>
        <w:tc>
          <w:tcPr>
            <w:tcW w:w="776" w:type="dxa"/>
            <w:vAlign w:val="center"/>
          </w:tcPr>
          <w:p>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21</w:t>
            </w:r>
          </w:p>
        </w:tc>
        <w:tc>
          <w:tcPr>
            <w:vMerge w:val="continue"/>
          </w:tc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22</w:t>
            </w:r>
          </w:p>
        </w:tc>
        <w:tc>
          <w:tcPr>
            <w:vMerge w:val="continue"/>
          </w:tc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bl>
    <w:p>
      <w:pPr>
        <w:pStyle w:val="2"/>
        <w:jc w:val="center"/>
        <w:rPr>
          <w:rFonts w:ascii="方正小标宋_GBK" w:hAnsi="方正小标宋_GBK" w:eastAsia="方正小标宋_GBK"/>
          <w:b w:val="0"/>
          <w:bCs w:val="0"/>
          <w:sz w:val="30"/>
        </w:rPr>
      </w:pPr>
      <w:bookmarkStart w:id="5" w:name="_Toc24724711"/>
    </w:p>
    <w:p>
      <w:pPr>
        <w:pStyle w:val="2"/>
        <w:jc w:val="center"/>
        <w:rPr>
          <w:rFonts w:ascii="方正小标宋_GBK" w:hAnsi="方正小标宋_GBK" w:eastAsia="方正小标宋_GBK"/>
          <w:b w:val="0"/>
          <w:bCs w:val="0"/>
          <w:sz w:val="30"/>
        </w:rPr>
      </w:pPr>
    </w:p>
    <w:p>
      <w:pPr>
        <w:pStyle w:val="2"/>
        <w:rPr>
          <w:rFonts w:ascii="方正小标宋_GBK" w:hAnsi="方正小标宋_GBK" w:eastAsia="方正小标宋_GBK"/>
          <w:b w:val="0"/>
          <w:bCs w:val="0"/>
          <w:sz w:val="30"/>
        </w:rPr>
      </w:pPr>
    </w:p>
    <w:p>
      <w:pPr>
        <w:rPr>
          <w:rFonts w:ascii="方正小标宋_GBK" w:hAnsi="方正小标宋_GBK" w:eastAsia="方正小标宋_GBK"/>
          <w:b w:val="0"/>
          <w:bCs w:val="0"/>
          <w:sz w:val="30"/>
        </w:rPr>
      </w:pPr>
    </w:p>
    <w:p>
      <w:pPr>
        <w:rPr>
          <w:rFonts w:ascii="方正小标宋_GBK" w:hAnsi="方正小标宋_GBK" w:eastAsia="方正小标宋_GBK"/>
          <w:b w:val="0"/>
          <w:bCs w:val="0"/>
          <w:sz w:val="30"/>
        </w:rPr>
      </w:pPr>
    </w:p>
    <w:p/>
    <w:p>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《预算法》、《政府信息公开条例》、《财政部关于印发&lt;地方预决算公开操作规程的通知&gt;》、《财政部关于印发&lt;地方政府债务信息公开办法（试行）&gt;的通知》等法律法规和文件规定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《预算法》、《政府信息公开条例》、《财政部关于印发&lt;地方预决算公开操作规程的通知&gt;》、《财政部关于印发&lt;地方政府债务信息公开办法（试行）&gt;的通知》等法律法规和文件规定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《预算法》、《政府信息公开条例》、《财政部关于印发&lt;地方预决算公开操作规程的通知&gt;》、《财政部关于印发&lt;地方政府债务信息公开办法（试行）&gt;的通知》等法律法规和文件规定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《预算法》、《政府信息公开条例》、《财政部关于印发&lt;地方预决算公开操作规程的通知&gt;》、《财政部关于印发&lt;地方政府债务信息公开办法（试行）&gt;的通知》等法律法规和文件规定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《预算法》、《政府信息公开条例》、《财政部关于印发&lt;地方预决算公开操作规程的通知&gt;》等法律法规和文件规定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《预算法》、《政府信息公开条例》、《财政部关于印发&lt;地方预决算公开操作规程的通知&gt;》等法律法规和文件规定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《预算法》、《政府信息公开条例》、《财政部关于印发&lt;地方预决算公开操作规程的通知&gt;》等法律法规和文件规定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p>
            <w:pPr>
              <w:widowControl/>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vMerge w:val="continue"/>
          </w:tcPr>
          <w:p/>
        </w:tc>
        <w:tc>
          <w:tcPr>
            <w:vMerge w:val="continue"/>
          </w:tc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bl>
    <w:p>
      <w:pPr>
        <w:jc w:val="center"/>
        <w:rPr>
          <w:rFonts w:ascii="Times New Roman" w:hAnsi="Times New Roman" w:eastAsia="方正小标宋_GBK"/>
          <w:color w:val="FF0000"/>
          <w:sz w:val="28"/>
          <w:szCs w:val="28"/>
        </w:rPr>
      </w:pPr>
    </w:p>
    <w:p>
      <w:pPr>
        <w:pStyle w:val="2"/>
        <w:jc w:val="center"/>
        <w:rPr>
          <w:rFonts w:hint="eastAsia" w:ascii="方正小标宋_GBK" w:hAnsi="方正小标宋_GBK" w:eastAsia="方正小标宋_GBK"/>
          <w:b w:val="0"/>
          <w:bCs w:val="0"/>
          <w:sz w:val="30"/>
        </w:rPr>
      </w:pPr>
      <w:bookmarkStart w:id="7" w:name="_Toc25122"/>
    </w:p>
    <w:p>
      <w:pPr>
        <w:pStyle w:val="2"/>
        <w:jc w:val="center"/>
        <w:rPr>
          <w:rFonts w:hint="eastAsia" w:ascii="方正小标宋_GBK" w:hAnsi="方正小标宋_GBK" w:eastAsia="方正小标宋_GBK"/>
          <w:b w:val="0"/>
          <w:bCs w:val="0"/>
          <w:sz w:val="30"/>
        </w:rPr>
      </w:pP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11"/>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vMerge w:val="continue"/>
          </w:tc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6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vMerge w:val="continue"/>
          </w:tc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vMerge w:val="continue"/>
          </w:tcP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vMerge w:val="continue"/>
          </w:tc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vMerge w:val="continue"/>
          </w:tcP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vMerge w:val="continue"/>
          </w:tc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pPr>
              <w:jc w:val="center"/>
              <w:rPr>
                <w:rFonts w:ascii="仿宋_GB2312" w:hAnsi="宋体" w:eastAsia="仿宋_GB2312" w:cs="宋体"/>
                <w:bCs/>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镇人民政府党政办公室；应急管理办公室</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r>
    </w:tbl>
    <w:p>
      <w:pPr>
        <w:pStyle w:val="2"/>
        <w:jc w:val="center"/>
        <w:rPr>
          <w:rFonts w:ascii="方正小标宋_GBK" w:hAnsi="方正小标宋_GBK" w:eastAsia="方正小标宋_GBK"/>
          <w:b w:val="0"/>
          <w:bCs w:val="0"/>
          <w:sz w:val="30"/>
        </w:rPr>
      </w:pPr>
    </w:p>
    <w:p>
      <w:pPr>
        <w:pStyle w:val="2"/>
        <w:jc w:val="center"/>
        <w:rPr>
          <w:rFonts w:hint="eastAsia" w:ascii="方正小标宋_GBK" w:hAnsi="方正小标宋_GBK" w:eastAsia="方正小标宋_GBK"/>
          <w:b w:val="0"/>
          <w:bCs w:val="0"/>
          <w:sz w:val="30"/>
        </w:rPr>
      </w:pPr>
      <w:bookmarkStart w:id="8" w:name="_Toc19959"/>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（六）农村集体土地征收基层政务公开标准目录</w:t>
      </w:r>
      <w:bookmarkEnd w:id="8"/>
    </w:p>
    <w:tbl>
      <w:tblPr>
        <w:tblStyle w:val="11"/>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55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240" w:lineRule="exact"/>
              <w:jc w:val="center"/>
              <w:rPr>
                <w:rFonts w:ascii="仿宋_GB2312" w:eastAsia="仿宋_GB2312"/>
                <w:color w:val="000000"/>
                <w:sz w:val="18"/>
                <w:szCs w:val="18"/>
              </w:rPr>
            </w:pPr>
          </w:p>
        </w:tc>
        <w:tc>
          <w:tcPr>
            <w:tcW w:w="551"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ascii="仿宋_GB2312" w:eastAsia="仿宋_GB2312"/>
                <w:color w:val="000000"/>
                <w:sz w:val="18"/>
                <w:szCs w:val="18"/>
              </w:rPr>
            </w:pP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p>
        </w:tc>
        <w:tc>
          <w:tcPr>
            <w:tcW w:w="875" w:type="dxa"/>
            <w:vAlign w:val="center"/>
          </w:tcPr>
          <w:p>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spacing w:line="240" w:lineRule="exact"/>
              <w:jc w:val="center"/>
              <w:rPr>
                <w:rFonts w:ascii="仿宋_GB2312" w:eastAsia="仿宋_GB2312"/>
                <w:color w:val="000000"/>
                <w:sz w:val="18"/>
                <w:szCs w:val="18"/>
              </w:rPr>
            </w:pP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tc>
        <w:tc>
          <w:tcPr>
            <w:vMerge w:val="continue"/>
          </w:tcPr>
          <w:p/>
        </w:tc>
        <w:tc>
          <w:tcPr>
            <w:vMerge w:val="continue"/>
          </w:tcPr>
          <w:p/>
        </w:tc>
        <w:tc>
          <w:tcPr>
            <w:vMerge w:val="continue"/>
          </w:tcPr>
          <w:p/>
        </w:tc>
        <w:tc>
          <w:tcPr>
            <w:vMerge w:val="continue"/>
          </w:tcP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vMerge w:val="continue"/>
          </w:tcPr>
          <w:p/>
        </w:tc>
        <w:tc>
          <w:tcPr>
            <w:vMerge w:val="continue"/>
          </w:tc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pPr>
              <w:widowControl/>
              <w:rPr>
                <w:rFonts w:hint="eastAsia" w:ascii="仿宋_GB2312" w:eastAsia="仿宋_GB2312"/>
                <w:color w:val="000000"/>
                <w:sz w:val="18"/>
                <w:szCs w:val="18"/>
                <w:lang w:eastAsia="zh-CN"/>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tc>
        <w:tc>
          <w:tcPr>
            <w:vMerge w:val="continue"/>
          </w:tcPr>
          <w:p/>
        </w:tc>
        <w:tc>
          <w:tcPr>
            <w:vMerge w:val="continue"/>
          </w:tcPr>
          <w:p/>
        </w:tc>
        <w:tc>
          <w:tcPr>
            <w:vMerge w:val="continue"/>
          </w:tcPr>
          <w:p/>
        </w:tc>
        <w:tc>
          <w:tcPr>
            <w:vMerge w:val="continue"/>
          </w:tcPr>
          <w:p/>
        </w:tc>
        <w:tc>
          <w:tcPr>
            <w:tcW w:w="1980" w:type="dxa"/>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vMerge w:val="continue"/>
          </w:tcPr>
          <w:p/>
        </w:tc>
        <w:tc>
          <w:tcPr>
            <w:vMerge w:val="continue"/>
          </w:tc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vMerge w:val="continue"/>
          </w:tc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w:t>
            </w:r>
          </w:p>
          <w:p>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pPr>
              <w:widowControl/>
              <w:rPr>
                <w:rFonts w:hint="eastAsia" w:ascii="仿宋_GB2312" w:eastAsia="仿宋_GB2312"/>
                <w:color w:val="000000"/>
                <w:sz w:val="18"/>
                <w:szCs w:val="18"/>
                <w:lang w:eastAsia="zh-CN"/>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tc>
        <w:tc>
          <w:tcPr>
            <w:vMerge w:val="continue"/>
          </w:tcPr>
          <w:p/>
        </w:tc>
        <w:tc>
          <w:tcPr>
            <w:vMerge w:val="continue"/>
          </w:tcPr>
          <w:p/>
        </w:tc>
        <w:tc>
          <w:tcPr>
            <w:vMerge w:val="continue"/>
          </w:tcPr>
          <w:p/>
        </w:tc>
        <w:tc>
          <w:tcPr>
            <w:vMerge w:val="continue"/>
          </w:tcP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vMerge w:val="continue"/>
          </w:tcPr>
          <w:p/>
        </w:tc>
        <w:tc>
          <w:tcPr>
            <w:vMerge w:val="continue"/>
          </w:tc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ind w:firstLine="9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镇人民政府镇村建设办公室建设用地审查意见；</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pPr>
              <w:widowControl/>
              <w:spacing w:line="260" w:lineRule="exact"/>
              <w:rPr>
                <w:rFonts w:ascii="仿宋_GB2312" w:eastAsia="仿宋_GB2312"/>
                <w:color w:val="000000"/>
                <w:sz w:val="18"/>
                <w:szCs w:val="18"/>
              </w:rPr>
            </w:pP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vMerge w:val="continue"/>
          </w:tc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征地补偿登记汇总表。</w:t>
            </w:r>
          </w:p>
          <w:p>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vMerge w:val="continue"/>
          </w:tcP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镇人民政府镇村建设办公室拟定《征地补偿安置方案》并予以公开。</w:t>
            </w:r>
          </w:p>
          <w:p>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ascii="仿宋_GB2312" w:eastAsia="仿宋_GB2312"/>
                <w:color w:val="000000"/>
                <w:sz w:val="18"/>
                <w:szCs w:val="18"/>
              </w:rPr>
            </w:pPr>
            <w:r>
              <w:rPr>
                <w:rFonts w:hint="eastAsia" w:ascii="仿宋_GB2312" w:eastAsia="仿宋_GB2312"/>
                <w:color w:val="000000"/>
                <w:sz w:val="18"/>
                <w:szCs w:val="18"/>
              </w:rPr>
              <w:t>7.听证等救济途径；</w:t>
            </w:r>
          </w:p>
          <w:p>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pPr>
              <w:widowControl/>
              <w:spacing w:line="320" w:lineRule="exact"/>
              <w:ind w:firstLine="36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ascii="仿宋_GB2312" w:eastAsia="仿宋_GB2312"/>
                <w:color w:val="000000"/>
                <w:sz w:val="18"/>
                <w:szCs w:val="18"/>
              </w:rPr>
            </w:pPr>
          </w:p>
        </w:tc>
        <w:tc>
          <w:tcPr>
            <w:tcW w:w="162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vMerge w:val="continue"/>
          </w:tcP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pPr>
              <w:widowControl/>
              <w:spacing w:line="320" w:lineRule="exact"/>
              <w:rPr>
                <w:rFonts w:ascii="仿宋_GB2312"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vMerge w:val="continue"/>
          </w:tc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vMerge w:val="continue"/>
          </w:tcP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镇人民政府镇村建设办公室；②乡镇人民政府、村委会</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镇人民政府财政工作办公室批复后20日内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镇人民政府镇村建设办公室；②</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镇人民政府财政工作办公室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vMerge w:val="continue"/>
          </w:tc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ind w:right="-304"/>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vMerge w:val="continue"/>
          </w:tcP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vMerge w:val="continue"/>
          </w:tc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11"/>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tc>
        <w:tc>
          <w:tcPr>
            <w:tcW w:w="7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vMerge w:val="continue"/>
          </w:tc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vMerge w:val="continue"/>
          </w:tc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vMerge w:val="continue"/>
          </w:tc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vMerge w:val="continue"/>
          </w:tc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vMerge w:val="continue"/>
          </w:tc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pPr>
        <w:pStyle w:val="2"/>
        <w:jc w:val="center"/>
        <w:rPr>
          <w:rFonts w:hint="eastAsia" w:ascii="方正小标宋_GBK" w:hAnsi="方正小标宋_GBK" w:eastAsia="方正小标宋_GBK"/>
          <w:b w:val="0"/>
          <w:bCs w:val="0"/>
          <w:sz w:val="30"/>
        </w:rPr>
      </w:pPr>
      <w:bookmarkStart w:id="12" w:name="_Toc31498"/>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（十）扶贫领域基层政务公开标准目录</w:t>
      </w:r>
      <w:bookmarkEnd w:id="12"/>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vMerge w:val="continue"/>
          </w:tc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vMerge w:val="continue"/>
          </w:tc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vMerge w:val="continue"/>
          </w:tc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vMerge w:val="continue"/>
          </w:tc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vMerge w:val="continue"/>
          </w:tc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vMerge w:val="continue"/>
          </w:tc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jc w:val="left"/>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11"/>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vMerge w:val="continue"/>
            <w:tcBorders>
              <w:tl2br w:val="nil"/>
              <w:tr2bl w:val="nil"/>
            </w:tcBorders>
          </w:tcPr>
          <w:p/>
        </w:tc>
        <w:tc>
          <w:tcPr>
            <w:tcW w:w="90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Borders>
              <w:tl2br w:val="nil"/>
              <w:tr2bl w:val="nil"/>
            </w:tcBorders>
          </w:tcPr>
          <w:p/>
        </w:tc>
        <w:tc>
          <w:tcPr>
            <w:vMerge w:val="continue"/>
            <w:tcBorders>
              <w:tl2br w:val="nil"/>
              <w:tr2bl w:val="nil"/>
            </w:tcBorders>
          </w:tcPr>
          <w:p/>
        </w:tc>
        <w:tc>
          <w:tcPr>
            <w:vMerge w:val="continue"/>
            <w:tcBorders>
              <w:tl2br w:val="nil"/>
              <w:tr2bl w:val="nil"/>
            </w:tcBorders>
          </w:tcPr>
          <w:p/>
        </w:tc>
        <w:tc>
          <w:tcPr>
            <w:vMerge w:val="continue"/>
            <w:tcBorders>
              <w:tl2br w:val="nil"/>
              <w:tr2bl w:val="nil"/>
            </w:tcBorders>
          </w:tcPr>
          <w:p/>
        </w:tc>
        <w:tc>
          <w:tcPr>
            <w:vMerge w:val="continue"/>
            <w:tcBorders>
              <w:tl2br w:val="nil"/>
              <w:tr2bl w:val="nil"/>
            </w:tcBorders>
          </w:tcP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vMerge w:val="continue"/>
            <w:tcBorders>
              <w:tl2br w:val="nil"/>
              <w:tr2bl w:val="nil"/>
            </w:tcBorders>
          </w:tc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镇人民政府政务公开及门户网站</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vMerge w:val="continue"/>
            <w:tcBorders>
              <w:tl2br w:val="nil"/>
              <w:tr2bl w:val="nil"/>
            </w:tcBorders>
          </w:tc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镇人民政府政务公开及门户网站</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■微信服务平台   ■社区/企事业单位/村公示栏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vMerge w:val="continue"/>
            <w:tcBorders>
              <w:tl2br w:val="nil"/>
              <w:tr2bl w:val="nil"/>
            </w:tcBorders>
          </w:tc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w:t>
            </w:r>
          </w:p>
          <w:p>
            <w:pPr>
              <w:jc w:val="center"/>
              <w:rPr>
                <w:rFonts w:ascii="仿宋_GB2312" w:eastAsia="仿宋_GB2312"/>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vMerge w:val="continue"/>
            <w:tcBorders>
              <w:tl2br w:val="nil"/>
              <w:tr2bl w:val="nil"/>
            </w:tcBorders>
          </w:tc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苑庄</w:t>
            </w:r>
            <w:r>
              <w:rPr>
                <w:rFonts w:hint="eastAsia" w:ascii="仿宋_GB2312" w:hAnsi="宋体" w:eastAsia="仿宋_GB2312" w:cs="宋体"/>
                <w:sz w:val="18"/>
                <w:szCs w:val="18"/>
              </w:rPr>
              <w:t>镇人民政府党政办公室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vMerge w:val="continue"/>
            <w:tcBorders>
              <w:tl2br w:val="nil"/>
              <w:tr2bl w:val="nil"/>
            </w:tcBorders>
          </w:tc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vMerge w:val="continue"/>
            <w:tcBorders>
              <w:tl2br w:val="nil"/>
              <w:tr2bl w:val="nil"/>
            </w:tcBorders>
          </w:tc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镇人民政府政务公开及门户网站</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镇行政区域内内因自然灾害造成的损失情况（受灾时间、灾害种类、受灾范围、灾害造成的损失等）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■广播电视</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镇人民政府社会治理和应急管理办公室审批</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镇人民政府党政办公室；应急管理办公室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vMerge w:val="continue"/>
            <w:tcBorders>
              <w:tl2br w:val="nil"/>
              <w:tr2bl w:val="nil"/>
            </w:tcBorders>
          </w:tc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镇人民政府应急管理办公室；财政工作办公室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灾后</w:t>
            </w:r>
          </w:p>
          <w:p>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w:t>
            </w:r>
          </w:p>
          <w:p>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镇人民政府社会事务办公室；</w:t>
            </w:r>
          </w:p>
          <w:p>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vMerge w:val="continue"/>
            <w:tcBorders>
              <w:tl2br w:val="nil"/>
              <w:tr2bl w:val="nil"/>
            </w:tcBorders>
          </w:tc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镇人民政府社会事务办公室；</w:t>
            </w:r>
          </w:p>
          <w:p>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工作</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镇人民政府应急管理办公室；社会事务办公室；</w:t>
            </w:r>
          </w:p>
          <w:p>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11"/>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6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vMerge w:val="continue"/>
          </w:tc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vMerge w:val="continue"/>
          </w:tcP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vMerge w:val="continue"/>
          </w:tc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vMerge w:val="continue"/>
          </w:tc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vMerge w:val="continue"/>
          </w:tcP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vMerge w:val="continue"/>
          </w:tc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vMerge w:val="continue"/>
          </w:tc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vMerge w:val="continue"/>
          </w:tcPr>
          <w:p/>
        </w:tc>
        <w:tc>
          <w:tcPr>
            <w:vMerge w:val="continue"/>
          </w:tcPr>
          <w:p/>
        </w:tc>
        <w:tc>
          <w:tcPr>
            <w:vMerge w:val="continue"/>
          </w:tcPr>
          <w:p/>
        </w:tc>
        <w:tc>
          <w:tcPr>
            <w:vMerge w:val="continue"/>
          </w:tc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vMerge w:val="continue"/>
          </w:tc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vMerge w:val="continue"/>
          </w:tc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vMerge w:val="continue"/>
          </w:tc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vMerge w:val="continue"/>
          </w:tc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vMerge w:val="continue"/>
          </w:tc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11"/>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vMerge w:val="continue"/>
          </w:tcPr>
          <w:p/>
        </w:tc>
        <w:tc>
          <w:tcPr>
            <w:vMerge w:val="continue"/>
          </w:tcPr>
          <w:p/>
        </w:tc>
        <w:tc>
          <w:tcPr>
            <w:vMerge w:val="continue"/>
          </w:tcPr>
          <w:p/>
        </w:tc>
        <w:tc>
          <w:tcPr>
            <w:vMerge w:val="continue"/>
          </w:tcP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vMerge w:val="continue"/>
          </w:tc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vMerge w:val="continue"/>
          </w:tc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vMerge w:val="continue"/>
          </w:tc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pPr>
              <w:rPr>
                <w:rFonts w:hint="eastAsia" w:ascii="仿宋_GB2312" w:hAnsi="宋体" w:eastAsia="仿宋_GB2312"/>
                <w:color w:val="000000"/>
                <w:sz w:val="18"/>
                <w:szCs w:val="18"/>
                <w:lang w:eastAsia="zh-CN"/>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color w:val="FF0000"/>
          <w:sz w:val="28"/>
          <w:szCs w:val="28"/>
        </w:rPr>
      </w:pPr>
    </w:p>
    <w:p>
      <w:pPr>
        <w:pStyle w:val="2"/>
        <w:jc w:val="both"/>
        <w:rPr>
          <w:rFonts w:hint="eastAsia" w:ascii="方正小标宋_GBK" w:hAnsi="方正小标宋_GBK" w:eastAsia="方正小标宋_GBK"/>
          <w:b w:val="0"/>
          <w:bCs w:val="0"/>
          <w:sz w:val="30"/>
        </w:rPr>
      </w:pPr>
      <w:bookmarkStart w:id="16" w:name="_Toc24724708"/>
      <w:bookmarkStart w:id="17" w:name="_Toc23315"/>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（十四）社会救助领域基层政务公开标准目录</w:t>
      </w:r>
      <w:bookmarkEnd w:id="16"/>
      <w:bookmarkEnd w:id="17"/>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vMerge w:val="continue"/>
          </w:tcP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vMerge w:val="continue"/>
          </w:tc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vMerge w:val="continue"/>
          </w:tcP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both"/>
        <w:rPr>
          <w:rFonts w:hint="eastAsia" w:ascii="方正小标宋_GBK" w:hAnsi="方正小标宋_GBK" w:eastAsia="方正小标宋_GBK"/>
          <w:b w:val="0"/>
          <w:bCs w:val="0"/>
          <w:sz w:val="30"/>
        </w:rPr>
      </w:pPr>
      <w:bookmarkStart w:id="18" w:name="_Toc17996"/>
      <w:bookmarkStart w:id="19" w:name="_Toc24724709"/>
    </w:p>
    <w:p>
      <w:pPr>
        <w:pStyle w:val="2"/>
        <w:jc w:val="both"/>
        <w:rPr>
          <w:rFonts w:hint="eastAsia" w:ascii="方正小标宋_GBK" w:hAnsi="方正小标宋_GBK" w:eastAsia="方正小标宋_GBK"/>
          <w:b w:val="0"/>
          <w:bCs w:val="0"/>
          <w:sz w:val="30"/>
        </w:rPr>
      </w:pPr>
    </w:p>
    <w:p>
      <w:pPr>
        <w:pStyle w:val="2"/>
        <w:jc w:val="both"/>
        <w:rPr>
          <w:rFonts w:hint="eastAsia" w:ascii="方正小标宋_GBK" w:hAnsi="方正小标宋_GBK" w:eastAsia="方正小标宋_GBK"/>
          <w:b w:val="0"/>
          <w:bCs w:val="0"/>
          <w:sz w:val="30"/>
        </w:rPr>
      </w:pPr>
    </w:p>
    <w:p>
      <w:pPr>
        <w:pStyle w:val="2"/>
        <w:jc w:val="both"/>
        <w:rPr>
          <w:rFonts w:hint="eastAsia" w:ascii="方正小标宋_GBK" w:hAnsi="方正小标宋_GBK" w:eastAsia="方正小标宋_GBK"/>
          <w:b w:val="0"/>
          <w:bCs w:val="0"/>
          <w:sz w:val="30"/>
        </w:rPr>
      </w:pPr>
    </w:p>
    <w:p>
      <w:pPr>
        <w:pStyle w:val="2"/>
        <w:jc w:val="both"/>
        <w:rPr>
          <w:rFonts w:hint="eastAsia" w:ascii="方正小标宋_GBK" w:hAnsi="方正小标宋_GBK" w:eastAsia="方正小标宋_GBK"/>
          <w:b w:val="0"/>
          <w:bCs w:val="0"/>
          <w:sz w:val="30"/>
        </w:rPr>
      </w:pP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（十五）养老服务领域基层政务公开标准目录</w:t>
      </w:r>
      <w:bookmarkEnd w:id="18"/>
      <w:bookmarkEnd w:id="19"/>
    </w:p>
    <w:tbl>
      <w:tblPr>
        <w:tblStyle w:val="11"/>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tc>
        <w:tc>
          <w:tcPr>
            <w:vMerge w:val="continue"/>
          </w:tcPr>
          <w:p/>
        </w:tc>
        <w:tc>
          <w:tcPr>
            <w:vMerge w:val="continue"/>
          </w:tcPr>
          <w:p/>
        </w:tc>
        <w:tc>
          <w:tcPr>
            <w:vMerge w:val="continue"/>
          </w:tcPr>
          <w:p/>
        </w:tc>
        <w:tc>
          <w:tcPr>
            <w:vMerge w:val="continue"/>
          </w:tc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vMerge w:val="continue"/>
          </w:tc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镇人民政府养老机构投资环境简介；养老机构投资审批条件及依据；养老机构投资审批流程；投资审批涉及部门和联系方式。</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vMerge w:val="continue"/>
          </w:tc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镇行政区域内已备案养老机构案数量；</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镇行政区域内已备案养老机构名称、机构地址、床位数量等基本信息</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vMerge w:val="continue"/>
          </w:tc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镇行政区域内各项养老服务扶持及老年人补贴申请数量；</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镇行政区域内各项养老服务扶持、老年人补贴申请审核通过数量；</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镇行政区域内各项养老服务扶持、老年人补贴申请审核通过名单及补贴金额；</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镇行政区域内各项养老服务扶持及老年人补贴发放总金额。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vMerge w:val="continue"/>
          </w:tcPr>
          <w:p/>
        </w:tc>
        <w:tc>
          <w:tcPr>
            <w:tcW w:w="5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vMerge w:val="continue"/>
          </w:tc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镇行政区域内养老机构评估事项（综合评估、标准评定等）申请数量，</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镇行政区域内养老机构评估总体结果（综合评估、标准评估等），</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镇行政区域内养老机构评估机构清单（综合评估、标准评估等）</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vMerge w:val="continue"/>
          </w:tc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jc w:val="center"/>
        <w:rPr>
          <w:rFonts w:hint="eastAsia" w:ascii="方正小标宋_GBK" w:hAnsi="方正小标宋_GBK" w:eastAsia="方正小标宋_GBK"/>
          <w:b w:val="0"/>
          <w:bCs w:val="0"/>
          <w:sz w:val="30"/>
        </w:rPr>
      </w:pPr>
      <w:bookmarkStart w:id="20" w:name="_Toc20485"/>
      <w:bookmarkStart w:id="21" w:name="_Toc24724722"/>
    </w:p>
    <w:p>
      <w:pPr>
        <w:pStyle w:val="2"/>
        <w:jc w:val="center"/>
        <w:rPr>
          <w:rFonts w:hint="eastAsia" w:ascii="方正小标宋_GBK" w:hAnsi="方正小标宋_GBK" w:eastAsia="方正小标宋_GBK"/>
          <w:b w:val="0"/>
          <w:bCs w:val="0"/>
          <w:sz w:val="30"/>
        </w:rPr>
      </w:pPr>
    </w:p>
    <w:p>
      <w:pPr>
        <w:pStyle w:val="2"/>
        <w:jc w:val="center"/>
        <w:rPr>
          <w:rFonts w:hint="eastAsia" w:ascii="方正小标宋_GBK" w:hAnsi="方正小标宋_GBK" w:eastAsia="方正小标宋_GBK"/>
          <w:b w:val="0"/>
          <w:bCs w:val="0"/>
          <w:sz w:val="30"/>
        </w:rPr>
      </w:pPr>
    </w:p>
    <w:p>
      <w:pPr>
        <w:pStyle w:val="2"/>
        <w:jc w:val="center"/>
        <w:rPr>
          <w:rFonts w:ascii="方正小标宋_GBK" w:hAnsi="方正小标宋_GBK" w:eastAsia="方正小标宋_GBK"/>
          <w:b w:val="0"/>
          <w:bCs w:val="0"/>
          <w:sz w:val="30"/>
        </w:rPr>
      </w:pPr>
      <w:bookmarkStart w:id="22" w:name="_GoBack"/>
      <w:bookmarkEnd w:id="22"/>
      <w:r>
        <w:rPr>
          <w:rFonts w:hint="eastAsia" w:ascii="方正小标宋_GBK" w:hAnsi="方正小标宋_GBK" w:eastAsia="方正小标宋_GBK"/>
          <w:b w:val="0"/>
          <w:bCs w:val="0"/>
          <w:sz w:val="30"/>
        </w:rPr>
        <w:t>（十六）涉农补贴领域基层政务公开标准目录</w:t>
      </w:r>
      <w:bookmarkEnd w:id="20"/>
      <w:bookmarkEnd w:id="21"/>
    </w:p>
    <w:tbl>
      <w:tblPr>
        <w:tblStyle w:val="11"/>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cantSplit/>
        </w:trPr>
        <w:tc>
          <w:tcPr>
            <w:vMerge w:val="continue"/>
            <w:tcBorders>
              <w:top w:val="single" w:color="auto" w:sz="4" w:space="0"/>
              <w:left w:val="single" w:color="auto" w:sz="4" w:space="0"/>
              <w:bottom w:val="single" w:color="auto" w:sz="4" w:space="0"/>
              <w:right w:val="single" w:color="auto" w:sz="4" w:space="0"/>
            </w:tcBorders>
          </w:tc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Borders>
              <w:top w:val="single" w:color="auto" w:sz="4" w:space="0"/>
              <w:left w:val="single" w:color="auto" w:sz="4" w:space="0"/>
              <w:bottom w:val="single" w:color="auto" w:sz="4" w:space="0"/>
              <w:right w:val="single" w:color="auto" w:sz="4" w:space="0"/>
            </w:tcBorders>
          </w:tcPr>
          <w:p/>
        </w:tc>
        <w:tc>
          <w:tcPr>
            <w:vMerge w:val="continue"/>
            <w:tcBorders>
              <w:top w:val="single" w:color="auto" w:sz="4" w:space="0"/>
              <w:left w:val="single" w:color="auto" w:sz="4" w:space="0"/>
              <w:bottom w:val="single" w:color="auto" w:sz="4" w:space="0"/>
              <w:right w:val="single" w:color="auto" w:sz="4" w:space="0"/>
            </w:tcBorders>
          </w:tcPr>
          <w:p/>
        </w:tc>
        <w:tc>
          <w:tcPr>
            <w:vMerge w:val="continue"/>
            <w:tcBorders>
              <w:top w:val="single" w:color="auto" w:sz="4" w:space="0"/>
              <w:left w:val="single" w:color="auto" w:sz="4" w:space="0"/>
              <w:bottom w:val="single" w:color="auto" w:sz="4" w:space="0"/>
              <w:right w:val="single" w:color="auto" w:sz="4" w:space="0"/>
            </w:tcBorders>
          </w:tcPr>
          <w:p/>
        </w:tc>
        <w:tc>
          <w:tcPr>
            <w:vMerge w:val="continue"/>
            <w:tcBorders>
              <w:top w:val="single" w:color="auto" w:sz="4" w:space="0"/>
              <w:left w:val="single" w:color="auto" w:sz="4" w:space="0"/>
              <w:bottom w:val="single" w:color="auto" w:sz="4" w:space="0"/>
              <w:right w:val="single" w:color="auto" w:sz="4" w:space="0"/>
            </w:tcBorders>
          </w:tcPr>
          <w:p/>
        </w:tc>
        <w:tc>
          <w:tcPr>
            <w:vMerge w:val="continue"/>
            <w:tcBorders>
              <w:top w:val="single" w:color="auto" w:sz="4" w:space="0"/>
              <w:left w:val="single" w:color="auto" w:sz="4" w:space="0"/>
              <w:bottom w:val="single" w:color="auto" w:sz="4" w:space="0"/>
              <w:right w:val="single" w:color="auto" w:sz="4" w:space="0"/>
            </w:tcBorders>
          </w:tc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jc w:val="center"/>
        <w:rPr>
          <w:rFonts w:ascii="Times New Roman" w:hAnsi="Times New Roman" w:eastAsia="方正小标宋_GBK"/>
          <w:sz w:val="28"/>
          <w:szCs w:val="28"/>
        </w:rPr>
      </w:pPr>
    </w:p>
    <w:tbl>
      <w:tblPr>
        <w:tblStyle w:val="11"/>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vMerge w:val="continue"/>
          </w:tc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vMerge w:val="continue"/>
          </w:tc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vMerge w:val="continue"/>
          </w:tc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328618-89B8-4469-9D77-7F5C9D73FA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FDB57FA-8100-4F6D-970B-B2A094817BD6}"/>
  </w:font>
  <w:font w:name="方正小标宋_GBK">
    <w:panose1 w:val="03000509000000000000"/>
    <w:charset w:val="86"/>
    <w:family w:val="script"/>
    <w:pitch w:val="default"/>
    <w:sig w:usb0="00000001" w:usb1="080E0000" w:usb2="00000000" w:usb3="00000000" w:csb0="00040000" w:csb1="00000000"/>
    <w:embedRegular r:id="rId3" w:fontKey="{D2657786-51C4-4B97-B6DF-4462517538D6}"/>
  </w:font>
  <w:font w:name="华文中宋">
    <w:panose1 w:val="02010600040101010101"/>
    <w:charset w:val="86"/>
    <w:family w:val="auto"/>
    <w:pitch w:val="default"/>
    <w:sig w:usb0="00000287" w:usb1="080F0000" w:usb2="00000000" w:usb3="00000000" w:csb0="0004009F" w:csb1="DFD70000"/>
    <w:embedRegular r:id="rId4" w:fontKey="{371F4E52-1895-4A61-8C14-852D98EF6CFB}"/>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CEE1024E-F22D-4C4D-A9F7-CF93ACCF0ACD}"/>
  </w:font>
  <w:font w:name="仿宋">
    <w:panose1 w:val="02010609060101010101"/>
    <w:charset w:val="86"/>
    <w:family w:val="modern"/>
    <w:pitch w:val="default"/>
    <w:sig w:usb0="800002BF" w:usb1="38CF7CFA" w:usb2="00000016" w:usb3="00000000" w:csb0="00040001" w:csb1="00000000"/>
    <w:embedRegular r:id="rId6" w:fontKey="{FEC07975-9834-4BF9-AA3F-48436E94D9AE}"/>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p>
  <w:p>
    <w:pPr>
      <w:pStyle w:val="6"/>
      <w:jc w:val="center"/>
    </w:pPr>
    <w:r>
      <w:fldChar w:fldCharType="begin"/>
    </w:r>
    <w:r>
      <w:rPr>
        <w:rStyle w:val="13"/>
      </w:rPr>
      <w:instrText xml:space="preserve"> PAGE </w:instrText>
    </w:r>
    <w:r>
      <w:fldChar w:fldCharType="separate"/>
    </w:r>
    <w:r>
      <w:rPr>
        <w:rStyle w:val="13"/>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3"/>
      </w:rPr>
      <w:instrText xml:space="preserve"> PAGE </w:instrText>
    </w:r>
    <w:r>
      <w:fldChar w:fldCharType="separate"/>
    </w:r>
    <w:r>
      <w:rPr>
        <w:rStyle w:val="13"/>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0NzAyODhhZGQ4NWNiNWI0MjNjNWNkZDY0YTk0ZTIifQ=="/>
  </w:docVars>
  <w:rsids>
    <w:rsidRoot w:val="3460665C"/>
    <w:rsid w:val="00107961"/>
    <w:rsid w:val="00483F70"/>
    <w:rsid w:val="00F30CF2"/>
    <w:rsid w:val="0A1026E6"/>
    <w:rsid w:val="0C4F3999"/>
    <w:rsid w:val="10F77AB0"/>
    <w:rsid w:val="112C7B0B"/>
    <w:rsid w:val="1695644C"/>
    <w:rsid w:val="21B06830"/>
    <w:rsid w:val="23BE3076"/>
    <w:rsid w:val="25333A00"/>
    <w:rsid w:val="2EE95130"/>
    <w:rsid w:val="343D32FA"/>
    <w:rsid w:val="3460665C"/>
    <w:rsid w:val="387243E8"/>
    <w:rsid w:val="38AF2F46"/>
    <w:rsid w:val="3ED96F6F"/>
    <w:rsid w:val="40C32C93"/>
    <w:rsid w:val="43CA332A"/>
    <w:rsid w:val="47CA1B4A"/>
    <w:rsid w:val="47F15259"/>
    <w:rsid w:val="48BB2867"/>
    <w:rsid w:val="4A370C10"/>
    <w:rsid w:val="4A407EA2"/>
    <w:rsid w:val="518E20C8"/>
    <w:rsid w:val="537868FE"/>
    <w:rsid w:val="581D1822"/>
    <w:rsid w:val="5A5A624C"/>
    <w:rsid w:val="5D184CAE"/>
    <w:rsid w:val="5D7A3273"/>
    <w:rsid w:val="64306D81"/>
    <w:rsid w:val="652C12F7"/>
    <w:rsid w:val="67371303"/>
    <w:rsid w:val="688E4FA5"/>
    <w:rsid w:val="69F525FF"/>
    <w:rsid w:val="6FB364F5"/>
    <w:rsid w:val="704B11CB"/>
    <w:rsid w:val="7101188A"/>
    <w:rsid w:val="740C056A"/>
    <w:rsid w:val="79312FA3"/>
    <w:rsid w:val="7990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semiHidden/>
    <w:qFormat/>
    <w:uiPriority w:val="0"/>
    <w:pPr>
      <w:tabs>
        <w:tab w:val="right" w:leader="dot" w:pos="14760"/>
      </w:tabs>
      <w:spacing w:line="700" w:lineRule="exact"/>
      <w:ind w:left="359" w:right="332"/>
    </w:pPr>
  </w:style>
  <w:style w:type="paragraph" w:styleId="8">
    <w:name w:val="Subtitle"/>
    <w:basedOn w:val="1"/>
    <w:qFormat/>
    <w:uiPriority w:val="0"/>
    <w:rPr>
      <w:i/>
      <w:color w:val="4F81BD"/>
      <w:sz w:val="24"/>
    </w:rPr>
  </w:style>
  <w:style w:type="paragraph" w:styleId="9">
    <w:name w:val="Normal (Web)"/>
    <w:basedOn w:val="1"/>
    <w:autoRedefine/>
    <w:qFormat/>
    <w:uiPriority w:val="0"/>
    <w:pPr>
      <w:jc w:val="left"/>
    </w:pPr>
    <w:rPr>
      <w:kern w:val="0"/>
      <w:sz w:val="24"/>
    </w:rPr>
  </w:style>
  <w:style w:type="paragraph" w:styleId="10">
    <w:name w:val="Title"/>
    <w:basedOn w:val="1"/>
    <w:qFormat/>
    <w:uiPriority w:val="0"/>
    <w:pPr>
      <w:spacing w:after="300"/>
    </w:pPr>
    <w:rPr>
      <w:color w:val="17365D"/>
      <w:sz w:val="52"/>
    </w:r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paragraph" w:customStyle="1" w:styleId="16">
    <w:name w:val="列出段落1"/>
    <w:basedOn w:val="1"/>
    <w:qFormat/>
    <w:uiPriority w:val="0"/>
    <w:pPr>
      <w:ind w:firstLine="420"/>
    </w:pPr>
  </w:style>
  <w:style w:type="paragraph" w:customStyle="1" w:styleId="17">
    <w:name w:val="WPSOffice手动目录 1"/>
    <w:qFormat/>
    <w:uiPriority w:val="0"/>
    <w:rPr>
      <w:rFonts w:ascii="Calibri" w:hAnsi="Calibri" w:eastAsia="宋体" w:cs="Times New Roman"/>
      <w:lang w:val="en-US" w:eastAsia="zh-CN" w:bidi="ar-SA"/>
    </w:rPr>
  </w:style>
  <w:style w:type="character" w:customStyle="1" w:styleId="18">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31869</Words>
  <Characters>32171</Characters>
  <Lines>314</Lines>
  <Paragraphs>88</Paragraphs>
  <TotalTime>8</TotalTime>
  <ScaleCrop>false</ScaleCrop>
  <LinksUpToDate>false</LinksUpToDate>
  <CharactersWithSpaces>39798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尘持弈</cp:lastModifiedBy>
  <dcterms:modified xsi:type="dcterms:W3CDTF">2024-05-14T09:38:27Z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6E5C77350883477A960D7FDCEB0347F2</vt:lpwstr>
  </property>
</Properties>
</file>