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汶上县司法局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汶上县司法局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bCs w:val="0"/>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w:t>
      </w:r>
      <w:r>
        <w:rPr>
          <w:rFonts w:hint="eastAsia" w:ascii="方正仿宋简体" w:eastAsia="方正仿宋简体"/>
          <w:b/>
          <w:bCs w:val="0"/>
          <w:color w:val="000000"/>
          <w:sz w:val="32"/>
          <w:szCs w:val="32"/>
        </w:rPr>
        <w:t>部分内容。</w:t>
      </w:r>
    </w:p>
    <w:p>
      <w:pPr>
        <w:spacing w:line="590" w:lineRule="exact"/>
        <w:ind w:right="-100" w:rightChars="-50" w:firstLine="643" w:firstLineChars="200"/>
        <w:rPr>
          <w:rFonts w:ascii="方正仿宋简体" w:eastAsia="方正仿宋简体"/>
          <w:b/>
          <w:bCs w:val="0"/>
          <w:color w:val="000000"/>
          <w:sz w:val="32"/>
          <w:szCs w:val="32"/>
        </w:rPr>
      </w:pPr>
      <w:r>
        <w:rPr>
          <w:rFonts w:hint="eastAsia" w:ascii="方正仿宋简体" w:eastAsia="方正仿宋简体"/>
          <w:b/>
          <w:bCs w:val="0"/>
          <w:color w:val="000000"/>
          <w:sz w:val="32"/>
          <w:szCs w:val="32"/>
        </w:rPr>
        <w:t>本报告所列数据的统计期限自202</w:t>
      </w:r>
      <w:r>
        <w:rPr>
          <w:rFonts w:hint="eastAsia" w:ascii="方正仿宋简体" w:eastAsia="方正仿宋简体"/>
          <w:b/>
          <w:bCs w:val="0"/>
          <w:color w:val="000000"/>
          <w:sz w:val="32"/>
          <w:szCs w:val="32"/>
          <w:lang w:val="en-US" w:eastAsia="zh-CN"/>
        </w:rPr>
        <w:t>2</w:t>
      </w:r>
      <w:r>
        <w:rPr>
          <w:rFonts w:hint="eastAsia" w:ascii="方正仿宋简体" w:eastAsia="方正仿宋简体"/>
          <w:b/>
          <w:bCs w:val="0"/>
          <w:color w:val="000000"/>
          <w:sz w:val="32"/>
          <w:szCs w:val="32"/>
        </w:rPr>
        <w:t>年1月1日起至202</w:t>
      </w:r>
      <w:r>
        <w:rPr>
          <w:rFonts w:hint="eastAsia" w:ascii="方正仿宋简体" w:eastAsia="方正仿宋简体"/>
          <w:b/>
          <w:bCs w:val="0"/>
          <w:color w:val="000000"/>
          <w:sz w:val="32"/>
          <w:szCs w:val="32"/>
          <w:lang w:val="en-US" w:eastAsia="zh-CN"/>
        </w:rPr>
        <w:t>2</w:t>
      </w:r>
      <w:r>
        <w:rPr>
          <w:rFonts w:hint="eastAsia" w:ascii="方正仿宋简体" w:eastAsia="方正仿宋简体"/>
          <w:b/>
          <w:bCs w:val="0"/>
          <w:color w:val="000000"/>
          <w:sz w:val="32"/>
          <w:szCs w:val="32"/>
        </w:rPr>
        <w:t>年12月31日止。本报告电子版可在“中国·</w:t>
      </w:r>
      <w:r>
        <w:rPr>
          <w:rFonts w:hint="eastAsia" w:ascii="方正仿宋简体" w:eastAsia="方正仿宋简体"/>
          <w:b/>
          <w:bCs w:val="0"/>
          <w:color w:val="000000"/>
          <w:sz w:val="32"/>
          <w:szCs w:val="32"/>
          <w:lang w:val="en-US" w:eastAsia="zh-CN"/>
        </w:rPr>
        <w:t>汶上</w:t>
      </w:r>
      <w:r>
        <w:rPr>
          <w:rFonts w:hint="eastAsia" w:ascii="方正仿宋简体" w:eastAsia="方正仿宋简体"/>
          <w:b/>
          <w:bCs w:val="0"/>
          <w:color w:val="000000"/>
          <w:sz w:val="32"/>
          <w:szCs w:val="32"/>
        </w:rPr>
        <w:t>”政府门户网站（</w:t>
      </w:r>
      <w:r>
        <w:rPr>
          <w:rFonts w:hint="eastAsia" w:ascii="仿宋_GB2312" w:hAnsi="仿宋_GB2312" w:eastAsia="仿宋_GB2312" w:cs="仿宋_GB2312"/>
          <w:b/>
          <w:bCs w:val="0"/>
          <w:i w:val="0"/>
          <w:iCs w:val="0"/>
          <w:caps w:val="0"/>
          <w:color w:val="000000"/>
          <w:spacing w:val="0"/>
          <w:sz w:val="32"/>
          <w:szCs w:val="32"/>
        </w:rPr>
        <w:t>www.wenshang.gov.cn</w:t>
      </w:r>
      <w:r>
        <w:rPr>
          <w:rFonts w:hint="eastAsia" w:ascii="方正仿宋简体" w:eastAsia="方正仿宋简体"/>
          <w:b/>
          <w:bCs w:val="0"/>
          <w:color w:val="000000"/>
          <w:sz w:val="32"/>
          <w:szCs w:val="32"/>
        </w:rPr>
        <w:t>）查阅或下载。如对本报告有疑问，请与</w:t>
      </w:r>
      <w:r>
        <w:rPr>
          <w:rFonts w:hint="eastAsia" w:ascii="方正仿宋简体" w:eastAsia="方正仿宋简体"/>
          <w:b/>
          <w:bCs w:val="0"/>
          <w:color w:val="000000"/>
          <w:sz w:val="32"/>
          <w:szCs w:val="32"/>
          <w:lang w:val="en-US" w:eastAsia="zh-CN"/>
        </w:rPr>
        <w:t>汶上县司法局</w:t>
      </w:r>
      <w:r>
        <w:rPr>
          <w:rFonts w:hint="eastAsia" w:ascii="方正仿宋简体" w:eastAsia="方正仿宋简体"/>
          <w:b/>
          <w:bCs w:val="0"/>
          <w:color w:val="000000"/>
          <w:sz w:val="32"/>
          <w:szCs w:val="32"/>
        </w:rPr>
        <w:t>联系（</w:t>
      </w:r>
      <w:r>
        <w:rPr>
          <w:rFonts w:hint="eastAsia" w:ascii="仿宋_GB2312" w:hAnsi="仿宋_GB2312" w:eastAsia="仿宋_GB2312" w:cs="仿宋_GB2312"/>
          <w:b/>
          <w:bCs w:val="0"/>
          <w:sz w:val="32"/>
          <w:szCs w:val="32"/>
          <w:lang w:eastAsia="zh-CN"/>
        </w:rPr>
        <w:t>地址：汶上县宝相寺路北段</w:t>
      </w:r>
      <w:r>
        <w:rPr>
          <w:rFonts w:hint="eastAsia" w:ascii="仿宋_GB2312" w:hAnsi="仿宋_GB2312" w:eastAsia="仿宋_GB2312" w:cs="仿宋_GB2312"/>
          <w:b/>
          <w:bCs w:val="0"/>
          <w:sz w:val="32"/>
          <w:szCs w:val="32"/>
          <w:lang w:val="en-US" w:eastAsia="zh-CN"/>
        </w:rPr>
        <w:t>653号，</w:t>
      </w:r>
      <w:r>
        <w:rPr>
          <w:rFonts w:hint="eastAsia" w:ascii="仿宋_GB2312" w:hAnsi="仿宋_GB2312" w:eastAsia="仿宋_GB2312" w:cs="仿宋_GB2312"/>
          <w:b/>
          <w:bCs w:val="0"/>
          <w:sz w:val="32"/>
          <w:szCs w:val="32"/>
        </w:rPr>
        <w:t>联系电话：0537－7288609</w:t>
      </w:r>
      <w:r>
        <w:rPr>
          <w:rFonts w:hint="eastAsia" w:ascii="方正仿宋简体" w:eastAsia="方正仿宋简体"/>
          <w:b/>
          <w:bCs w:val="0"/>
          <w:color w:val="000000"/>
          <w:sz w:val="32"/>
          <w:szCs w:val="32"/>
        </w:rPr>
        <w:t>）。</w:t>
      </w:r>
    </w:p>
    <w:p>
      <w:pPr>
        <w:spacing w:line="590" w:lineRule="exact"/>
        <w:ind w:right="-100" w:rightChars="-50" w:firstLine="643" w:firstLineChars="200"/>
        <w:rPr>
          <w:rFonts w:ascii="方正黑体简体" w:eastAsia="方正黑体简体"/>
          <w:b/>
          <w:bCs w:val="0"/>
          <w:color w:val="000000"/>
          <w:sz w:val="32"/>
          <w:szCs w:val="32"/>
        </w:rPr>
      </w:pPr>
      <w:r>
        <w:rPr>
          <w:rFonts w:hint="eastAsia" w:ascii="方正黑体简体" w:eastAsia="方正黑体简体"/>
          <w:b/>
          <w:bCs w:val="0"/>
          <w:color w:val="000000"/>
          <w:sz w:val="32"/>
          <w:szCs w:val="32"/>
        </w:rPr>
        <w:t>一、总体情况</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sz w:val="32"/>
          <w:szCs w:val="32"/>
        </w:rPr>
      </w:pPr>
      <w:r>
        <w:rPr>
          <w:rFonts w:hint="eastAsia" w:ascii="仿宋_GB2312" w:eastAsia="仿宋_GB2312"/>
          <w:b/>
          <w:bCs/>
          <w:sz w:val="32"/>
          <w:szCs w:val="32"/>
        </w:rPr>
        <w:t>汶上县司法局</w:t>
      </w:r>
      <w:r>
        <w:rPr>
          <w:rFonts w:hint="eastAsia" w:ascii="仿宋_GB2312" w:eastAsia="仿宋_GB2312"/>
          <w:b/>
          <w:bCs/>
          <w:sz w:val="32"/>
          <w:szCs w:val="32"/>
          <w:lang w:eastAsia="zh-CN"/>
        </w:rPr>
        <w:t>承担</w:t>
      </w:r>
      <w:r>
        <w:rPr>
          <w:rFonts w:hint="eastAsia" w:ascii="仿宋_GB2312" w:eastAsia="仿宋_GB2312"/>
          <w:b/>
          <w:bCs/>
          <w:sz w:val="32"/>
          <w:szCs w:val="32"/>
        </w:rPr>
        <w:t>着</w:t>
      </w:r>
      <w:r>
        <w:rPr>
          <w:rFonts w:hint="eastAsia" w:ascii="仿宋_GB2312" w:eastAsia="仿宋_GB2312"/>
          <w:b/>
          <w:bCs/>
          <w:sz w:val="32"/>
          <w:szCs w:val="32"/>
          <w:lang w:eastAsia="zh-CN"/>
        </w:rPr>
        <w:t>统筹法治政府建设、规范性文件和重大行政决策合法性审查，负责行政执法监督、行政复议及应诉，</w:t>
      </w:r>
      <w:r>
        <w:rPr>
          <w:rFonts w:hint="eastAsia" w:ascii="仿宋_GB2312" w:eastAsia="仿宋_GB2312"/>
          <w:b/>
          <w:bCs/>
          <w:sz w:val="32"/>
          <w:szCs w:val="32"/>
        </w:rPr>
        <w:t>管理律师公证，指导人民调解</w:t>
      </w:r>
      <w:r>
        <w:rPr>
          <w:rFonts w:hint="eastAsia" w:ascii="仿宋_GB2312" w:eastAsia="仿宋_GB2312"/>
          <w:b/>
          <w:bCs/>
          <w:sz w:val="32"/>
          <w:szCs w:val="32"/>
          <w:lang w:eastAsia="zh-CN"/>
        </w:rPr>
        <w:t>，</w:t>
      </w:r>
      <w:r>
        <w:rPr>
          <w:rFonts w:hint="eastAsia" w:ascii="仿宋_GB2312" w:eastAsia="仿宋_GB2312"/>
          <w:b/>
          <w:bCs/>
          <w:sz w:val="32"/>
          <w:szCs w:val="32"/>
        </w:rPr>
        <w:t>开展</w:t>
      </w:r>
      <w:r>
        <w:rPr>
          <w:rFonts w:hint="eastAsia" w:ascii="仿宋_GB2312" w:eastAsia="仿宋_GB2312"/>
          <w:b/>
          <w:bCs/>
          <w:sz w:val="32"/>
          <w:szCs w:val="32"/>
          <w:lang w:eastAsia="zh-CN"/>
        </w:rPr>
        <w:t>普法</w:t>
      </w:r>
      <w:r>
        <w:rPr>
          <w:rFonts w:hint="eastAsia" w:ascii="仿宋_GB2312" w:eastAsia="仿宋_GB2312"/>
          <w:b/>
          <w:bCs/>
          <w:sz w:val="32"/>
          <w:szCs w:val="32"/>
        </w:rPr>
        <w:t>宣传</w:t>
      </w:r>
      <w:r>
        <w:rPr>
          <w:rFonts w:hint="eastAsia" w:ascii="仿宋_GB2312" w:eastAsia="仿宋_GB2312"/>
          <w:b/>
          <w:bCs/>
          <w:sz w:val="32"/>
          <w:szCs w:val="32"/>
          <w:lang w:eastAsia="zh-CN"/>
        </w:rPr>
        <w:t>，</w:t>
      </w:r>
      <w:r>
        <w:rPr>
          <w:rFonts w:hint="eastAsia" w:ascii="仿宋_GB2312" w:eastAsia="仿宋_GB2312"/>
          <w:b/>
          <w:bCs/>
          <w:sz w:val="32"/>
          <w:szCs w:val="32"/>
        </w:rPr>
        <w:t>实施法律援助</w:t>
      </w:r>
      <w:r>
        <w:rPr>
          <w:rFonts w:hint="eastAsia" w:ascii="仿宋_GB2312" w:eastAsia="仿宋_GB2312"/>
          <w:b/>
          <w:bCs/>
          <w:sz w:val="32"/>
          <w:szCs w:val="32"/>
          <w:lang w:eastAsia="zh-CN"/>
        </w:rPr>
        <w:t>，</w:t>
      </w:r>
      <w:r>
        <w:rPr>
          <w:rFonts w:hint="eastAsia" w:ascii="仿宋_GB2312" w:eastAsia="仿宋_GB2312"/>
          <w:b/>
          <w:bCs/>
          <w:sz w:val="32"/>
          <w:szCs w:val="32"/>
        </w:rPr>
        <w:t>开展安置帮教</w:t>
      </w:r>
      <w:r>
        <w:rPr>
          <w:rFonts w:hint="eastAsia" w:ascii="仿宋_GB2312" w:eastAsia="仿宋_GB2312"/>
          <w:b/>
          <w:bCs/>
          <w:sz w:val="32"/>
          <w:szCs w:val="32"/>
          <w:lang w:eastAsia="zh-CN"/>
        </w:rPr>
        <w:t>，</w:t>
      </w:r>
      <w:r>
        <w:rPr>
          <w:rFonts w:hint="eastAsia" w:ascii="仿宋_GB2312" w:eastAsia="仿宋_GB2312"/>
          <w:b/>
          <w:bCs/>
          <w:sz w:val="32"/>
          <w:szCs w:val="32"/>
        </w:rPr>
        <w:t>执行社区矫正等工作职能</w:t>
      </w:r>
      <w:r>
        <w:rPr>
          <w:rFonts w:hint="eastAsia" w:ascii="仿宋_GB2312" w:eastAsia="仿宋_GB2312"/>
          <w:b/>
          <w:bCs/>
          <w:sz w:val="32"/>
          <w:szCs w:val="32"/>
          <w:lang w:eastAsia="zh-CN"/>
        </w:rPr>
        <w:t>。</w:t>
      </w:r>
      <w:r>
        <w:rPr>
          <w:rFonts w:hint="eastAsia" w:ascii="仿宋_GB2312" w:eastAsia="仿宋_GB2312"/>
          <w:b/>
          <w:bCs/>
          <w:sz w:val="32"/>
          <w:szCs w:val="32"/>
        </w:rPr>
        <w:t>20</w:t>
      </w:r>
      <w:r>
        <w:rPr>
          <w:rFonts w:hint="eastAsia" w:ascii="仿宋_GB2312" w:eastAsia="仿宋_GB2312"/>
          <w:b/>
          <w:bCs/>
          <w:sz w:val="32"/>
          <w:szCs w:val="32"/>
          <w:lang w:val="en-US" w:eastAsia="zh-CN"/>
        </w:rPr>
        <w:t>22</w:t>
      </w:r>
      <w:r>
        <w:rPr>
          <w:rFonts w:hint="eastAsia" w:ascii="仿宋_GB2312" w:eastAsia="仿宋_GB2312"/>
          <w:b/>
          <w:bCs/>
          <w:sz w:val="32"/>
          <w:szCs w:val="32"/>
        </w:rPr>
        <w:t>年以来，我局根据国务院《中华人民共和国政府信息公开条例》和济宁市人民政府办公室以及县政府关于政府信息公开工作的相关文件要求，对全局的工作职能、机构人员、服务范围、业务收费等情况进行了信息公开</w:t>
      </w:r>
      <w:r>
        <w:rPr>
          <w:rFonts w:hint="eastAsia" w:ascii="仿宋_GB2312" w:eastAsia="仿宋_GB2312"/>
          <w:b/>
          <w:bCs/>
          <w:sz w:val="32"/>
          <w:szCs w:val="32"/>
          <w:lang w:eastAsia="zh-CN"/>
        </w:rPr>
        <w:t>，</w:t>
      </w:r>
      <w:r>
        <w:rPr>
          <w:rFonts w:hint="eastAsia" w:ascii="仿宋_GB2312" w:eastAsia="仿宋_GB2312"/>
          <w:b/>
          <w:bCs/>
          <w:sz w:val="32"/>
          <w:szCs w:val="32"/>
        </w:rPr>
        <w:t>结合我局工作实际，认真梳理政府信息公开工作目标任务，采取有效措施，扎实有序地推进政府信息公开工作。</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ascii="方正仿宋简体" w:hAnsi="文星仿宋" w:eastAsia="方正仿宋简体" w:cs="方正仿宋简体"/>
          <w:b/>
          <w:bCs/>
          <w:color w:val="000000"/>
          <w:sz w:val="32"/>
          <w:szCs w:val="32"/>
        </w:rPr>
      </w:pPr>
      <w:r>
        <w:rPr>
          <w:rFonts w:hint="eastAsia" w:ascii="仿宋_GB2312" w:eastAsia="仿宋_GB2312" w:cs="Times New Roman"/>
          <w:b/>
          <w:bCs/>
          <w:sz w:val="32"/>
          <w:szCs w:val="32"/>
          <w:lang w:val="en-US" w:eastAsia="zh-CN"/>
        </w:rPr>
        <w:t>2022年，我局进一步加大信息公开力度，通过县政府网站、微信公众号、抖音等平台全年主动公开信息747条，同比增加76.6%。其中县政府网站主动公开信息35条，占总量的4.7%；发布微信公众号信息622条，占83.3%；抖音90条，占12%。</w:t>
      </w:r>
    </w:p>
    <w:p>
      <w:pPr>
        <w:spacing w:line="590" w:lineRule="exact"/>
        <w:ind w:right="-100" w:rightChars="-50" w:firstLine="400" w:firstLineChars="200"/>
        <w:rPr>
          <w:rFonts w:hint="eastAsia" w:ascii="方正楷体简体" w:eastAsia="方正楷体简体"/>
          <w:b/>
          <w:color w:val="000000"/>
          <w:sz w:val="32"/>
          <w:szCs w:val="32"/>
        </w:rPr>
      </w:pPr>
      <w:r>
        <w:drawing>
          <wp:anchor distT="0" distB="0" distL="114935" distR="114935" simplePos="0" relativeHeight="251659264" behindDoc="0" locked="0" layoutInCell="1" allowOverlap="1">
            <wp:simplePos x="0" y="0"/>
            <wp:positionH relativeFrom="column">
              <wp:posOffset>459105</wp:posOffset>
            </wp:positionH>
            <wp:positionV relativeFrom="paragraph">
              <wp:posOffset>9525</wp:posOffset>
            </wp:positionV>
            <wp:extent cx="4494530" cy="2463165"/>
            <wp:effectExtent l="0" t="0" r="1270" b="133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t="10519" r="1283"/>
                    <a:stretch>
                      <a:fillRect/>
                    </a:stretch>
                  </pic:blipFill>
                  <pic:spPr>
                    <a:xfrm>
                      <a:off x="0" y="0"/>
                      <a:ext cx="4494530" cy="2463165"/>
                    </a:xfrm>
                    <a:prstGeom prst="rect">
                      <a:avLst/>
                    </a:prstGeom>
                    <a:noFill/>
                    <a:ln>
                      <a:noFill/>
                    </a:ln>
                  </pic:spPr>
                </pic:pic>
              </a:graphicData>
            </a:graphic>
          </wp:anchor>
        </w:drawing>
      </w: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400" w:firstLineChars="200"/>
        <w:rPr>
          <w:rFonts w:hint="eastAsia" w:ascii="方正楷体简体" w:eastAsia="方正楷体简体"/>
          <w:b/>
          <w:color w:val="000000"/>
          <w:sz w:val="32"/>
          <w:szCs w:val="32"/>
        </w:rPr>
      </w:pPr>
      <w:r>
        <w:drawing>
          <wp:anchor distT="0" distB="0" distL="114935" distR="114935" simplePos="0" relativeHeight="251660288" behindDoc="0" locked="0" layoutInCell="1" allowOverlap="1">
            <wp:simplePos x="0" y="0"/>
            <wp:positionH relativeFrom="column">
              <wp:posOffset>487045</wp:posOffset>
            </wp:positionH>
            <wp:positionV relativeFrom="paragraph">
              <wp:posOffset>374650</wp:posOffset>
            </wp:positionV>
            <wp:extent cx="4457700" cy="2581275"/>
            <wp:effectExtent l="0" t="0" r="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457700" cy="2581275"/>
                    </a:xfrm>
                    <a:prstGeom prst="rect">
                      <a:avLst/>
                    </a:prstGeom>
                    <a:noFill/>
                    <a:ln>
                      <a:noFill/>
                    </a:ln>
                  </pic:spPr>
                </pic:pic>
              </a:graphicData>
            </a:graphic>
          </wp:anchor>
        </w:drawing>
      </w: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cs="Times New Roman"/>
          <w:b/>
          <w:bCs/>
          <w:sz w:val="32"/>
          <w:szCs w:val="32"/>
          <w:lang w:val="en-US" w:eastAsia="zh-CN"/>
        </w:rPr>
      </w:pPr>
      <w:r>
        <w:rPr>
          <w:rFonts w:hint="eastAsia" w:ascii="仿宋_GB2312" w:eastAsia="仿宋_GB2312" w:cs="Times New Roman"/>
          <w:b/>
          <w:bCs/>
          <w:sz w:val="32"/>
          <w:szCs w:val="32"/>
          <w:lang w:val="en-US" w:eastAsia="zh-CN"/>
        </w:rPr>
        <w:t>落实主要负责同志“第一解读人和责任人”制度，解读政策相关背景、依据、目的、举措等。通过“一把手述法”，以视频解读等方式及时准确传递政策意图。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textAlignment w:val="auto"/>
        <w:rPr>
          <w:rFonts w:hint="eastAsia" w:ascii="仿宋_GB2312" w:eastAsia="仿宋_GB2312" w:cs="Times New Roman"/>
          <w:b/>
          <w:bCs/>
          <w:sz w:val="32"/>
          <w:szCs w:val="32"/>
          <w:lang w:val="en-US" w:eastAsia="zh-CN"/>
        </w:rPr>
      </w:pPr>
      <w:r>
        <w:rPr>
          <w:rFonts w:ascii="宋体" w:hAnsi="宋体" w:eastAsia="宋体" w:cs="宋体"/>
          <w:sz w:val="24"/>
          <w:szCs w:val="24"/>
        </w:rPr>
        <w:drawing>
          <wp:anchor distT="0" distB="0" distL="114935" distR="114935" simplePos="0" relativeHeight="251668480" behindDoc="0" locked="0" layoutInCell="1" allowOverlap="1">
            <wp:simplePos x="0" y="0"/>
            <wp:positionH relativeFrom="column">
              <wp:posOffset>26035</wp:posOffset>
            </wp:positionH>
            <wp:positionV relativeFrom="paragraph">
              <wp:posOffset>113665</wp:posOffset>
            </wp:positionV>
            <wp:extent cx="5517515" cy="3124835"/>
            <wp:effectExtent l="0" t="0" r="6985" b="18415"/>
            <wp:wrapSquare wrapText="bothSides"/>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6"/>
                    <a:stretch>
                      <a:fillRect/>
                    </a:stretch>
                  </pic:blipFill>
                  <pic:spPr>
                    <a:xfrm>
                      <a:off x="0" y="0"/>
                      <a:ext cx="5517515" cy="3124835"/>
                    </a:xfrm>
                    <a:prstGeom prst="rect">
                      <a:avLst/>
                    </a:prstGeom>
                    <a:noFill/>
                    <a:ln w="9525">
                      <a:noFill/>
                    </a:ln>
                  </pic:spPr>
                </pic:pic>
              </a:graphicData>
            </a:graphic>
          </wp:anchor>
        </w:drawing>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cs="Times New Roman"/>
          <w:b/>
          <w:bCs/>
          <w:sz w:val="32"/>
          <w:szCs w:val="32"/>
          <w:lang w:val="en-US" w:eastAsia="zh-CN"/>
        </w:rPr>
      </w:pPr>
      <w:r>
        <w:rPr>
          <w:rFonts w:hint="eastAsia" w:ascii="仿宋_GB2312" w:eastAsia="仿宋_GB2312" w:cs="Times New Roman"/>
          <w:b/>
          <w:bCs/>
          <w:sz w:val="32"/>
          <w:szCs w:val="32"/>
          <w:lang w:val="en-US" w:eastAsia="zh-CN"/>
        </w:rPr>
        <w:t>根据新《条例》有关规定，我局不断规范依申请公开办理工作流程，准确把握信息公开申请办理时限，依法依规做好政府信息依申请公开工作。2022年，我局未收到依申请公开。</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cs="Times New Roman"/>
          <w:b/>
          <w:bCs/>
          <w:sz w:val="32"/>
          <w:szCs w:val="32"/>
          <w:lang w:val="en-US" w:eastAsia="zh-CN"/>
        </w:rPr>
      </w:pPr>
      <w:r>
        <w:rPr>
          <w:rFonts w:hint="eastAsia" w:ascii="仿宋_GB2312" w:eastAsia="仿宋_GB2312" w:cs="Times New Roman"/>
          <w:b/>
          <w:bCs/>
          <w:sz w:val="32"/>
          <w:szCs w:val="32"/>
          <w:lang w:val="en-US" w:eastAsia="zh-CN"/>
        </w:rPr>
        <w:t>一是加强政务公开组织领导。</w:t>
      </w:r>
      <w:r>
        <w:rPr>
          <w:rFonts w:hint="eastAsia" w:ascii="仿宋_GB2312" w:hAnsi="宋体" w:eastAsia="仿宋_GB2312" w:cs="宋体"/>
          <w:b/>
          <w:bCs/>
          <w:color w:val="000000"/>
          <w:kern w:val="0"/>
          <w:sz w:val="32"/>
          <w:szCs w:val="32"/>
          <w:lang w:val="en-US" w:eastAsia="zh-CN"/>
        </w:rPr>
        <w:t>以</w:t>
      </w:r>
      <w:r>
        <w:rPr>
          <w:rFonts w:hint="eastAsia" w:ascii="仿宋_GB2312" w:hAnsi="宋体" w:eastAsia="仿宋_GB2312" w:cs="宋体"/>
          <w:b/>
          <w:bCs/>
          <w:color w:val="000000"/>
          <w:kern w:val="0"/>
          <w:sz w:val="32"/>
          <w:szCs w:val="32"/>
        </w:rPr>
        <w:t>局主要领导为组长</w:t>
      </w:r>
      <w:r>
        <w:rPr>
          <w:rFonts w:hint="eastAsia" w:ascii="仿宋_GB2312" w:hAnsi="宋体" w:eastAsia="仿宋_GB2312" w:cs="宋体"/>
          <w:b/>
          <w:bCs/>
          <w:color w:val="000000"/>
          <w:kern w:val="0"/>
          <w:sz w:val="32"/>
          <w:szCs w:val="32"/>
          <w:lang w:eastAsia="zh-CN"/>
        </w:rPr>
        <w:t>，</w:t>
      </w:r>
      <w:r>
        <w:rPr>
          <w:rFonts w:hint="eastAsia" w:ascii="仿宋_GB2312" w:hAnsi="宋体" w:eastAsia="仿宋_GB2312" w:cs="宋体"/>
          <w:b/>
          <w:bCs/>
          <w:color w:val="000000"/>
          <w:kern w:val="0"/>
          <w:sz w:val="32"/>
          <w:szCs w:val="32"/>
        </w:rPr>
        <w:t>局政府信息公开工作领导小组负责本局政府信息公开工作的组织协调、综合指导和监督检查以及保密审查工作</w:t>
      </w:r>
      <w:r>
        <w:rPr>
          <w:rFonts w:hint="eastAsia" w:ascii="仿宋_GB2312" w:hAnsi="宋体" w:eastAsia="仿宋_GB2312" w:cs="宋体"/>
          <w:b/>
          <w:bCs/>
          <w:color w:val="000000"/>
          <w:kern w:val="0"/>
          <w:sz w:val="32"/>
          <w:szCs w:val="32"/>
          <w:lang w:val="en-US" w:eastAsia="zh-CN"/>
        </w:rPr>
        <w:t>。</w:t>
      </w:r>
      <w:r>
        <w:rPr>
          <w:rFonts w:hint="eastAsia" w:ascii="仿宋_GB2312" w:eastAsia="仿宋_GB2312" w:cs="Times New Roman"/>
          <w:b/>
          <w:bCs/>
          <w:sz w:val="32"/>
          <w:szCs w:val="32"/>
          <w:lang w:val="en-US" w:eastAsia="zh-CN"/>
        </w:rPr>
        <w:t>由办公室负责我局政务公开具体工作，并指导和监督各科室做好职责内的相关工作，确保政务公开工作正常开展。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cs="Times New Roman"/>
          <w:b/>
          <w:bCs/>
          <w:sz w:val="32"/>
          <w:szCs w:val="32"/>
          <w:lang w:val="en-US" w:eastAsia="zh-CN"/>
        </w:rPr>
      </w:pPr>
      <w:r>
        <w:rPr>
          <w:rFonts w:hint="eastAsia" w:ascii="仿宋_GB2312" w:eastAsia="仿宋_GB2312" w:cs="Times New Roman"/>
          <w:b/>
          <w:bCs/>
          <w:sz w:val="32"/>
          <w:szCs w:val="32"/>
          <w:lang w:val="en-US" w:eastAsia="zh-CN"/>
        </w:rPr>
        <w:t>二是建立健全政务公开机制。根据政府信息公开审查机制，按照“先审查，后公开”“一事一审”原则及保密审查的要求，结合我局公文制作和运转流程，将不宜公开的事项，依法进行存档、保管。经审查依法应当公开的事项，及时准确向社会公开，确保政府信息规范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cs="Times New Roman"/>
          <w:b/>
          <w:bCs/>
          <w:sz w:val="32"/>
          <w:szCs w:val="32"/>
          <w:lang w:val="en-US" w:eastAsia="zh-CN"/>
        </w:rPr>
      </w:pPr>
      <w:r>
        <w:rPr>
          <w:rFonts w:hint="eastAsia" w:ascii="仿宋_GB2312" w:eastAsia="仿宋_GB2312" w:cs="Times New Roman"/>
          <w:b/>
          <w:bCs/>
          <w:sz w:val="32"/>
          <w:szCs w:val="32"/>
          <w:lang w:val="en-US" w:eastAsia="zh-CN"/>
        </w:rPr>
        <w:t>三是细化任务压实责任。</w:t>
      </w:r>
      <w:r>
        <w:rPr>
          <w:rFonts w:hint="eastAsia" w:ascii="仿宋_GB2312" w:eastAsia="仿宋_GB2312"/>
          <w:b/>
          <w:bCs/>
          <w:sz w:val="32"/>
          <w:szCs w:val="32"/>
        </w:rPr>
        <w:t>制定了《汶上司法局政府信息公开办法》，明确、细化局机关各科室在政府信息公开工作的分工和职责</w:t>
      </w:r>
      <w:r>
        <w:rPr>
          <w:rFonts w:hint="eastAsia" w:ascii="仿宋_GB2312" w:eastAsia="仿宋_GB2312"/>
          <w:b/>
          <w:bCs/>
          <w:sz w:val="32"/>
          <w:szCs w:val="32"/>
          <w:lang w:eastAsia="zh-CN"/>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cs="Times New Roman"/>
          <w:b/>
          <w:bCs/>
          <w:sz w:val="32"/>
          <w:szCs w:val="32"/>
          <w:lang w:val="en-US" w:eastAsia="zh-CN"/>
        </w:rPr>
      </w:pPr>
      <w:r>
        <w:rPr>
          <w:rFonts w:hint="eastAsia" w:ascii="仿宋_GB2312" w:eastAsia="仿宋_GB2312"/>
          <w:b/>
          <w:bCs/>
          <w:sz w:val="32"/>
          <w:szCs w:val="32"/>
          <w:lang w:eastAsia="zh-CN"/>
        </w:rPr>
        <w:t>一是充分利用县政府网站。</w:t>
      </w:r>
      <w:r>
        <w:rPr>
          <w:rFonts w:hint="eastAsia" w:ascii="仿宋_GB2312" w:eastAsia="仿宋_GB2312" w:cs="Times New Roman"/>
          <w:b/>
          <w:bCs/>
          <w:sz w:val="32"/>
          <w:szCs w:val="32"/>
          <w:lang w:eastAsia="zh-CN"/>
        </w:rPr>
        <w:t>按照县政府网站政务公开目录，发布了机构职能、领导信息、政策文件、规划计划、行政权力、行政权力运行公开、重点领域信息公开等政府信息。</w:t>
      </w:r>
      <w:r>
        <w:rPr>
          <w:rFonts w:hint="eastAsia" w:ascii="仿宋_GB2312" w:eastAsia="仿宋_GB2312" w:cs="Times New Roman"/>
          <w:b/>
          <w:bCs/>
          <w:sz w:val="32"/>
          <w:szCs w:val="32"/>
          <w:lang w:val="en-US" w:eastAsia="zh-CN"/>
        </w:rPr>
        <w:t>2021年，我局在县政府网站发布政府信息35条。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eastAsia" w:ascii="仿宋_GB2312" w:eastAsia="仿宋_GB2312"/>
          <w:sz w:val="32"/>
          <w:szCs w:val="32"/>
          <w:lang w:val="en-US" w:eastAsia="zh-CN"/>
        </w:rPr>
      </w:pPr>
      <w:r>
        <w:rPr>
          <w:rFonts w:hint="eastAsia" w:ascii="仿宋_GB2312" w:eastAsia="仿宋_GB2312" w:cs="Times New Roman"/>
          <w:b/>
          <w:bCs/>
          <w:sz w:val="32"/>
          <w:szCs w:val="32"/>
          <w:lang w:val="en-US" w:eastAsia="zh-CN"/>
        </w:rPr>
        <w:t>二是持续推进新媒体建设。认清政务新媒体职责与作用，主动运用政务微信、抖音等主流、关注度高、影响力大的新媒体，充分发挥其传播快、覆盖广、社会渗透力强的优势，使得政府信息公开更加贴近群众，同时严格履行政务新媒体职责，遵守信息发布职责，及时更新内容，主要发布与职能相关信息，加大原创力度。2022年，我局</w:t>
      </w:r>
      <w:r>
        <w:rPr>
          <w:rFonts w:hint="eastAsia" w:ascii="仿宋_GB2312" w:eastAsia="仿宋_GB2312"/>
          <w:b/>
          <w:bCs/>
          <w:sz w:val="32"/>
          <w:szCs w:val="32"/>
          <w:lang w:val="en-US" w:eastAsia="zh-CN"/>
        </w:rPr>
        <w:t>发布微信公众号信息622条、抖音90条。</w:t>
      </w:r>
    </w:p>
    <w:p>
      <w:pPr>
        <w:spacing w:line="590" w:lineRule="exact"/>
        <w:ind w:right="-100" w:rightChars="-50" w:firstLine="400" w:firstLineChars="200"/>
        <w:rPr>
          <w:rFonts w:hint="eastAsia" w:ascii="方正楷体简体" w:eastAsia="方正楷体简体"/>
          <w:b/>
          <w:color w:val="000000"/>
          <w:sz w:val="32"/>
          <w:szCs w:val="32"/>
        </w:rPr>
      </w:pPr>
      <w:r>
        <w:drawing>
          <wp:anchor distT="0" distB="0" distL="114935" distR="114935" simplePos="0" relativeHeight="251661312" behindDoc="0" locked="0" layoutInCell="1" allowOverlap="1">
            <wp:simplePos x="0" y="0"/>
            <wp:positionH relativeFrom="column">
              <wp:posOffset>95250</wp:posOffset>
            </wp:positionH>
            <wp:positionV relativeFrom="paragraph">
              <wp:posOffset>46990</wp:posOffset>
            </wp:positionV>
            <wp:extent cx="5274310" cy="4193540"/>
            <wp:effectExtent l="0" t="0" r="2540" b="1651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74310" cy="4193540"/>
                    </a:xfrm>
                    <a:prstGeom prst="rect">
                      <a:avLst/>
                    </a:prstGeom>
                    <a:noFill/>
                    <a:ln>
                      <a:noFill/>
                    </a:ln>
                  </pic:spPr>
                </pic:pic>
              </a:graphicData>
            </a:graphic>
          </wp:anchor>
        </w:drawing>
      </w: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lang w:eastAsia="zh-CN"/>
        </w:rPr>
        <w:drawing>
          <wp:anchor distT="0" distB="0" distL="114935" distR="114935" simplePos="0" relativeHeight="251664384" behindDoc="0" locked="0" layoutInCell="1" allowOverlap="1">
            <wp:simplePos x="0" y="0"/>
            <wp:positionH relativeFrom="column">
              <wp:posOffset>251460</wp:posOffset>
            </wp:positionH>
            <wp:positionV relativeFrom="paragraph">
              <wp:posOffset>5538470</wp:posOffset>
            </wp:positionV>
            <wp:extent cx="5087620" cy="2633345"/>
            <wp:effectExtent l="0" t="0" r="17780" b="14605"/>
            <wp:wrapSquare wrapText="bothSides"/>
            <wp:docPr id="6" name="图片 6" descr="3b24d79297d2fea07607b9d5b4d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b24d79297d2fea07607b9d5b4d7545"/>
                    <pic:cNvPicPr>
                      <a:picLocks noChangeAspect="1"/>
                    </pic:cNvPicPr>
                  </pic:nvPicPr>
                  <pic:blipFill>
                    <a:blip r:embed="rId8"/>
                    <a:stretch>
                      <a:fillRect/>
                    </a:stretch>
                  </pic:blipFill>
                  <pic:spPr>
                    <a:xfrm>
                      <a:off x="0" y="0"/>
                      <a:ext cx="5087620" cy="2633345"/>
                    </a:xfrm>
                    <a:prstGeom prst="rect">
                      <a:avLst/>
                    </a:prstGeom>
                  </pic:spPr>
                </pic:pic>
              </a:graphicData>
            </a:graphic>
          </wp:anchor>
        </w:drawing>
      </w:r>
    </w:p>
    <w:p>
      <w:pPr>
        <w:spacing w:line="590" w:lineRule="exact"/>
        <w:ind w:right="-100" w:rightChars="-50" w:firstLine="643" w:firstLineChars="200"/>
        <w:rPr>
          <w:rFonts w:hint="eastAsia" w:ascii="方正楷体简体" w:eastAsia="方正楷体简体"/>
          <w:b/>
          <w:color w:val="000000"/>
          <w:sz w:val="32"/>
          <w:szCs w:val="32"/>
        </w:rPr>
      </w:pPr>
      <w:r>
        <w:rPr>
          <w:rFonts w:hint="eastAsia" w:ascii="方正仿宋简体" w:eastAsia="方正仿宋简体"/>
          <w:b/>
          <w:color w:val="000000"/>
          <w:sz w:val="32"/>
          <w:szCs w:val="32"/>
        </w:rPr>
        <w:drawing>
          <wp:anchor distT="0" distB="0" distL="114935" distR="114935" simplePos="0" relativeHeight="251663360" behindDoc="0" locked="0" layoutInCell="1" allowOverlap="1">
            <wp:simplePos x="0" y="0"/>
            <wp:positionH relativeFrom="column">
              <wp:posOffset>2814955</wp:posOffset>
            </wp:positionH>
            <wp:positionV relativeFrom="paragraph">
              <wp:posOffset>80645</wp:posOffset>
            </wp:positionV>
            <wp:extent cx="2498090" cy="5407660"/>
            <wp:effectExtent l="0" t="0" r="16510" b="2540"/>
            <wp:wrapSquare wrapText="bothSides"/>
            <wp:docPr id="5" name="图片 5" descr="b21676d6fd4af3421438a88c0fe9c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21676d6fd4af3421438a88c0fe9cfd"/>
                    <pic:cNvPicPr>
                      <a:picLocks noChangeAspect="1"/>
                    </pic:cNvPicPr>
                  </pic:nvPicPr>
                  <pic:blipFill>
                    <a:blip r:embed="rId9"/>
                    <a:stretch>
                      <a:fillRect/>
                    </a:stretch>
                  </pic:blipFill>
                  <pic:spPr>
                    <a:xfrm>
                      <a:off x="0" y="0"/>
                      <a:ext cx="2498090" cy="5407660"/>
                    </a:xfrm>
                    <a:prstGeom prst="rect">
                      <a:avLst/>
                    </a:prstGeom>
                  </pic:spPr>
                </pic:pic>
              </a:graphicData>
            </a:graphic>
          </wp:anchor>
        </w:drawing>
      </w:r>
      <w:r>
        <w:rPr>
          <w:rFonts w:hint="eastAsia" w:ascii="方正楷体简体" w:eastAsia="方正楷体简体"/>
          <w:b/>
          <w:color w:val="000000"/>
          <w:sz w:val="32"/>
          <w:szCs w:val="32"/>
          <w:lang w:eastAsia="zh-CN"/>
        </w:rPr>
        <w:drawing>
          <wp:anchor distT="0" distB="0" distL="114935" distR="114935" simplePos="0" relativeHeight="251662336" behindDoc="0" locked="0" layoutInCell="1" allowOverlap="1">
            <wp:simplePos x="0" y="0"/>
            <wp:positionH relativeFrom="column">
              <wp:posOffset>277495</wp:posOffset>
            </wp:positionH>
            <wp:positionV relativeFrom="paragraph">
              <wp:posOffset>64135</wp:posOffset>
            </wp:positionV>
            <wp:extent cx="2519045" cy="5459095"/>
            <wp:effectExtent l="0" t="0" r="14605" b="8255"/>
            <wp:wrapSquare wrapText="bothSides"/>
            <wp:docPr id="4" name="图片 4" descr="8e6c147d6d67c518b2136f195ff5b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e6c147d6d67c518b2136f195ff5b5a"/>
                    <pic:cNvPicPr>
                      <a:picLocks noChangeAspect="1"/>
                    </pic:cNvPicPr>
                  </pic:nvPicPr>
                  <pic:blipFill>
                    <a:blip r:embed="rId10"/>
                    <a:stretch>
                      <a:fillRect/>
                    </a:stretch>
                  </pic:blipFill>
                  <pic:spPr>
                    <a:xfrm>
                      <a:off x="0" y="0"/>
                      <a:ext cx="2519045" cy="5459095"/>
                    </a:xfrm>
                    <a:prstGeom prst="rect">
                      <a:avLst/>
                    </a:prstGeom>
                  </pic:spPr>
                </pic:pic>
              </a:graphicData>
            </a:graphic>
          </wp:anchor>
        </w:drawing>
      </w:r>
    </w:p>
    <w:p>
      <w:pPr>
        <w:spacing w:line="590" w:lineRule="exact"/>
        <w:ind w:right="-100" w:rightChars="-50" w:firstLine="643"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仿宋_GB2312" w:eastAsia="仿宋_GB2312" w:cs="Times New Roman"/>
          <w:b/>
          <w:bCs/>
          <w:sz w:val="32"/>
          <w:szCs w:val="32"/>
        </w:rPr>
      </w:pPr>
      <w:r>
        <w:rPr>
          <w:rFonts w:hint="eastAsia" w:ascii="仿宋_GB2312" w:eastAsia="仿宋_GB2312" w:cs="Times New Roman"/>
          <w:b/>
          <w:bCs/>
          <w:sz w:val="32"/>
          <w:szCs w:val="32"/>
          <w:lang w:eastAsia="zh-CN"/>
        </w:rPr>
        <w:t>一是</w:t>
      </w:r>
      <w:r>
        <w:rPr>
          <w:rFonts w:hint="eastAsia" w:ascii="仿宋_GB2312" w:eastAsia="仿宋_GB2312" w:cs="Times New Roman"/>
          <w:b/>
          <w:bCs/>
          <w:sz w:val="32"/>
          <w:szCs w:val="32"/>
        </w:rPr>
        <w:t>扎实开展培训工作。通过观看录像、以会代训等形式，分批次、分层次，对全局干部和各部门具体经办人员进行了培训。</w:t>
      </w:r>
    </w:p>
    <w:p>
      <w:pPr>
        <w:spacing w:line="590" w:lineRule="exact"/>
        <w:ind w:right="-100" w:rightChars="-50" w:firstLine="643" w:firstLineChars="200"/>
        <w:rPr>
          <w:rFonts w:hint="eastAsia" w:ascii="仿宋_GB2312" w:eastAsia="仿宋_GB2312" w:cs="Times New Roman"/>
          <w:b/>
          <w:bCs/>
          <w:sz w:val="32"/>
          <w:szCs w:val="32"/>
        </w:rPr>
      </w:pPr>
      <w:r>
        <w:rPr>
          <w:rFonts w:hint="eastAsia" w:ascii="仿宋_GB2312" w:eastAsia="仿宋_GB2312" w:cs="Times New Roman"/>
          <w:b/>
          <w:bCs/>
          <w:sz w:val="32"/>
          <w:szCs w:val="32"/>
          <w:lang w:eastAsia="zh-CN"/>
        </w:rPr>
        <w:t>二是</w:t>
      </w:r>
      <w:r>
        <w:rPr>
          <w:rFonts w:hint="eastAsia" w:ascii="仿宋_GB2312" w:eastAsia="仿宋_GB2312" w:cs="Times New Roman"/>
          <w:b/>
          <w:bCs/>
          <w:sz w:val="32"/>
          <w:szCs w:val="32"/>
        </w:rPr>
        <w:t>强化制度保障</w:t>
      </w:r>
      <w:r>
        <w:rPr>
          <w:rFonts w:hint="eastAsia" w:ascii="仿宋_GB2312" w:eastAsia="仿宋_GB2312" w:cs="Times New Roman"/>
          <w:b/>
          <w:bCs/>
          <w:sz w:val="32"/>
          <w:szCs w:val="32"/>
          <w:lang w:eastAsia="zh-CN"/>
        </w:rPr>
        <w:t>。</w:t>
      </w:r>
      <w:r>
        <w:rPr>
          <w:rFonts w:hint="eastAsia" w:ascii="仿宋_GB2312" w:eastAsia="仿宋_GB2312" w:cs="Times New Roman"/>
          <w:b/>
          <w:bCs/>
          <w:sz w:val="32"/>
          <w:szCs w:val="32"/>
        </w:rPr>
        <w:t>规范主动公开、依申请公开流程，明确各处室工作职责和任务分工。</w:t>
      </w:r>
    </w:p>
    <w:p>
      <w:pPr>
        <w:spacing w:line="590" w:lineRule="exact"/>
        <w:ind w:right="-100" w:rightChars="-50" w:firstLine="643" w:firstLineChars="200"/>
        <w:rPr>
          <w:rFonts w:hint="eastAsia" w:ascii="仿宋_GB2312" w:hAnsi="宋体" w:eastAsia="仿宋_GB2312" w:cs="仿宋_GB2312"/>
          <w:b/>
          <w:bCs/>
          <w:i w:val="0"/>
          <w:iCs w:val="0"/>
          <w:caps w:val="0"/>
          <w:color w:val="000000"/>
          <w:spacing w:val="0"/>
          <w:sz w:val="32"/>
          <w:szCs w:val="32"/>
        </w:rPr>
      </w:pPr>
      <w:r>
        <w:rPr>
          <w:rFonts w:hint="eastAsia" w:ascii="仿宋_GB2312" w:hAnsi="宋体" w:eastAsia="仿宋_GB2312" w:cs="仿宋_GB2312"/>
          <w:b/>
          <w:bCs/>
          <w:i w:val="0"/>
          <w:iCs w:val="0"/>
          <w:caps w:val="0"/>
          <w:color w:val="000000"/>
          <w:spacing w:val="0"/>
          <w:sz w:val="32"/>
          <w:szCs w:val="32"/>
          <w:lang w:eastAsia="zh-CN"/>
        </w:rPr>
        <w:drawing>
          <wp:anchor distT="0" distB="0" distL="114935" distR="114935" simplePos="0" relativeHeight="251665408" behindDoc="0" locked="0" layoutInCell="1" allowOverlap="1">
            <wp:simplePos x="0" y="0"/>
            <wp:positionH relativeFrom="column">
              <wp:posOffset>267970</wp:posOffset>
            </wp:positionH>
            <wp:positionV relativeFrom="paragraph">
              <wp:posOffset>1139825</wp:posOffset>
            </wp:positionV>
            <wp:extent cx="5269865" cy="4353560"/>
            <wp:effectExtent l="0" t="0" r="6985" b="8890"/>
            <wp:wrapSquare wrapText="bothSides"/>
            <wp:docPr id="7" name="图片 7" descr="7efc88dbc83733efa5223bc1f56f2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efc88dbc83733efa5223bc1f56f2de"/>
                    <pic:cNvPicPr>
                      <a:picLocks noChangeAspect="1"/>
                    </pic:cNvPicPr>
                  </pic:nvPicPr>
                  <pic:blipFill>
                    <a:blip r:embed="rId11"/>
                    <a:stretch>
                      <a:fillRect/>
                    </a:stretch>
                  </pic:blipFill>
                  <pic:spPr>
                    <a:xfrm>
                      <a:off x="0" y="0"/>
                      <a:ext cx="5269865" cy="4353560"/>
                    </a:xfrm>
                    <a:prstGeom prst="rect">
                      <a:avLst/>
                    </a:prstGeom>
                  </pic:spPr>
                </pic:pic>
              </a:graphicData>
            </a:graphic>
          </wp:anchor>
        </w:drawing>
      </w:r>
      <w:r>
        <w:rPr>
          <w:rFonts w:hint="eastAsia" w:ascii="仿宋_GB2312" w:eastAsia="仿宋_GB2312"/>
          <w:b/>
          <w:bCs/>
          <w:sz w:val="32"/>
          <w:szCs w:val="32"/>
          <w:lang w:eastAsia="zh-CN"/>
        </w:rPr>
        <w:t>三是完善考核机制。健全</w:t>
      </w:r>
      <w:r>
        <w:rPr>
          <w:rFonts w:hint="eastAsia" w:ascii="仿宋_GB2312" w:eastAsia="仿宋_GB2312" w:cs="Times New Roman"/>
          <w:b/>
          <w:bCs/>
          <w:sz w:val="32"/>
          <w:szCs w:val="32"/>
        </w:rPr>
        <w:t>信息公开督查考核</w:t>
      </w:r>
      <w:r>
        <w:rPr>
          <w:rFonts w:hint="eastAsia" w:ascii="仿宋_GB2312" w:eastAsia="仿宋_GB2312" w:cs="Times New Roman"/>
          <w:b/>
          <w:bCs/>
          <w:sz w:val="32"/>
          <w:szCs w:val="32"/>
          <w:lang w:eastAsia="zh-CN"/>
        </w:rPr>
        <w:t>制度，</w:t>
      </w:r>
      <w:r>
        <w:rPr>
          <w:rFonts w:ascii="仿宋_GB2312" w:hAnsi="宋体" w:eastAsia="仿宋_GB2312" w:cs="仿宋_GB2312"/>
          <w:b/>
          <w:bCs/>
          <w:i w:val="0"/>
          <w:iCs w:val="0"/>
          <w:caps w:val="0"/>
          <w:color w:val="000000"/>
          <w:spacing w:val="0"/>
          <w:sz w:val="32"/>
          <w:szCs w:val="32"/>
        </w:rPr>
        <w:t>按照</w:t>
      </w:r>
      <w:r>
        <w:rPr>
          <w:rFonts w:hint="eastAsia" w:ascii="仿宋_GB2312" w:hAnsi="宋体" w:eastAsia="仿宋_GB2312" w:cs="仿宋_GB2312"/>
          <w:b/>
          <w:bCs/>
          <w:i w:val="0"/>
          <w:iCs w:val="0"/>
          <w:caps w:val="0"/>
          <w:color w:val="000000"/>
          <w:spacing w:val="0"/>
          <w:sz w:val="32"/>
          <w:szCs w:val="32"/>
        </w:rPr>
        <w:t>各科室职能分工，强化具体责任，考核结果与个人年度考核挂钩。</w:t>
      </w:r>
    </w:p>
    <w:p>
      <w:pPr>
        <w:spacing w:line="590" w:lineRule="exact"/>
        <w:ind w:right="-100" w:rightChars="-50" w:firstLine="643" w:firstLineChars="200"/>
        <w:rPr>
          <w:rFonts w:hint="eastAsia" w:ascii="仿宋_GB2312" w:hAnsi="宋体" w:eastAsia="仿宋_GB2312" w:cs="仿宋_GB2312"/>
          <w:b/>
          <w:bCs/>
          <w:i w:val="0"/>
          <w:iCs w:val="0"/>
          <w:caps w:val="0"/>
          <w:color w:val="000000"/>
          <w:spacing w:val="0"/>
          <w:sz w:val="32"/>
          <w:szCs w:val="32"/>
          <w:lang w:eastAsia="zh-CN"/>
        </w:rPr>
      </w:pPr>
    </w:p>
    <w:p>
      <w:pPr>
        <w:spacing w:line="590" w:lineRule="exact"/>
        <w:ind w:right="-100" w:rightChars="-50" w:firstLine="643" w:firstLineChars="200"/>
        <w:rPr>
          <w:rFonts w:hint="eastAsia" w:ascii="仿宋_GB2312" w:hAnsi="宋体" w:eastAsia="仿宋_GB2312" w:cs="仿宋_GB2312"/>
          <w:b/>
          <w:bCs/>
          <w:i w:val="0"/>
          <w:iCs w:val="0"/>
          <w:caps w:val="0"/>
          <w:color w:val="000000"/>
          <w:spacing w:val="0"/>
          <w:sz w:val="32"/>
          <w:szCs w:val="32"/>
        </w:rPr>
      </w:pPr>
    </w:p>
    <w:p>
      <w:pPr>
        <w:spacing w:line="590" w:lineRule="exact"/>
        <w:ind w:right="-100" w:rightChars="-50" w:firstLine="643" w:firstLineChars="200"/>
        <w:rPr>
          <w:rFonts w:hint="eastAsia" w:ascii="方正黑体简体" w:eastAsia="方正黑体简体"/>
          <w:b/>
          <w:color w:val="000000"/>
          <w:sz w:val="32"/>
          <w:szCs w:val="32"/>
        </w:rPr>
      </w:pPr>
      <w:r>
        <w:rPr>
          <w:rFonts w:hint="eastAsia" w:ascii="仿宋_GB2312" w:hAnsi="宋体" w:eastAsia="仿宋_GB2312" w:cs="仿宋_GB2312"/>
          <w:b/>
          <w:bCs/>
          <w:i w:val="0"/>
          <w:iCs w:val="0"/>
          <w:caps w:val="0"/>
          <w:color w:val="000000"/>
          <w:spacing w:val="0"/>
          <w:sz w:val="32"/>
          <w:szCs w:val="32"/>
          <w:lang w:eastAsia="zh-CN"/>
        </w:rPr>
        <w:drawing>
          <wp:anchor distT="0" distB="0" distL="114935" distR="114935" simplePos="0" relativeHeight="251666432" behindDoc="0" locked="0" layoutInCell="1" allowOverlap="1">
            <wp:simplePos x="0" y="0"/>
            <wp:positionH relativeFrom="column">
              <wp:posOffset>113665</wp:posOffset>
            </wp:positionH>
            <wp:positionV relativeFrom="paragraph">
              <wp:posOffset>4906645</wp:posOffset>
            </wp:positionV>
            <wp:extent cx="4921885" cy="3944620"/>
            <wp:effectExtent l="0" t="0" r="12065" b="17780"/>
            <wp:wrapSquare wrapText="bothSides"/>
            <wp:docPr id="8" name="图片 8" descr="9e18d0589eefa062f45a8c3d06c57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e18d0589eefa062f45a8c3d06c57d2"/>
                    <pic:cNvPicPr>
                      <a:picLocks noChangeAspect="1"/>
                    </pic:cNvPicPr>
                  </pic:nvPicPr>
                  <pic:blipFill>
                    <a:blip r:embed="rId12"/>
                    <a:stretch>
                      <a:fillRect/>
                    </a:stretch>
                  </pic:blipFill>
                  <pic:spPr>
                    <a:xfrm>
                      <a:off x="0" y="0"/>
                      <a:ext cx="4921885" cy="3944620"/>
                    </a:xfrm>
                    <a:prstGeom prst="rect">
                      <a:avLst/>
                    </a:prstGeom>
                  </pic:spPr>
                </pic:pic>
              </a:graphicData>
            </a:graphic>
          </wp:anchor>
        </w:drawing>
      </w:r>
      <w:r>
        <w:rPr>
          <w:rFonts w:hint="eastAsia" w:ascii="仿宋_GB2312" w:hAnsi="宋体" w:eastAsia="仿宋_GB2312" w:cs="仿宋_GB2312"/>
          <w:b/>
          <w:bCs/>
          <w:i w:val="0"/>
          <w:iCs w:val="0"/>
          <w:caps w:val="0"/>
          <w:color w:val="000000"/>
          <w:spacing w:val="0"/>
          <w:sz w:val="32"/>
          <w:szCs w:val="32"/>
          <w:lang w:eastAsia="zh-CN"/>
        </w:rPr>
        <w:drawing>
          <wp:anchor distT="0" distB="0" distL="114935" distR="114935" simplePos="0" relativeHeight="251667456" behindDoc="0" locked="0" layoutInCell="1" allowOverlap="1">
            <wp:simplePos x="0" y="0"/>
            <wp:positionH relativeFrom="column">
              <wp:posOffset>8255</wp:posOffset>
            </wp:positionH>
            <wp:positionV relativeFrom="paragraph">
              <wp:posOffset>227330</wp:posOffset>
            </wp:positionV>
            <wp:extent cx="5122545" cy="4465955"/>
            <wp:effectExtent l="0" t="0" r="1905" b="10795"/>
            <wp:wrapSquare wrapText="bothSides"/>
            <wp:docPr id="9" name="图片 9" descr="b5436dae75a2fd9c5dd6fce7b38f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5436dae75a2fd9c5dd6fce7b38f981"/>
                    <pic:cNvPicPr>
                      <a:picLocks noChangeAspect="1"/>
                    </pic:cNvPicPr>
                  </pic:nvPicPr>
                  <pic:blipFill>
                    <a:blip r:embed="rId13"/>
                    <a:stretch>
                      <a:fillRect/>
                    </a:stretch>
                  </pic:blipFill>
                  <pic:spPr>
                    <a:xfrm>
                      <a:off x="0" y="0"/>
                      <a:ext cx="5122545" cy="4465955"/>
                    </a:xfrm>
                    <a:prstGeom prst="rect">
                      <a:avLst/>
                    </a:prstGeom>
                  </pic:spPr>
                </pic:pic>
              </a:graphicData>
            </a:graphic>
          </wp:anchor>
        </w:drawing>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0"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8"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7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5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21" w:type="dxa"/>
            <w:noWrap w:val="0"/>
            <w:tcMar>
              <w:left w:w="57" w:type="dxa"/>
              <w:right w:w="57" w:type="dxa"/>
            </w:tcMar>
            <w:vAlign w:val="top"/>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both"/>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both"/>
              <w:rPr>
                <w:rFonts w:hint="eastAsia" w:ascii="方正仿宋简体" w:hAnsi="Calibri" w:eastAsia="方正仿宋简体" w:cs="Calibri"/>
                <w:b/>
                <w:sz w:val="21"/>
                <w:szCs w:val="21"/>
                <w:lang w:val="en-US" w:eastAsia="zh-CN" w:bidi="ar"/>
              </w:rPr>
            </w:pPr>
          </w:p>
          <w:p>
            <w:pPr>
              <w:widowControl/>
              <w:spacing w:line="300" w:lineRule="exact"/>
              <w:ind w:firstLine="211" w:firstLineChars="100"/>
              <w:jc w:val="both"/>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0"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8"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7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5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21" w:type="dxa"/>
            <w:noWrap w:val="0"/>
            <w:tcMar>
              <w:left w:w="57" w:type="dxa"/>
              <w:right w:w="57" w:type="dxa"/>
            </w:tcMar>
            <w:vAlign w:val="top"/>
          </w:tcPr>
          <w:p>
            <w:pPr>
              <w:widowControl/>
              <w:spacing w:line="340" w:lineRule="exact"/>
              <w:ind w:firstLine="241" w:firstLineChars="100"/>
              <w:jc w:val="both"/>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0"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8"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7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5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21" w:type="dxa"/>
            <w:noWrap w:val="0"/>
            <w:tcMar>
              <w:left w:w="57" w:type="dxa"/>
              <w:right w:w="57" w:type="dxa"/>
            </w:tcMar>
            <w:vAlign w:val="top"/>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0"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8"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7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5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21" w:type="dxa"/>
            <w:noWrap w:val="0"/>
            <w:tcMar>
              <w:left w:w="57" w:type="dxa"/>
              <w:right w:w="57" w:type="dxa"/>
            </w:tcMar>
            <w:vAlign w:val="top"/>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0"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98"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71"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59" w:type="dxa"/>
            <w:noWrap w:val="0"/>
            <w:tcMar>
              <w:left w:w="57" w:type="dxa"/>
              <w:right w:w="57" w:type="dxa"/>
            </w:tcMar>
            <w:vAlign w:val="center"/>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c>
          <w:tcPr>
            <w:tcW w:w="521" w:type="dxa"/>
            <w:noWrap w:val="0"/>
            <w:tcMar>
              <w:left w:w="57" w:type="dxa"/>
              <w:right w:w="57" w:type="dxa"/>
            </w:tcMar>
            <w:vAlign w:val="top"/>
          </w:tcPr>
          <w:p>
            <w:pPr>
              <w:widowControl/>
              <w:spacing w:line="340" w:lineRule="exact"/>
              <w:jc w:val="center"/>
              <w:rPr>
                <w:rFonts w:hint="eastAsia" w:ascii="方正仿宋简体" w:hAnsi="宋体" w:eastAsia="方正仿宋简体" w:cs="宋体"/>
                <w:b/>
                <w:sz w:val="24"/>
                <w:szCs w:val="24"/>
                <w:lang w:val="en-US" w:eastAsia="zh-CN" w:bidi="ar"/>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spacing w:line="300" w:lineRule="exact"/>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both"/>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仿宋_GB2312" w:hAnsi="仿宋_GB2312" w:eastAsia="仿宋_GB2312" w:cs="仿宋_GB2312"/>
          <w:b/>
          <w:bCs/>
          <w:sz w:val="32"/>
          <w:szCs w:val="32"/>
        </w:rPr>
      </w:pPr>
      <w:r>
        <w:rPr>
          <w:rFonts w:hint="eastAsia" w:ascii="方正仿宋简体" w:eastAsia="方正仿宋简体"/>
          <w:b/>
          <w:sz w:val="32"/>
          <w:szCs w:val="32"/>
          <w:lang w:val="en-US" w:eastAsia="zh-CN"/>
        </w:rPr>
        <w:t>2021年我局存在的主要问题主要是来源存在缺口、内容单一，具体为</w:t>
      </w:r>
      <w:r>
        <w:rPr>
          <w:rFonts w:hint="eastAsia" w:ascii="仿宋_GB2312" w:hAnsi="仿宋_GB2312" w:eastAsia="仿宋_GB2312" w:cs="仿宋_GB2312"/>
          <w:b/>
          <w:bCs/>
          <w:sz w:val="32"/>
          <w:szCs w:val="32"/>
        </w:rPr>
        <w:t>部分事项信息涉密，无权限进行事项公开，信息也多来源各办公室常规性总结和业务总结，其他审核、审批、办事指南类信息公开较少。公开内容未实现全覆盖，内容单一；内容更新不及时，不能满足群众需要</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2022年我局加强学习研讨，对局属各单位、局机关各科室进行信息发布培训，拓宽信息渠道、丰富内容</w:t>
      </w:r>
      <w:r>
        <w:rPr>
          <w:rFonts w:hint="eastAsia" w:ascii="仿宋_GB2312" w:hAnsi="仿宋_GB2312" w:eastAsia="仿宋_GB2312" w:cs="仿宋_GB2312"/>
          <w:b/>
          <w:bCs/>
          <w:sz w:val="32"/>
          <w:szCs w:val="32"/>
        </w:rPr>
        <w:t>；政务服务事项、办事指南、办事流程、办事窗口等</w:t>
      </w:r>
      <w:r>
        <w:rPr>
          <w:rFonts w:hint="eastAsia" w:ascii="仿宋_GB2312" w:hAnsi="仿宋_GB2312" w:eastAsia="仿宋_GB2312" w:cs="仿宋_GB2312"/>
          <w:b/>
          <w:bCs/>
          <w:sz w:val="32"/>
          <w:szCs w:val="32"/>
          <w:lang w:val="en-US" w:eastAsia="zh-CN"/>
        </w:rPr>
        <w:t>流程信息</w:t>
      </w:r>
      <w:r>
        <w:rPr>
          <w:rFonts w:hint="eastAsia" w:ascii="仿宋_GB2312" w:hAnsi="仿宋_GB2312" w:eastAsia="仿宋_GB2312" w:cs="仿宋_GB2312"/>
          <w:b/>
          <w:bCs/>
          <w:sz w:val="32"/>
          <w:szCs w:val="32"/>
        </w:rPr>
        <w:t>及时通过线上线下全面准确公开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打通服务群众的“最后一公里”。</w:t>
      </w:r>
    </w:p>
    <w:p>
      <w:pPr>
        <w:spacing w:line="590" w:lineRule="exact"/>
        <w:ind w:right="-100" w:rightChars="-50"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年，我局政府信息公开工作虽然取得了一定的成效，但</w:t>
      </w:r>
      <w:r>
        <w:rPr>
          <w:rFonts w:hint="eastAsia" w:ascii="仿宋_GB2312" w:hAnsi="仿宋_GB2312" w:eastAsia="仿宋_GB2312" w:cs="仿宋_GB2312"/>
          <w:b/>
          <w:bCs/>
          <w:sz w:val="32"/>
          <w:szCs w:val="32"/>
          <w:lang w:val="en-US" w:eastAsia="zh-CN"/>
        </w:rPr>
        <w:t>与公众需求还存在一定差距，公开内容的全面性、便民性以及创新工作等方面都还需要在今后的工作中改进。为此，我局决定在以下几方面开展工作：一是进一步加强对网络管理人员的业务培训，经常与县政府信息公开负责同志保持联络，邀请相关人员进行全员网络知识培训，做到熟练掌握应用，提高信息公开工作效率；二是争取探索结合我局实际的单位部门联动机制，以便及时有效完成工作。</w:t>
      </w:r>
    </w:p>
    <w:p>
      <w:pPr>
        <w:numPr>
          <w:ilvl w:val="0"/>
          <w:numId w:val="1"/>
        </w:numPr>
        <w:spacing w:line="590" w:lineRule="exact"/>
        <w:ind w:right="-100" w:rightChars="-50" w:firstLine="643" w:firstLineChars="200"/>
        <w:rPr>
          <w:rFonts w:hint="eastAsia" w:ascii="方正黑体简体" w:eastAsia="方正黑体简体"/>
          <w:b/>
          <w:sz w:val="32"/>
          <w:szCs w:val="32"/>
        </w:rPr>
      </w:pPr>
      <w:r>
        <w:rPr>
          <w:rFonts w:hint="eastAsia" w:ascii="方正黑体简体" w:eastAsia="方正黑体简体"/>
          <w:b/>
          <w:sz w:val="32"/>
          <w:szCs w:val="32"/>
        </w:rPr>
        <w:t>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依据《政府信息公开信息处理费管理办法》，汶上县司法局202</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年没有收取信息处理费情况。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我局社区矫正、安置帮教等工作信息，属于涉密范围，依法不能予以公开。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2022年，汶上县司法局认真落实上级关于政务公开工作的各项要求。根据汶上县人民政府办公室《关于印发2022年汶上县政务公开工作任务分解表的通知》（汶政办字〔2022〕15号）精神，制定我局2022年政务公开工作要点，落实责任分工。各科室将政务公开重点工作及时在政府网站进行了公开，有效指导推进我局全年政务公开工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（四）政务公开工作创新情况。创新开展“一把手”电视述法活动，主要负责同志解读政策相关背景、依据、目的、举措等。通过“一把手述法”，以视频解读等方式及时准确传递政策意图。</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00"/>
    <w:family w:val="auto"/>
    <w:pitch w:val="default"/>
    <w:sig w:usb0="00000000" w:usb1="00000000" w:usb2="0000001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5BDB5"/>
    <w:multiLevelType w:val="singleLevel"/>
    <w:tmpl w:val="1D15BDB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hZjg3ZmFhN2JhZjhhZDk4MTNhYWMwNTZiMzg0MjYifQ=="/>
  </w:docVars>
  <w:rsids>
    <w:rsidRoot w:val="00000000"/>
    <w:rsid w:val="00FB6D4A"/>
    <w:rsid w:val="012B6147"/>
    <w:rsid w:val="04E17325"/>
    <w:rsid w:val="05803352"/>
    <w:rsid w:val="067E75C3"/>
    <w:rsid w:val="068F4FD5"/>
    <w:rsid w:val="071E5D1E"/>
    <w:rsid w:val="07F84B58"/>
    <w:rsid w:val="09734792"/>
    <w:rsid w:val="0A7F5DFC"/>
    <w:rsid w:val="0AE21470"/>
    <w:rsid w:val="0BEB18E4"/>
    <w:rsid w:val="0C295203"/>
    <w:rsid w:val="0CA32A6D"/>
    <w:rsid w:val="0E420145"/>
    <w:rsid w:val="0E9200F2"/>
    <w:rsid w:val="0F3E1D7B"/>
    <w:rsid w:val="102B6853"/>
    <w:rsid w:val="10731397"/>
    <w:rsid w:val="110B5F8C"/>
    <w:rsid w:val="111F4CE9"/>
    <w:rsid w:val="11545D28"/>
    <w:rsid w:val="117F2EF4"/>
    <w:rsid w:val="118D440E"/>
    <w:rsid w:val="11B070EC"/>
    <w:rsid w:val="123C354C"/>
    <w:rsid w:val="127537D0"/>
    <w:rsid w:val="12C1577D"/>
    <w:rsid w:val="13424CD2"/>
    <w:rsid w:val="13855D04"/>
    <w:rsid w:val="13947D78"/>
    <w:rsid w:val="141771FA"/>
    <w:rsid w:val="143A2BA0"/>
    <w:rsid w:val="151F4BBC"/>
    <w:rsid w:val="1644171D"/>
    <w:rsid w:val="164429EC"/>
    <w:rsid w:val="199C2C77"/>
    <w:rsid w:val="1B997712"/>
    <w:rsid w:val="1C775197"/>
    <w:rsid w:val="1E14687B"/>
    <w:rsid w:val="1E24634E"/>
    <w:rsid w:val="1E891D2C"/>
    <w:rsid w:val="1ED469F7"/>
    <w:rsid w:val="210A0453"/>
    <w:rsid w:val="21356F0E"/>
    <w:rsid w:val="216F5124"/>
    <w:rsid w:val="217151FA"/>
    <w:rsid w:val="23DA7B91"/>
    <w:rsid w:val="24BF54CE"/>
    <w:rsid w:val="250B13F1"/>
    <w:rsid w:val="25355A13"/>
    <w:rsid w:val="25EA2CA2"/>
    <w:rsid w:val="26965613"/>
    <w:rsid w:val="27BD6E50"/>
    <w:rsid w:val="289F2663"/>
    <w:rsid w:val="291F767B"/>
    <w:rsid w:val="2AE35B6B"/>
    <w:rsid w:val="2B5278F1"/>
    <w:rsid w:val="2BC277F9"/>
    <w:rsid w:val="2C0C3F13"/>
    <w:rsid w:val="2D124494"/>
    <w:rsid w:val="2D4E4D44"/>
    <w:rsid w:val="2EBF7C48"/>
    <w:rsid w:val="2F24324C"/>
    <w:rsid w:val="2F954C1F"/>
    <w:rsid w:val="30D02A56"/>
    <w:rsid w:val="311F631A"/>
    <w:rsid w:val="31FC4C0D"/>
    <w:rsid w:val="326875C2"/>
    <w:rsid w:val="327709A8"/>
    <w:rsid w:val="328854F6"/>
    <w:rsid w:val="32E355FD"/>
    <w:rsid w:val="330E1794"/>
    <w:rsid w:val="33D4141E"/>
    <w:rsid w:val="36F667FA"/>
    <w:rsid w:val="37297CCC"/>
    <w:rsid w:val="372C5FE1"/>
    <w:rsid w:val="373E283A"/>
    <w:rsid w:val="376A4890"/>
    <w:rsid w:val="378C5908"/>
    <w:rsid w:val="38206916"/>
    <w:rsid w:val="38D57F24"/>
    <w:rsid w:val="38E76BF8"/>
    <w:rsid w:val="390E1889"/>
    <w:rsid w:val="39FA1202"/>
    <w:rsid w:val="3AD963F2"/>
    <w:rsid w:val="3B0B0A3A"/>
    <w:rsid w:val="3B825F9E"/>
    <w:rsid w:val="3C01001E"/>
    <w:rsid w:val="3D2F421A"/>
    <w:rsid w:val="3D6B7171"/>
    <w:rsid w:val="3E5F626B"/>
    <w:rsid w:val="3EB823F7"/>
    <w:rsid w:val="406B582D"/>
    <w:rsid w:val="41174001"/>
    <w:rsid w:val="422E47CE"/>
    <w:rsid w:val="43006C7F"/>
    <w:rsid w:val="43782302"/>
    <w:rsid w:val="44DC216F"/>
    <w:rsid w:val="44DE1B30"/>
    <w:rsid w:val="462E4D68"/>
    <w:rsid w:val="474B69C7"/>
    <w:rsid w:val="495436E9"/>
    <w:rsid w:val="495C6D38"/>
    <w:rsid w:val="4A8409EA"/>
    <w:rsid w:val="4B1C0F73"/>
    <w:rsid w:val="4B6D0949"/>
    <w:rsid w:val="4B944248"/>
    <w:rsid w:val="4BF33DAE"/>
    <w:rsid w:val="4C0A1CE9"/>
    <w:rsid w:val="4C7E7CB3"/>
    <w:rsid w:val="4CED3FFB"/>
    <w:rsid w:val="4DC6249A"/>
    <w:rsid w:val="4E694316"/>
    <w:rsid w:val="4EBA7135"/>
    <w:rsid w:val="4EF702C8"/>
    <w:rsid w:val="4F1F1F6D"/>
    <w:rsid w:val="50434E88"/>
    <w:rsid w:val="51875F8C"/>
    <w:rsid w:val="51F15584"/>
    <w:rsid w:val="52460BE6"/>
    <w:rsid w:val="533A5602"/>
    <w:rsid w:val="53E869AE"/>
    <w:rsid w:val="53F37FAB"/>
    <w:rsid w:val="54926BF3"/>
    <w:rsid w:val="5511402C"/>
    <w:rsid w:val="5534544E"/>
    <w:rsid w:val="55915EB3"/>
    <w:rsid w:val="55A30FBE"/>
    <w:rsid w:val="578C3BC2"/>
    <w:rsid w:val="597768B4"/>
    <w:rsid w:val="59AB357D"/>
    <w:rsid w:val="5A70183F"/>
    <w:rsid w:val="5C1A4BFF"/>
    <w:rsid w:val="5C7D690D"/>
    <w:rsid w:val="5D2E330C"/>
    <w:rsid w:val="5D7428E9"/>
    <w:rsid w:val="5D9E1668"/>
    <w:rsid w:val="61045DDF"/>
    <w:rsid w:val="61071A84"/>
    <w:rsid w:val="613D419D"/>
    <w:rsid w:val="6159394D"/>
    <w:rsid w:val="616739D9"/>
    <w:rsid w:val="61AC3AB0"/>
    <w:rsid w:val="62410F6A"/>
    <w:rsid w:val="62BE4047"/>
    <w:rsid w:val="63824B0E"/>
    <w:rsid w:val="63C17D8C"/>
    <w:rsid w:val="644F16D3"/>
    <w:rsid w:val="644F25B8"/>
    <w:rsid w:val="65B5278C"/>
    <w:rsid w:val="65F05804"/>
    <w:rsid w:val="66CB6052"/>
    <w:rsid w:val="6A1431D9"/>
    <w:rsid w:val="6C030146"/>
    <w:rsid w:val="6DCA06D2"/>
    <w:rsid w:val="6EE02D71"/>
    <w:rsid w:val="6F50389D"/>
    <w:rsid w:val="6FE964CF"/>
    <w:rsid w:val="70147342"/>
    <w:rsid w:val="703B5349"/>
    <w:rsid w:val="70BF7A84"/>
    <w:rsid w:val="719578EA"/>
    <w:rsid w:val="72657BB1"/>
    <w:rsid w:val="73870EA8"/>
    <w:rsid w:val="73B21E6E"/>
    <w:rsid w:val="73B716E5"/>
    <w:rsid w:val="740E555C"/>
    <w:rsid w:val="74602DEB"/>
    <w:rsid w:val="753A1ADA"/>
    <w:rsid w:val="77660ECB"/>
    <w:rsid w:val="77CD2FDE"/>
    <w:rsid w:val="78046C06"/>
    <w:rsid w:val="78E67B73"/>
    <w:rsid w:val="792B541A"/>
    <w:rsid w:val="7A6A6CEB"/>
    <w:rsid w:val="7B6B2BE9"/>
    <w:rsid w:val="7CFB5A61"/>
    <w:rsid w:val="7E3828FB"/>
    <w:rsid w:val="7EA635C0"/>
    <w:rsid w:val="7EA83820"/>
    <w:rsid w:val="7EE0647F"/>
    <w:rsid w:val="7FAA0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3125</Words>
  <Characters>3251</Characters>
  <Lines>0</Lines>
  <Paragraphs>0</Paragraphs>
  <TotalTime>2462</TotalTime>
  <ScaleCrop>false</ScaleCrop>
  <LinksUpToDate>false</LinksUpToDate>
  <CharactersWithSpaces>3402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刘含松</cp:lastModifiedBy>
  <dcterms:modified xsi:type="dcterms:W3CDTF">2023-02-06T06:21:52Z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9C9923202B654B59AA71B654CA096D07</vt:lpwstr>
  </property>
</Properties>
</file>