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color w:val="000000" w:themeColor="text1"/>
          <w:sz w:val="33"/>
          <w:szCs w:val="33"/>
          <w:shd w:val="clear" w:color="auto" w:fill="FFFFFF"/>
        </w:rPr>
      </w:pPr>
      <w:r>
        <w:rPr>
          <w:rFonts w:hint="eastAsia" w:ascii="微软雅黑" w:hAnsi="微软雅黑" w:eastAsia="微软雅黑" w:cs="微软雅黑"/>
          <w:b/>
          <w:color w:val="000000" w:themeColor="text1"/>
          <w:sz w:val="33"/>
          <w:szCs w:val="33"/>
          <w:shd w:val="clear" w:color="auto" w:fill="FFFFFF"/>
        </w:rPr>
        <w:t>县水务局</w:t>
      </w:r>
      <w:r>
        <w:rPr>
          <w:rFonts w:ascii="微软雅黑" w:hAnsi="微软雅黑" w:eastAsia="微软雅黑" w:cs="微软雅黑"/>
          <w:b/>
          <w:color w:val="000000" w:themeColor="text1"/>
          <w:sz w:val="33"/>
          <w:szCs w:val="33"/>
          <w:shd w:val="clear" w:color="auto" w:fill="FFFFFF"/>
        </w:rPr>
        <w:t>落实202</w:t>
      </w:r>
      <w:r>
        <w:rPr>
          <w:rFonts w:hint="eastAsia" w:ascii="微软雅黑" w:hAnsi="微软雅黑" w:eastAsia="微软雅黑" w:cs="微软雅黑"/>
          <w:b/>
          <w:color w:val="000000" w:themeColor="text1"/>
          <w:sz w:val="33"/>
          <w:szCs w:val="33"/>
          <w:shd w:val="clear" w:color="auto" w:fill="FFFFFF"/>
          <w:lang w:val="en-US" w:eastAsia="zh-CN"/>
        </w:rPr>
        <w:t>3</w:t>
      </w:r>
      <w:bookmarkStart w:id="0" w:name="_GoBack"/>
      <w:bookmarkEnd w:id="0"/>
      <w:r>
        <w:rPr>
          <w:rFonts w:ascii="微软雅黑" w:hAnsi="微软雅黑" w:eastAsia="微软雅黑" w:cs="微软雅黑"/>
          <w:b/>
          <w:color w:val="000000" w:themeColor="text1"/>
          <w:sz w:val="33"/>
          <w:szCs w:val="33"/>
          <w:shd w:val="clear" w:color="auto" w:fill="FFFFFF"/>
        </w:rPr>
        <w:t>年政府工作报告第</w:t>
      </w:r>
      <w:r>
        <w:rPr>
          <w:rFonts w:hint="eastAsia" w:ascii="微软雅黑" w:hAnsi="微软雅黑" w:eastAsia="微软雅黑" w:cs="微软雅黑"/>
          <w:b/>
          <w:color w:val="000000" w:themeColor="text1"/>
          <w:sz w:val="33"/>
          <w:szCs w:val="33"/>
          <w:shd w:val="clear" w:color="auto" w:fill="FFFFFF"/>
        </w:rPr>
        <w:t>一</w:t>
      </w:r>
      <w:r>
        <w:rPr>
          <w:rFonts w:ascii="微软雅黑" w:hAnsi="微软雅黑" w:eastAsia="微软雅黑" w:cs="微软雅黑"/>
          <w:b/>
          <w:color w:val="000000" w:themeColor="text1"/>
          <w:sz w:val="33"/>
          <w:szCs w:val="33"/>
          <w:shd w:val="clear" w:color="auto" w:fill="FFFFFF"/>
        </w:rPr>
        <w:t>季度工作进展、取得成效、后续措施</w:t>
      </w:r>
    </w:p>
    <w:tbl>
      <w:tblPr>
        <w:tblStyle w:val="6"/>
        <w:tblW w:w="4958"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062"/>
        <w:gridCol w:w="3188"/>
        <w:gridCol w:w="5831"/>
        <w:gridCol w:w="2497"/>
        <w:gridCol w:w="129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60" w:hRule="atLeast"/>
        </w:trPr>
        <w:tc>
          <w:tcPr>
            <w:tcW w:w="383" w:type="pct"/>
            <w:tcBorders>
              <w:top w:val="single" w:color="auto" w:sz="12" w:space="0"/>
              <w:left w:val="single" w:color="auto" w:sz="12" w:space="0"/>
              <w:bottom w:val="single" w:color="auto" w:sz="6" w:space="0"/>
              <w:right w:val="single" w:color="auto" w:sz="6" w:space="0"/>
            </w:tcBorders>
            <w:shd w:val="clear" w:color="auto" w:fill="FFFFFF"/>
            <w:tcMar>
              <w:top w:w="0" w:type="dxa"/>
              <w:bottom w:w="0" w:type="dxa"/>
            </w:tcMar>
            <w:vAlign w:val="center"/>
          </w:tcPr>
          <w:p>
            <w:pPr>
              <w:pStyle w:val="5"/>
              <w:widowControl/>
              <w:spacing w:beforeAutospacing="0" w:afterAutospacing="0" w:line="345" w:lineRule="atLeast"/>
              <w:jc w:val="center"/>
              <w:rPr>
                <w:rFonts w:ascii="微软雅黑" w:hAnsi="微软雅黑" w:eastAsia="微软雅黑" w:cs="微软雅黑"/>
                <w:b/>
                <w:color w:val="000000" w:themeColor="text1"/>
                <w:sz w:val="21"/>
                <w:szCs w:val="21"/>
              </w:rPr>
            </w:pPr>
            <w:r>
              <w:rPr>
                <w:rStyle w:val="8"/>
                <w:rFonts w:hint="eastAsia" w:ascii="微软雅黑" w:hAnsi="微软雅黑" w:eastAsia="微软雅黑" w:cs="微软雅黑"/>
                <w:color w:val="000000" w:themeColor="text1"/>
              </w:rPr>
              <w:t>序号</w:t>
            </w:r>
          </w:p>
        </w:tc>
        <w:tc>
          <w:tcPr>
            <w:tcW w:w="1149" w:type="pct"/>
            <w:tcBorders>
              <w:top w:val="single" w:color="auto" w:sz="12"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5"/>
              <w:widowControl/>
              <w:spacing w:beforeAutospacing="0" w:afterAutospacing="0" w:line="345" w:lineRule="atLeast"/>
              <w:jc w:val="center"/>
              <w:rPr>
                <w:rFonts w:ascii="微软雅黑" w:hAnsi="微软雅黑" w:eastAsia="微软雅黑" w:cs="微软雅黑"/>
                <w:b/>
                <w:color w:val="000000" w:themeColor="text1"/>
                <w:sz w:val="21"/>
                <w:szCs w:val="21"/>
              </w:rPr>
            </w:pPr>
            <w:r>
              <w:rPr>
                <w:rStyle w:val="8"/>
                <w:rFonts w:hint="eastAsia" w:ascii="微软雅黑" w:hAnsi="微软雅黑" w:eastAsia="微软雅黑" w:cs="微软雅黑"/>
                <w:color w:val="000000" w:themeColor="text1"/>
              </w:rPr>
              <w:t>任务目标</w:t>
            </w:r>
          </w:p>
        </w:tc>
        <w:tc>
          <w:tcPr>
            <w:tcW w:w="2102" w:type="pct"/>
            <w:tcBorders>
              <w:top w:val="single" w:color="auto" w:sz="12"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5"/>
              <w:widowControl/>
              <w:spacing w:beforeAutospacing="0" w:afterAutospacing="0" w:line="285" w:lineRule="atLeast"/>
              <w:jc w:val="center"/>
              <w:rPr>
                <w:rFonts w:ascii="微软雅黑" w:hAnsi="微软雅黑" w:eastAsia="微软雅黑" w:cs="微软雅黑"/>
                <w:b/>
                <w:color w:val="000000" w:themeColor="text1"/>
                <w:sz w:val="21"/>
                <w:szCs w:val="21"/>
              </w:rPr>
            </w:pPr>
            <w:r>
              <w:rPr>
                <w:rStyle w:val="8"/>
                <w:rFonts w:hint="eastAsia" w:ascii="微软雅黑" w:hAnsi="微软雅黑" w:eastAsia="微软雅黑" w:cs="微软雅黑"/>
                <w:color w:val="000000" w:themeColor="text1"/>
              </w:rPr>
              <w:t>工作进展及取得成效</w:t>
            </w:r>
          </w:p>
        </w:tc>
        <w:tc>
          <w:tcPr>
            <w:tcW w:w="900" w:type="pct"/>
            <w:tcBorders>
              <w:top w:val="single" w:color="auto" w:sz="12" w:space="0"/>
              <w:left w:val="nil"/>
              <w:bottom w:val="single" w:color="auto" w:sz="6" w:space="0"/>
              <w:right w:val="single" w:color="auto" w:sz="6" w:space="0"/>
            </w:tcBorders>
            <w:shd w:val="clear" w:color="auto" w:fill="FFFFFF"/>
            <w:tcMar>
              <w:top w:w="0" w:type="dxa"/>
              <w:bottom w:w="0" w:type="dxa"/>
            </w:tcMar>
            <w:vAlign w:val="center"/>
          </w:tcPr>
          <w:p>
            <w:pPr>
              <w:pStyle w:val="5"/>
              <w:widowControl/>
              <w:spacing w:beforeAutospacing="0" w:afterAutospacing="0" w:line="330" w:lineRule="atLeast"/>
              <w:jc w:val="center"/>
              <w:rPr>
                <w:rFonts w:ascii="微软雅黑" w:hAnsi="微软雅黑" w:eastAsia="微软雅黑" w:cs="微软雅黑"/>
                <w:b/>
                <w:color w:val="000000" w:themeColor="text1"/>
                <w:sz w:val="21"/>
                <w:szCs w:val="21"/>
              </w:rPr>
            </w:pPr>
            <w:r>
              <w:rPr>
                <w:rStyle w:val="8"/>
                <w:rFonts w:hint="eastAsia" w:ascii="微软雅黑" w:hAnsi="微软雅黑" w:eastAsia="微软雅黑" w:cs="微软雅黑"/>
                <w:color w:val="000000" w:themeColor="text1"/>
              </w:rPr>
              <w:t>后续措施</w:t>
            </w:r>
          </w:p>
        </w:tc>
        <w:tc>
          <w:tcPr>
            <w:tcW w:w="466" w:type="pct"/>
            <w:tcBorders>
              <w:top w:val="single" w:color="auto" w:sz="12" w:space="0"/>
              <w:left w:val="nil"/>
              <w:bottom w:val="single" w:color="auto" w:sz="6" w:space="0"/>
              <w:right w:val="single" w:color="auto" w:sz="12" w:space="0"/>
            </w:tcBorders>
            <w:shd w:val="clear" w:color="auto" w:fill="FFFFFF"/>
            <w:tcMar>
              <w:top w:w="0" w:type="dxa"/>
              <w:bottom w:w="0" w:type="dxa"/>
            </w:tcMar>
            <w:vAlign w:val="center"/>
          </w:tcPr>
          <w:p>
            <w:pPr>
              <w:pStyle w:val="5"/>
              <w:widowControl/>
              <w:spacing w:beforeAutospacing="0" w:afterAutospacing="0" w:line="345" w:lineRule="atLeast"/>
              <w:jc w:val="center"/>
              <w:rPr>
                <w:rFonts w:ascii="微软雅黑" w:hAnsi="微软雅黑" w:eastAsia="微软雅黑" w:cs="微软雅黑"/>
                <w:b/>
                <w:color w:val="000000" w:themeColor="text1"/>
                <w:sz w:val="21"/>
                <w:szCs w:val="21"/>
              </w:rPr>
            </w:pPr>
            <w:r>
              <w:rPr>
                <w:rStyle w:val="8"/>
                <w:rFonts w:hint="eastAsia" w:ascii="微软雅黑" w:hAnsi="微软雅黑" w:eastAsia="微软雅黑" w:cs="微软雅黑"/>
                <w:color w:val="000000" w:themeColor="text1"/>
              </w:rPr>
              <w:t>主办单位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60" w:hRule="atLeast"/>
        </w:trPr>
        <w:tc>
          <w:tcPr>
            <w:tcW w:w="383" w:type="pct"/>
            <w:tcBorders>
              <w:top w:val="single" w:color="auto" w:sz="6" w:space="0"/>
              <w:left w:val="single" w:color="auto" w:sz="12" w:space="0"/>
              <w:bottom w:val="single" w:color="auto" w:sz="6" w:space="0"/>
              <w:right w:val="single" w:color="auto" w:sz="6" w:space="0"/>
            </w:tcBorders>
            <w:shd w:val="clear" w:color="auto" w:fill="FFFFFF"/>
            <w:tcMar>
              <w:top w:w="0" w:type="dxa"/>
              <w:bottom w:w="0" w:type="dxa"/>
            </w:tcMar>
            <w:vAlign w:val="center"/>
          </w:tcPr>
          <w:p>
            <w:pPr>
              <w:spacing w:line="340" w:lineRule="exact"/>
              <w:jc w:val="center"/>
              <w:rPr>
                <w:rFonts w:ascii="Times New Roman" w:hAnsi="Times New Roman" w:cs="Times New Roman"/>
                <w:b/>
                <w:bCs/>
                <w:sz w:val="24"/>
              </w:rPr>
            </w:pPr>
            <w:r>
              <w:rPr>
                <w:rFonts w:ascii="Times New Roman" w:hAnsi="Times New Roman" w:cs="Times New Roman"/>
                <w:b/>
                <w:bCs/>
                <w:sz w:val="24"/>
              </w:rPr>
              <w:t>54</w:t>
            </w:r>
          </w:p>
        </w:tc>
        <w:tc>
          <w:tcPr>
            <w:tcW w:w="1149" w:type="pc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spacing w:line="340" w:lineRule="exact"/>
              <w:ind w:firstLine="480" w:firstLineChars="200"/>
              <w:rPr>
                <w:rFonts w:ascii="Times New Roman" w:hAnsi="Times New Roman" w:eastAsia="方正仿宋简体" w:cs="Times New Roman"/>
                <w:b/>
                <w:bCs/>
                <w:sz w:val="24"/>
              </w:rPr>
            </w:pPr>
            <w:r>
              <w:rPr>
                <w:rFonts w:ascii="Times New Roman" w:hAnsi="Times New Roman" w:eastAsia="方正仿宋简体" w:cs="Times New Roman"/>
                <w:b/>
                <w:bCs/>
                <w:sz w:val="24"/>
              </w:rPr>
              <w:t>围绕“水韵中都、魅力汶上”定位，加快城市湿地公园建设，打造城市“绿肺”，提升泉河、东护城河两条滨水绿带，形成“三河两带绕中都、五湖六园映古城”的生态景观。</w:t>
            </w:r>
          </w:p>
        </w:tc>
        <w:tc>
          <w:tcPr>
            <w:tcW w:w="2102" w:type="pc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spacing w:line="340" w:lineRule="exact"/>
              <w:ind w:firstLine="480" w:firstLineChars="200"/>
              <w:rPr>
                <w:rFonts w:ascii="Times New Roman" w:hAnsi="Times New Roman" w:eastAsia="方正仿宋简体" w:cs="Times New Roman"/>
                <w:b/>
                <w:bCs/>
                <w:sz w:val="24"/>
              </w:rPr>
            </w:pPr>
            <w:r>
              <w:rPr>
                <w:rFonts w:hint="eastAsia" w:ascii="Times New Roman" w:hAnsi="Times New Roman" w:eastAsia="方正仿宋简体" w:cs="Times New Roman"/>
                <w:b/>
                <w:bCs/>
                <w:sz w:val="24"/>
              </w:rPr>
              <w:t>按照县委县政府工作部署，配合做好城市湿地公园建设，泉河、东护城河滨水绿带规划建设。</w:t>
            </w:r>
          </w:p>
        </w:tc>
        <w:tc>
          <w:tcPr>
            <w:tcW w:w="900" w:type="pct"/>
            <w:tcBorders>
              <w:top w:val="single" w:color="auto" w:sz="6" w:space="0"/>
              <w:left w:val="nil"/>
              <w:bottom w:val="single" w:color="auto" w:sz="6" w:space="0"/>
              <w:right w:val="single" w:color="auto" w:sz="6" w:space="0"/>
            </w:tcBorders>
            <w:shd w:val="clear" w:color="auto" w:fill="FFFFFF"/>
            <w:tcMar>
              <w:top w:w="0" w:type="dxa"/>
              <w:bottom w:w="0" w:type="dxa"/>
            </w:tcMar>
            <w:vAlign w:val="center"/>
          </w:tcPr>
          <w:p>
            <w:pPr>
              <w:pStyle w:val="5"/>
              <w:widowControl/>
              <w:spacing w:beforeAutospacing="0" w:afterAutospacing="0" w:line="285" w:lineRule="atLeast"/>
              <w:ind w:firstLine="420"/>
              <w:rPr>
                <w:rFonts w:cs="微软雅黑" w:asciiTheme="minorEastAsia" w:hAnsiTheme="minorEastAsia"/>
                <w:bCs/>
                <w:color w:val="000000" w:themeColor="text1"/>
                <w:sz w:val="21"/>
                <w:szCs w:val="21"/>
              </w:rPr>
            </w:pPr>
          </w:p>
        </w:tc>
        <w:tc>
          <w:tcPr>
            <w:tcW w:w="466" w:type="pct"/>
            <w:tcBorders>
              <w:top w:val="single" w:color="auto" w:sz="6" w:space="0"/>
              <w:left w:val="nil"/>
              <w:bottom w:val="single" w:color="auto" w:sz="6" w:space="0"/>
              <w:right w:val="single" w:color="auto" w:sz="12" w:space="0"/>
            </w:tcBorders>
            <w:shd w:val="clear" w:color="auto" w:fill="FFFFFF"/>
            <w:tcMar>
              <w:top w:w="0" w:type="dxa"/>
              <w:bottom w:w="0" w:type="dxa"/>
            </w:tcMar>
            <w:vAlign w:val="center"/>
          </w:tcPr>
          <w:p>
            <w:pPr>
              <w:pStyle w:val="5"/>
              <w:widowControl/>
              <w:spacing w:beforeAutospacing="0" w:afterAutospacing="0" w:line="285" w:lineRule="atLeast"/>
              <w:jc w:val="center"/>
              <w:textAlignment w:val="center"/>
              <w:rPr>
                <w:rFonts w:ascii="微软雅黑" w:hAnsi="微软雅黑" w:eastAsia="微软雅黑" w:cs="微软雅黑"/>
                <w:bCs/>
                <w:color w:val="000000" w:themeColor="text1"/>
                <w:sz w:val="18"/>
                <w:szCs w:val="18"/>
              </w:rPr>
            </w:pPr>
            <w:r>
              <w:rPr>
                <w:rFonts w:ascii="微软雅黑" w:hAnsi="微软雅黑" w:eastAsia="微软雅黑" w:cs="微软雅黑"/>
                <w:bCs/>
                <w:color w:val="000000" w:themeColor="text1"/>
                <w:sz w:val="18"/>
                <w:szCs w:val="18"/>
              </w:rPr>
              <w:t>县水务局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60" w:hRule="atLeast"/>
        </w:trPr>
        <w:tc>
          <w:tcPr>
            <w:tcW w:w="383" w:type="pct"/>
            <w:tcBorders>
              <w:top w:val="single" w:color="auto" w:sz="6" w:space="0"/>
              <w:left w:val="single" w:color="auto" w:sz="12" w:space="0"/>
              <w:bottom w:val="single" w:color="auto" w:sz="6" w:space="0"/>
              <w:right w:val="single" w:color="auto" w:sz="6" w:space="0"/>
            </w:tcBorders>
            <w:shd w:val="clear" w:color="auto" w:fill="FFFFFF"/>
            <w:tcMar>
              <w:top w:w="0" w:type="dxa"/>
              <w:bottom w:w="0" w:type="dxa"/>
            </w:tcMar>
            <w:vAlign w:val="center"/>
          </w:tcPr>
          <w:p>
            <w:pPr>
              <w:spacing w:line="340" w:lineRule="exact"/>
              <w:jc w:val="center"/>
              <w:rPr>
                <w:rFonts w:ascii="Times New Roman" w:hAnsi="Times New Roman" w:cs="Times New Roman"/>
                <w:b/>
                <w:bCs/>
                <w:sz w:val="24"/>
              </w:rPr>
            </w:pPr>
            <w:r>
              <w:rPr>
                <w:rFonts w:ascii="Times New Roman" w:hAnsi="Times New Roman" w:cs="Times New Roman"/>
                <w:b/>
                <w:bCs/>
                <w:sz w:val="24"/>
              </w:rPr>
              <w:t>66</w:t>
            </w:r>
          </w:p>
        </w:tc>
        <w:tc>
          <w:tcPr>
            <w:tcW w:w="1149" w:type="pc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spacing w:line="340" w:lineRule="exact"/>
              <w:ind w:firstLine="480" w:firstLineChars="200"/>
              <w:rPr>
                <w:rFonts w:ascii="Times New Roman" w:hAnsi="Times New Roman" w:eastAsia="方正仿宋简体" w:cs="Times New Roman"/>
                <w:b/>
                <w:bCs/>
                <w:sz w:val="24"/>
              </w:rPr>
            </w:pPr>
            <w:r>
              <w:rPr>
                <w:rFonts w:ascii="Times New Roman" w:hAnsi="Times New Roman" w:eastAsia="方正仿宋简体" w:cs="Times New Roman"/>
                <w:b/>
                <w:bCs/>
                <w:sz w:val="24"/>
              </w:rPr>
              <w:t>严格落实河湖长制，加强南四湖流域水生态环境综合整治，加快镇级污水处理厂配套人工湿地、潜流湿地二期建设，全面完成“两个清零、一个提标”任务，确保水质稳定达标。</w:t>
            </w:r>
          </w:p>
        </w:tc>
        <w:tc>
          <w:tcPr>
            <w:tcW w:w="2102" w:type="pc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spacing w:line="320" w:lineRule="exact"/>
              <w:rPr>
                <w:rFonts w:ascii="Times New Roman" w:hAnsi="Times New Roman" w:eastAsia="方正仿宋简体" w:cs="Times New Roman"/>
                <w:b/>
                <w:bCs/>
                <w:sz w:val="24"/>
              </w:rPr>
            </w:pPr>
            <w:r>
              <w:rPr>
                <w:rFonts w:hint="eastAsia" w:ascii="Times New Roman" w:hAnsi="Times New Roman" w:eastAsia="方正仿宋简体" w:cs="Times New Roman"/>
                <w:b/>
                <w:bCs/>
                <w:sz w:val="24"/>
              </w:rPr>
              <w:t>1.组织人员定期开展巡河行动，常态化整治河湖“四乱”问题，严格落实“发现、交办、整改、销号”闭环管理机制，2023年以来排查整改河湖“四乱”问题3200项。2.及时提醒、督促各级河长开展巡河工作，要求河长巡河在巡河过程中及时发现整改涉河违章问题，一季度各级河长巡河19830次。3.开展水环境问题排查整治行动，排查涵闸61处，排灌站6处，路边沟30处，田间沟渠26处，编制了河湖、沟渠名录，明确责任主体。</w:t>
            </w:r>
          </w:p>
          <w:p>
            <w:pPr>
              <w:spacing w:line="320" w:lineRule="exact"/>
              <w:ind w:firstLine="480" w:firstLineChars="200"/>
              <w:rPr>
                <w:rFonts w:ascii="Times New Roman" w:hAnsi="Times New Roman" w:eastAsia="方正仿宋简体" w:cs="Times New Roman"/>
                <w:b/>
                <w:bCs/>
                <w:sz w:val="24"/>
              </w:rPr>
            </w:pPr>
            <w:r>
              <w:rPr>
                <w:rFonts w:hint="eastAsia" w:ascii="Times New Roman" w:hAnsi="Times New Roman" w:eastAsia="方正仿宋简体" w:cs="Times New Roman"/>
                <w:b/>
                <w:bCs/>
                <w:sz w:val="24"/>
              </w:rPr>
              <w:t>关于镇级污水处理站配套人工湿地项目已经第十九届人民政府第15次常务会议审议通过，已协调县国土资源局、有关乡镇对配套人工湿地选址进行了现场踏勘，现有选址不符合国土空间规划要求，需要各乡镇调整国土空间规划，并预留建设用地。目前，各乡镇正在编制国土空间规划。</w:t>
            </w:r>
          </w:p>
          <w:p>
            <w:pPr>
              <w:spacing w:line="320" w:lineRule="exact"/>
              <w:ind w:firstLine="480" w:firstLineChars="200"/>
              <w:rPr>
                <w:rFonts w:ascii="Times New Roman" w:hAnsi="Times New Roman" w:eastAsia="方正仿宋简体" w:cs="Times New Roman"/>
                <w:b/>
                <w:bCs/>
                <w:sz w:val="24"/>
              </w:rPr>
            </w:pPr>
            <w:r>
              <w:rPr>
                <w:rFonts w:hint="eastAsia" w:ascii="Times New Roman" w:hAnsi="Times New Roman" w:eastAsia="方正仿宋简体" w:cs="Times New Roman"/>
                <w:b/>
                <w:bCs/>
                <w:sz w:val="24"/>
              </w:rPr>
              <w:t>汶上公用水务有限公司清源污水处理厂已完成方案优化并通过专家评审，经县政府常务会议和县委常委会通过，以特许经营方式建设运营清源污水处理厂提标改造项目，项目总投资2024万元。目前完成留置氧工艺装置，泵房，阀门管道等部分设施的更新改造。佛都污水处理厂已完成优化设计，项目投资3349.17万元，已完成政府常务会议提交准备工作。</w:t>
            </w:r>
          </w:p>
        </w:tc>
        <w:tc>
          <w:tcPr>
            <w:tcW w:w="900" w:type="pct"/>
            <w:tcBorders>
              <w:top w:val="single" w:color="auto" w:sz="6" w:space="0"/>
              <w:left w:val="nil"/>
              <w:bottom w:val="single" w:color="auto" w:sz="6" w:space="0"/>
              <w:right w:val="single" w:color="auto" w:sz="6" w:space="0"/>
            </w:tcBorders>
            <w:shd w:val="clear" w:color="auto" w:fill="FFFFFF"/>
            <w:tcMar>
              <w:top w:w="0" w:type="dxa"/>
              <w:bottom w:w="0" w:type="dxa"/>
            </w:tcMar>
            <w:vAlign w:val="center"/>
          </w:tcPr>
          <w:p>
            <w:pPr>
              <w:pStyle w:val="5"/>
              <w:widowControl/>
              <w:spacing w:beforeAutospacing="0" w:afterAutospacing="0" w:line="285" w:lineRule="atLeast"/>
              <w:ind w:firstLine="420"/>
              <w:rPr>
                <w:rFonts w:hint="eastAsia" w:cs="微软雅黑" w:asciiTheme="minorEastAsia" w:hAnsiTheme="minorEastAsia"/>
                <w:bCs/>
                <w:color w:val="000000" w:themeColor="text1"/>
                <w:sz w:val="21"/>
                <w:szCs w:val="21"/>
              </w:rPr>
            </w:pPr>
          </w:p>
        </w:tc>
        <w:tc>
          <w:tcPr>
            <w:tcW w:w="466" w:type="pct"/>
            <w:tcBorders>
              <w:top w:val="single" w:color="auto" w:sz="6" w:space="0"/>
              <w:left w:val="nil"/>
              <w:bottom w:val="single" w:color="auto" w:sz="6" w:space="0"/>
              <w:right w:val="single" w:color="auto" w:sz="12" w:space="0"/>
            </w:tcBorders>
            <w:shd w:val="clear" w:color="auto" w:fill="FFFFFF"/>
            <w:tcMar>
              <w:top w:w="0" w:type="dxa"/>
              <w:bottom w:w="0" w:type="dxa"/>
            </w:tcMar>
            <w:vAlign w:val="center"/>
          </w:tcPr>
          <w:p>
            <w:pPr>
              <w:pStyle w:val="5"/>
              <w:widowControl/>
              <w:spacing w:beforeAutospacing="0" w:afterAutospacing="0" w:line="285" w:lineRule="atLeast"/>
              <w:jc w:val="center"/>
              <w:textAlignment w:val="center"/>
              <w:rPr>
                <w:rFonts w:ascii="微软雅黑" w:hAnsi="微软雅黑" w:eastAsia="微软雅黑" w:cs="微软雅黑"/>
                <w:bCs/>
                <w:color w:val="000000" w:themeColor="text1"/>
                <w:sz w:val="18"/>
                <w:szCs w:val="18"/>
              </w:rPr>
            </w:pPr>
            <w:r>
              <w:rPr>
                <w:rFonts w:ascii="微软雅黑" w:hAnsi="微软雅黑" w:eastAsia="微软雅黑" w:cs="微软雅黑"/>
                <w:bCs/>
                <w:color w:val="000000" w:themeColor="text1"/>
                <w:sz w:val="18"/>
                <w:szCs w:val="18"/>
              </w:rPr>
              <w:t>县水务局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60" w:hRule="atLeast"/>
        </w:trPr>
        <w:tc>
          <w:tcPr>
            <w:tcW w:w="383" w:type="pct"/>
            <w:tcBorders>
              <w:top w:val="single" w:color="auto" w:sz="6" w:space="0"/>
              <w:left w:val="single" w:color="auto" w:sz="12" w:space="0"/>
              <w:bottom w:val="single" w:color="auto" w:sz="6" w:space="0"/>
              <w:right w:val="single" w:color="auto" w:sz="6" w:space="0"/>
            </w:tcBorders>
            <w:shd w:val="clear" w:color="auto" w:fill="FFFFFF"/>
            <w:tcMar>
              <w:top w:w="0" w:type="dxa"/>
              <w:bottom w:w="0" w:type="dxa"/>
            </w:tcMar>
            <w:vAlign w:val="center"/>
          </w:tcPr>
          <w:p>
            <w:pPr>
              <w:spacing w:line="340" w:lineRule="exact"/>
              <w:jc w:val="center"/>
              <w:rPr>
                <w:rFonts w:ascii="Times New Roman" w:hAnsi="Times New Roman" w:cs="Times New Roman"/>
                <w:b/>
                <w:bCs/>
                <w:sz w:val="24"/>
              </w:rPr>
            </w:pPr>
            <w:r>
              <w:rPr>
                <w:rFonts w:ascii="Times New Roman" w:hAnsi="Times New Roman" w:cs="Times New Roman"/>
                <w:b/>
                <w:bCs/>
                <w:sz w:val="24"/>
              </w:rPr>
              <w:t>70</w:t>
            </w:r>
          </w:p>
        </w:tc>
        <w:tc>
          <w:tcPr>
            <w:tcW w:w="1149" w:type="pc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spacing w:line="340" w:lineRule="exact"/>
              <w:ind w:firstLine="480" w:firstLineChars="200"/>
              <w:rPr>
                <w:rFonts w:ascii="Times New Roman" w:hAnsi="Times New Roman" w:eastAsia="方正仿宋简体" w:cs="Times New Roman"/>
                <w:b/>
                <w:bCs/>
                <w:sz w:val="24"/>
              </w:rPr>
            </w:pPr>
            <w:r>
              <w:rPr>
                <w:rFonts w:ascii="Times New Roman" w:hAnsi="Times New Roman" w:eastAsia="方正仿宋简体" w:cs="Times New Roman"/>
                <w:b/>
                <w:bCs/>
                <w:sz w:val="24"/>
              </w:rPr>
              <w:t>贯彻“四水四定”原则，系统化推动大汶河、泉河水系保护，完成湖东排水河、小汶河、农村水系连通综合整治二期等工程，确保河湖生态复苏。</w:t>
            </w:r>
          </w:p>
        </w:tc>
        <w:tc>
          <w:tcPr>
            <w:tcW w:w="2102" w:type="pc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spacing w:line="340" w:lineRule="exact"/>
              <w:ind w:firstLine="480" w:firstLineChars="200"/>
              <w:rPr>
                <w:rFonts w:ascii="Times New Roman" w:hAnsi="Times New Roman" w:eastAsia="方正仿宋简体" w:cs="Times New Roman"/>
                <w:b/>
                <w:bCs/>
                <w:sz w:val="24"/>
              </w:rPr>
            </w:pPr>
            <w:r>
              <w:rPr>
                <w:rFonts w:hint="eastAsia" w:ascii="Times New Roman" w:hAnsi="Times New Roman" w:eastAsia="方正仿宋简体" w:cs="Times New Roman"/>
                <w:b/>
                <w:bCs/>
                <w:sz w:val="24"/>
              </w:rPr>
              <w:t>2017年以来，按照上级工作部署，结合我县实际情况，我县先后完成了大汶河防洪治理工程（济宁段）、泉河、小汶河等河道治理，目前湖东排水河治理、水系连通及农村水系综合整治工程（二期）已全面开工建设，计划年底完成建设任务。</w:t>
            </w:r>
          </w:p>
        </w:tc>
        <w:tc>
          <w:tcPr>
            <w:tcW w:w="900" w:type="pct"/>
            <w:tcBorders>
              <w:top w:val="single" w:color="auto" w:sz="6" w:space="0"/>
              <w:left w:val="nil"/>
              <w:bottom w:val="single" w:color="auto" w:sz="6" w:space="0"/>
              <w:right w:val="single" w:color="auto" w:sz="6" w:space="0"/>
            </w:tcBorders>
            <w:shd w:val="clear" w:color="auto" w:fill="FFFFFF"/>
            <w:tcMar>
              <w:top w:w="0" w:type="dxa"/>
              <w:bottom w:w="0" w:type="dxa"/>
            </w:tcMar>
            <w:vAlign w:val="center"/>
          </w:tcPr>
          <w:p>
            <w:pPr>
              <w:pStyle w:val="5"/>
              <w:widowControl/>
              <w:spacing w:beforeAutospacing="0" w:afterAutospacing="0" w:line="285" w:lineRule="atLeast"/>
              <w:ind w:firstLine="420"/>
              <w:rPr>
                <w:rFonts w:hint="eastAsia" w:cs="微软雅黑" w:asciiTheme="minorEastAsia" w:hAnsiTheme="minorEastAsia"/>
                <w:bCs/>
                <w:color w:val="000000" w:themeColor="text1"/>
                <w:sz w:val="21"/>
                <w:szCs w:val="21"/>
              </w:rPr>
            </w:pPr>
          </w:p>
        </w:tc>
        <w:tc>
          <w:tcPr>
            <w:tcW w:w="466" w:type="pct"/>
            <w:tcBorders>
              <w:top w:val="single" w:color="auto" w:sz="6" w:space="0"/>
              <w:left w:val="nil"/>
              <w:bottom w:val="single" w:color="auto" w:sz="6" w:space="0"/>
              <w:right w:val="single" w:color="auto" w:sz="12" w:space="0"/>
            </w:tcBorders>
            <w:shd w:val="clear" w:color="auto" w:fill="FFFFFF"/>
            <w:tcMar>
              <w:top w:w="0" w:type="dxa"/>
              <w:bottom w:w="0" w:type="dxa"/>
            </w:tcMar>
            <w:vAlign w:val="center"/>
          </w:tcPr>
          <w:p>
            <w:pPr>
              <w:pStyle w:val="5"/>
              <w:widowControl/>
              <w:spacing w:beforeAutospacing="0" w:afterAutospacing="0" w:line="285" w:lineRule="atLeast"/>
              <w:jc w:val="center"/>
              <w:textAlignment w:val="center"/>
              <w:rPr>
                <w:rFonts w:ascii="微软雅黑" w:hAnsi="微软雅黑" w:eastAsia="微软雅黑" w:cs="微软雅黑"/>
                <w:bCs/>
                <w:color w:val="000000" w:themeColor="text1"/>
                <w:sz w:val="18"/>
                <w:szCs w:val="18"/>
              </w:rPr>
            </w:pPr>
            <w:r>
              <w:rPr>
                <w:rFonts w:ascii="微软雅黑" w:hAnsi="微软雅黑" w:eastAsia="微软雅黑" w:cs="微软雅黑"/>
                <w:bCs/>
                <w:color w:val="000000" w:themeColor="text1"/>
                <w:sz w:val="18"/>
                <w:szCs w:val="18"/>
              </w:rPr>
              <w:t>县水务局</w:t>
            </w:r>
          </w:p>
        </w:tc>
      </w:tr>
    </w:tbl>
    <w:p>
      <w:pPr>
        <w:widowControl/>
        <w:spacing w:line="330" w:lineRule="atLeast"/>
        <w:rPr>
          <w:rFonts w:ascii="微软雅黑" w:hAnsi="微软雅黑" w:eastAsia="微软雅黑" w:cs="微软雅黑"/>
          <w:color w:val="000000" w:themeColor="text1"/>
          <w:kern w:val="0"/>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I0ZGE2YTVhMjgyNDExYWU2ODZlM2UxYWM2M2Q3NzcifQ=="/>
  </w:docVars>
  <w:rsids>
    <w:rsidRoot w:val="009175B8"/>
    <w:rsid w:val="00056686"/>
    <w:rsid w:val="000668D8"/>
    <w:rsid w:val="000F0AFE"/>
    <w:rsid w:val="000F286A"/>
    <w:rsid w:val="00142ADE"/>
    <w:rsid w:val="001530E0"/>
    <w:rsid w:val="001F2C3F"/>
    <w:rsid w:val="0027278F"/>
    <w:rsid w:val="0033185A"/>
    <w:rsid w:val="0039450D"/>
    <w:rsid w:val="003950FE"/>
    <w:rsid w:val="003B646E"/>
    <w:rsid w:val="003D71C6"/>
    <w:rsid w:val="003F2226"/>
    <w:rsid w:val="00477F3C"/>
    <w:rsid w:val="004D16B5"/>
    <w:rsid w:val="00527A1F"/>
    <w:rsid w:val="00533FDD"/>
    <w:rsid w:val="005C0075"/>
    <w:rsid w:val="006D7A00"/>
    <w:rsid w:val="00752F14"/>
    <w:rsid w:val="007C5002"/>
    <w:rsid w:val="00865073"/>
    <w:rsid w:val="008928EA"/>
    <w:rsid w:val="009175B8"/>
    <w:rsid w:val="00965EA0"/>
    <w:rsid w:val="00A1087F"/>
    <w:rsid w:val="00A71D7D"/>
    <w:rsid w:val="00AA599E"/>
    <w:rsid w:val="00AF171F"/>
    <w:rsid w:val="00AF1D38"/>
    <w:rsid w:val="00AF634C"/>
    <w:rsid w:val="00B5513D"/>
    <w:rsid w:val="00CF5A69"/>
    <w:rsid w:val="00D5319F"/>
    <w:rsid w:val="00D6173D"/>
    <w:rsid w:val="00D91001"/>
    <w:rsid w:val="00E51C1D"/>
    <w:rsid w:val="00EE7EDC"/>
    <w:rsid w:val="00F65939"/>
    <w:rsid w:val="00FB13FF"/>
    <w:rsid w:val="106F34CF"/>
    <w:rsid w:val="11454871"/>
    <w:rsid w:val="166F15FB"/>
    <w:rsid w:val="1DA53A2D"/>
    <w:rsid w:val="33FB733F"/>
    <w:rsid w:val="61AD2ECF"/>
    <w:rsid w:val="777C11C9"/>
    <w:rsid w:val="783B17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文件格式"/>
    <w:basedOn w:val="1"/>
    <w:qFormat/>
    <w:uiPriority w:val="0"/>
    <w:pPr>
      <w:widowControl/>
      <w:spacing w:line="460" w:lineRule="atLeast"/>
      <w:ind w:left="1" w:firstLine="419"/>
      <w:textAlignment w:val="bottom"/>
    </w:pPr>
    <w:rPr>
      <w:kern w:val="0"/>
      <w:szCs w:val="32"/>
    </w:rPr>
  </w:style>
  <w:style w:type="paragraph" w:styleId="3">
    <w:name w:val="footer"/>
    <w:basedOn w:val="1"/>
    <w:link w:val="12"/>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color w:val="800080"/>
      <w:u w:val="single"/>
    </w:rPr>
  </w:style>
  <w:style w:type="character" w:styleId="10">
    <w:name w:val="Hyperlink"/>
    <w:basedOn w:val="7"/>
    <w:qFormat/>
    <w:uiPriority w:val="0"/>
    <w:rPr>
      <w:color w:val="0000FF"/>
      <w:u w:val="single"/>
    </w:rPr>
  </w:style>
  <w:style w:type="character" w:customStyle="1" w:styleId="11">
    <w:name w:val="页眉 Char"/>
    <w:basedOn w:val="7"/>
    <w:link w:val="4"/>
    <w:uiPriority w:val="0"/>
    <w:rPr>
      <w:rFonts w:asciiTheme="minorHAnsi" w:hAnsiTheme="minorHAnsi" w:eastAsiaTheme="minorEastAsia" w:cstheme="minorBidi"/>
      <w:kern w:val="2"/>
      <w:sz w:val="18"/>
      <w:szCs w:val="18"/>
    </w:rPr>
  </w:style>
  <w:style w:type="character" w:customStyle="1" w:styleId="12">
    <w:name w:val="页脚 Char"/>
    <w:basedOn w:val="7"/>
    <w:link w:val="3"/>
    <w:qFormat/>
    <w:uiPriority w:val="0"/>
    <w:rPr>
      <w:rFonts w:asciiTheme="minorHAnsi" w:hAnsiTheme="minorHAnsi" w:eastAsiaTheme="minorEastAsia" w:cstheme="minorBidi"/>
      <w:kern w:val="2"/>
      <w:sz w:val="18"/>
      <w:szCs w:val="18"/>
    </w:rPr>
  </w:style>
  <w:style w:type="character" w:customStyle="1" w:styleId="13">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898</Words>
  <Characters>933</Characters>
  <Lines>6</Lines>
  <Paragraphs>1</Paragraphs>
  <TotalTime>43</TotalTime>
  <ScaleCrop>false</ScaleCrop>
  <LinksUpToDate>false</LinksUpToDate>
  <CharactersWithSpaces>933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2021-01-05T11:19:00Z</dcterms:created>
  <dc:creator>Administrator</dc:creator>
  <cp:lastModifiedBy>汶上水务局wl</cp:lastModifiedBy>
  <dcterms:modified xsi:type="dcterms:W3CDTF">2023-07-11T06:44:54Z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272C136A13DF48B39D2CD2C599B7E49A_12</vt:lpwstr>
  </property>
</Properties>
</file>