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450" w:beforeAutospacing="0" w:after="450" w:afterAutospacing="0"/>
        <w:ind w:left="0" w:right="0"/>
        <w:rPr>
          <w:rFonts w:hint="eastAsia" w:ascii="微软雅黑" w:hAnsi="微软雅黑" w:eastAsia="微软雅黑" w:cs="微软雅黑"/>
          <w:b w:val="0"/>
          <w:color w:val="333333"/>
        </w:rPr>
      </w:pPr>
      <w:r>
        <w:rPr>
          <w:rFonts w:ascii="微软雅黑" w:hAnsi="微软雅黑" w:eastAsia="微软雅黑" w:cs="微软雅黑"/>
          <w:b w:val="0"/>
        </w:rPr>
        <w:t>汶上县行政审批服务局2019年政府信息公开工作年度报告</w:t>
      </w:r>
      <w:r>
        <w:rPr>
          <w:rFonts w:hint="eastAsia" w:ascii="微软雅黑" w:hAnsi="微软雅黑" w:eastAsia="微软雅黑" w:cs="微软雅黑"/>
          <w:b w:val="0"/>
          <w:color w:val="333333"/>
          <w:kern w:val="0"/>
          <w:sz w:val="24"/>
          <w:szCs w:val="24"/>
          <w:lang w:val="en-US" w:eastAsia="zh-CN" w:bidi="ar"/>
        </w:rPr>
        <w:t xml:space="preserve"> </w:t>
      </w:r>
    </w:p>
    <w:p>
      <w:pPr>
        <w:keepNext w:val="0"/>
        <w:keepLines w:val="0"/>
        <w:widowControl/>
        <w:suppressLineNumbers w:val="0"/>
        <w:pBdr>
          <w:top w:val="none" w:color="auto" w:sz="0" w:space="0"/>
          <w:bottom w:val="none" w:color="auto" w:sz="0" w:space="0"/>
        </w:pBdr>
        <w:spacing w:before="542" w:beforeAutospacing="0" w:after="450" w:afterAutospacing="0"/>
        <w:ind w:left="0" w:right="0"/>
        <w:jc w:val="left"/>
        <w:rPr>
          <w:rFonts w:hint="eastAsia" w:ascii="微软雅黑" w:hAnsi="微软雅黑" w:eastAsia="微软雅黑" w:cs="微软雅黑"/>
          <w:b w:val="0"/>
          <w:color w:val="333333"/>
        </w:rPr>
      </w:pP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"http://www.wenshang.gov.cn/art/2020/1/15/art_36781_2430179.html" \o "分享到QQ空间"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"http://www.wenshang.gov.cn/art/2020/1/15/art_36781_2430179.html" \o "分享到新浪微博"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"http://www.wenshang.gov.cn/art/2020/1/15/art_36781_2430179.html" \o "分享到微信"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根据《中华人民共和国政府信息公开条例》规定和县政府《关于做好2019年度政府信息公开年度报告编制发布工作的通知》安排部署，县行政审批服务局认真贯彻落实文件精神，研究编制了《汶上县行政审批服务局2019年政府信息公开工作年度报告》，现予以公开发布。</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本报告由总体情况；主动公开政府信息情况；收到和处理政府信息公开申请情况；政府信息公开行政复议、行政诉讼情况；存在的主要问题及改进情况；其他需要报告的事项等六个部分组成。报告中所列数据的日期自2019年1月1日起至2019年12月31日止。如对本报告有任何疑问，请与汶上县</w:t>
      </w:r>
      <w:r>
        <w:rPr>
          <w:rFonts w:hint="eastAsia" w:ascii="微软雅黑" w:hAnsi="微软雅黑" w:eastAsia="微软雅黑" w:cs="微软雅黑"/>
          <w:b w:val="0"/>
          <w:color w:val="333333"/>
          <w:sz w:val="22"/>
          <w:szCs w:val="22"/>
          <w:lang w:val="en-US" w:eastAsia="zh-CN"/>
        </w:rPr>
        <w:t>行政审批服务局办公室</w:t>
      </w:r>
      <w:r>
        <w:rPr>
          <w:rFonts w:hint="eastAsia" w:ascii="微软雅黑" w:hAnsi="微软雅黑" w:eastAsia="微软雅黑" w:cs="微软雅黑"/>
          <w:b w:val="0"/>
          <w:color w:val="333333"/>
          <w:sz w:val="22"/>
          <w:szCs w:val="22"/>
        </w:rPr>
        <w:t>联系（地址：汶上县</w:t>
      </w:r>
      <w:r>
        <w:rPr>
          <w:rFonts w:hint="eastAsia" w:ascii="微软雅黑" w:hAnsi="微软雅黑" w:eastAsia="微软雅黑" w:cs="微软雅黑"/>
          <w:b w:val="0"/>
          <w:color w:val="333333"/>
          <w:sz w:val="22"/>
          <w:szCs w:val="22"/>
          <w:lang w:val="en-US" w:eastAsia="zh-CN"/>
        </w:rPr>
        <w:t xml:space="preserve">明星路2155号  </w:t>
      </w:r>
      <w:r>
        <w:rPr>
          <w:rFonts w:hint="eastAsia" w:ascii="微软雅黑" w:hAnsi="微软雅黑" w:eastAsia="微软雅黑" w:cs="微软雅黑"/>
          <w:b w:val="0"/>
          <w:color w:val="333333"/>
          <w:sz w:val="22"/>
          <w:szCs w:val="22"/>
        </w:rPr>
        <w:t>邮编：272500；电话：0537-72</w:t>
      </w:r>
      <w:r>
        <w:rPr>
          <w:rFonts w:hint="eastAsia" w:ascii="微软雅黑" w:hAnsi="微软雅黑" w:eastAsia="微软雅黑" w:cs="微软雅黑"/>
          <w:b w:val="0"/>
          <w:color w:val="333333"/>
          <w:sz w:val="22"/>
          <w:szCs w:val="22"/>
          <w:lang w:val="en-US" w:eastAsia="zh-CN"/>
        </w:rPr>
        <w:t>81890</w:t>
      </w:r>
      <w:bookmarkStart w:id="0" w:name="_GoBack"/>
      <w:bookmarkEnd w:id="0"/>
      <w:r>
        <w:rPr>
          <w:rFonts w:hint="eastAsia" w:ascii="微软雅黑" w:hAnsi="微软雅黑" w:eastAsia="微软雅黑" w:cs="微软雅黑"/>
          <w:b w:val="0"/>
          <w:color w:val="333333"/>
          <w:sz w:val="22"/>
          <w:szCs w:val="22"/>
        </w:rPr>
        <w:t>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7"/>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一、总体情况</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2019年，县行政审批服务局严格贯彻落实县政府办公室关于政务公开工作的各项政策方针，认真落实整改督查考核中出现的问题，确保我局政务公开工作扎实推进。</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一）高度重视，加强组织领导。局党组高度重视政务公开工作，大力强化组织领导，落实政务公开工作责任制。主要负责人定期听取汇报、协调解决问题，分管负责人直接参与、落实责任，确保各项公开工作任务完成。局党组根据政务公开新任务新要求新职责，配齐配强了工作人员和承办科室。</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二）规范流程，将日常公开扎实推进。2019年共完成行政许可事项公示105项，群众可通过网站进行实时跟踪和查询与切身利益息息相关的有关项目批示、教育、食药、文化许可等审批事项，提升了工作透明度，保证了群众知情权；同时不断按要求对机构职能、领导信息、信息公开指南、信息公开年报等进行了维护和更新。</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三）主动公开，积极回应群众关切。一是通过市长热线、O2O平台及时积极回应群众诉求，办结率100%，一方面为群众答疑解惑、切实解决群众难题；另一方面通过电话沟通为群众普及我局业务受理范围，引导群众通过政务公开网站了解我局办事指南和办事流程。二是2019年通过微信公众号“汶上政务”及时发布与群众利益息息相关的实事，包括我局召开的会议、组织的培训、开展的活动等共计80余条；三是通过政务公开网站及时发布并维护信息，公开内容涉及机构职能、领导班子分工、法规文件、执法信息、政协人大提案回复等与群众切身利益相关的信息。</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四）强化监督，确保政务公开落实。严把公开内容，既防止该公开的不公开，搞半公开、假公开，又防止不该公开的乱公开。采取多种形式，强化监督检查工作，采取定期检查和不定期检查想结合，定期召开政务公开工作座谈会、专题研究会、培训会、听取各业务科室反映等形式为政务公开工作建言献策。同时鼓励广大干部群众积极参与监督，积极反应公开过程中存在的突出问题，使公开工作更加扎实、有序开展。</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二、主动公开政府信息情况</w:t>
      </w:r>
    </w:p>
    <w:tbl>
      <w:tblPr>
        <w:tblStyle w:val="3"/>
        <w:tblW w:w="8145" w:type="dxa"/>
        <w:tblInd w:w="0" w:type="dxa"/>
        <w:shd w:val="clear" w:color="auto" w:fill="auto"/>
        <w:tblLayout w:type="autofit"/>
        <w:tblCellMar>
          <w:top w:w="15" w:type="dxa"/>
          <w:left w:w="15" w:type="dxa"/>
          <w:bottom w:w="15" w:type="dxa"/>
          <w:right w:w="15" w:type="dxa"/>
        </w:tblCellMar>
      </w:tblPr>
      <w:tblGrid>
        <w:gridCol w:w="3120"/>
        <w:gridCol w:w="1875"/>
        <w:gridCol w:w="1275"/>
        <w:gridCol w:w="1875"/>
      </w:tblGrid>
      <w:tr>
        <w:tblPrEx>
          <w:shd w:val="clear" w:color="auto" w:fill="auto"/>
          <w:tblCellMar>
            <w:top w:w="15" w:type="dxa"/>
            <w:left w:w="15" w:type="dxa"/>
            <w:bottom w:w="15" w:type="dxa"/>
            <w:right w:w="15"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第二十条第（一）项</w:t>
            </w:r>
          </w:p>
        </w:tc>
      </w:tr>
      <w:tr>
        <w:tblPrEx>
          <w:shd w:val="clear" w:color="auto" w:fill="auto"/>
          <w:tblCellMar>
            <w:top w:w="15" w:type="dxa"/>
            <w:left w:w="15" w:type="dxa"/>
            <w:bottom w:w="15" w:type="dxa"/>
            <w:right w:w="15"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本年新</w:t>
            </w:r>
            <w:r>
              <w:rPr>
                <w:rFonts w:hint="eastAsia" w:ascii="微软雅黑" w:hAnsi="微软雅黑" w:eastAsia="微软雅黑" w:cs="微软雅黑"/>
                <w:b w:val="0"/>
                <w:color w:val="333333"/>
                <w:sz w:val="22"/>
                <w:szCs w:val="22"/>
              </w:rPr>
              <w:br w:type="textWrapping"/>
            </w:r>
            <w:r>
              <w:rPr>
                <w:rFonts w:hint="eastAsia" w:ascii="微软雅黑" w:hAnsi="微软雅黑" w:eastAsia="微软雅黑" w:cs="微软雅黑"/>
                <w:b w:val="0"/>
                <w:color w:val="333333"/>
                <w:sz w:val="22"/>
                <w:szCs w:val="22"/>
              </w:rPr>
              <w:t>制作数量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本年新</w:t>
            </w:r>
            <w:r>
              <w:rPr>
                <w:rFonts w:hint="eastAsia" w:ascii="微软雅黑" w:hAnsi="微软雅黑" w:eastAsia="微软雅黑" w:cs="微软雅黑"/>
                <w:b w:val="0"/>
                <w:color w:val="333333"/>
                <w:sz w:val="22"/>
                <w:szCs w:val="22"/>
              </w:rPr>
              <w:br w:type="textWrapping"/>
            </w:r>
            <w:r>
              <w:rPr>
                <w:rFonts w:hint="eastAsia" w:ascii="微软雅黑" w:hAnsi="微软雅黑" w:eastAsia="微软雅黑" w:cs="微软雅黑"/>
                <w:b w:val="0"/>
                <w:color w:val="333333"/>
                <w:sz w:val="22"/>
                <w:szCs w:val="22"/>
              </w:rPr>
              <w:t>公开数量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对外公开总数量</w:t>
            </w:r>
          </w:p>
        </w:tc>
      </w:tr>
      <w:tr>
        <w:tblPrEx>
          <w:shd w:val="clear" w:color="auto" w:fill="auto"/>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规章</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CellMar>
            <w:top w:w="15" w:type="dxa"/>
            <w:left w:w="15" w:type="dxa"/>
            <w:bottom w:w="15" w:type="dxa"/>
            <w:right w:w="15"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规范性文件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第二十条第（五）项</w:t>
            </w:r>
          </w:p>
        </w:tc>
      </w:tr>
      <w:tr>
        <w:tblPrEx>
          <w:shd w:val="clear" w:color="auto" w:fill="auto"/>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本年增/减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处理决定数量</w:t>
            </w:r>
          </w:p>
        </w:tc>
      </w:tr>
      <w:tr>
        <w:tblPrEx>
          <w:shd w:val="clear" w:color="auto" w:fill="auto"/>
          <w:tblCellMar>
            <w:top w:w="15" w:type="dxa"/>
            <w:left w:w="15" w:type="dxa"/>
            <w:bottom w:w="15" w:type="dxa"/>
            <w:right w:w="15"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行政许可</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105</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105</w:t>
            </w:r>
          </w:p>
        </w:tc>
      </w:tr>
      <w:tr>
        <w:tblPrEx>
          <w:shd w:val="clear" w:color="auto" w:fill="auto"/>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shd w:val="clear" w:color="auto" w:fill="auto"/>
          <w:tblCellMar>
            <w:top w:w="15" w:type="dxa"/>
            <w:left w:w="15" w:type="dxa"/>
            <w:bottom w:w="15" w:type="dxa"/>
            <w:right w:w="15"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第二十条第（六）项</w:t>
            </w:r>
          </w:p>
        </w:tc>
      </w:tr>
      <w:tr>
        <w:tblPrEx>
          <w:shd w:val="clear" w:color="auto" w:fill="auto"/>
          <w:tblCellMar>
            <w:top w:w="15" w:type="dxa"/>
            <w:left w:w="15" w:type="dxa"/>
            <w:bottom w:w="15" w:type="dxa"/>
            <w:right w:w="15"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本年增/减</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处理决定数量</w:t>
            </w:r>
          </w:p>
        </w:tc>
      </w:tr>
      <w:tr>
        <w:tblPrEx>
          <w:shd w:val="clear" w:color="auto" w:fill="auto"/>
          <w:tblCellMar>
            <w:top w:w="15" w:type="dxa"/>
            <w:left w:w="15" w:type="dxa"/>
            <w:bottom w:w="15" w:type="dxa"/>
            <w:right w:w="15"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行政处罚</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shd w:val="clear" w:color="auto" w:fill="auto"/>
          <w:tblCellMar>
            <w:top w:w="15" w:type="dxa"/>
            <w:left w:w="15" w:type="dxa"/>
            <w:bottom w:w="15" w:type="dxa"/>
            <w:right w:w="15"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行政强制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2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shd w:val="clear" w:color="auto" w:fill="auto"/>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第二十条第（八）项</w:t>
            </w:r>
          </w:p>
        </w:tc>
      </w:tr>
      <w:tr>
        <w:tblPrEx>
          <w:shd w:val="clear" w:color="auto" w:fill="auto"/>
          <w:tblCellMar>
            <w:top w:w="15" w:type="dxa"/>
            <w:left w:w="15" w:type="dxa"/>
            <w:bottom w:w="15" w:type="dxa"/>
            <w:right w:w="15"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上一年项目数量</w:t>
            </w:r>
          </w:p>
        </w:tc>
        <w:tc>
          <w:tcPr>
            <w:tcW w:w="315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本年增/减</w:t>
            </w:r>
          </w:p>
        </w:tc>
      </w:tr>
      <w:tr>
        <w:tblPrEx>
          <w:shd w:val="clear" w:color="auto" w:fill="auto"/>
          <w:tblCellMar>
            <w:top w:w="15" w:type="dxa"/>
            <w:left w:w="15" w:type="dxa"/>
            <w:bottom w:w="15" w:type="dxa"/>
            <w:right w:w="15"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行政事业性收费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315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shd w:val="clear" w:color="auto" w:fill="auto"/>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第二十条第（九）项</w:t>
            </w:r>
          </w:p>
        </w:tc>
      </w:tr>
      <w:tr>
        <w:tblPrEx>
          <w:shd w:val="clear" w:color="auto" w:fill="auto"/>
          <w:tblCellMar>
            <w:top w:w="15" w:type="dxa"/>
            <w:left w:w="15" w:type="dxa"/>
            <w:bottom w:w="15" w:type="dxa"/>
            <w:right w:w="15"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采购项目数量</w:t>
            </w:r>
          </w:p>
        </w:tc>
        <w:tc>
          <w:tcPr>
            <w:tcW w:w="3150"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采购总金额</w:t>
            </w:r>
          </w:p>
        </w:tc>
      </w:tr>
      <w:tr>
        <w:tblPrEx>
          <w:shd w:val="clear" w:color="auto" w:fill="auto"/>
          <w:tblCellMar>
            <w:top w:w="15" w:type="dxa"/>
            <w:left w:w="15" w:type="dxa"/>
            <w:bottom w:w="15" w:type="dxa"/>
            <w:right w:w="15"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政府集中采购</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315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bl>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三、收到和处理政府信息公开申请情况</w:t>
      </w:r>
    </w:p>
    <w:tbl>
      <w:tblPr>
        <w:tblStyle w:val="3"/>
        <w:tblW w:w="907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0"/>
        <w:gridCol w:w="870"/>
        <w:gridCol w:w="2068"/>
        <w:gridCol w:w="808"/>
        <w:gridCol w:w="751"/>
        <w:gridCol w:w="751"/>
        <w:gridCol w:w="808"/>
        <w:gridCol w:w="967"/>
        <w:gridCol w:w="708"/>
        <w:gridCol w:w="6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48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（本列数据的勾稽关系为：第一项加第二项之和，等于第三项加第四项之和）</w:t>
            </w:r>
          </w:p>
        </w:tc>
        <w:tc>
          <w:tcPr>
            <w:tcW w:w="5595"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48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2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自然人</w:t>
            </w:r>
          </w:p>
        </w:tc>
        <w:tc>
          <w:tcPr>
            <w:tcW w:w="406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法人或其他组织</w:t>
            </w:r>
          </w:p>
        </w:tc>
        <w:tc>
          <w:tcPr>
            <w:tcW w:w="70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48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2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商业企业</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科研机构</w:t>
            </w:r>
          </w:p>
        </w:tc>
        <w:tc>
          <w:tcPr>
            <w:tcW w:w="82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社会公益组织</w:t>
            </w:r>
          </w:p>
        </w:tc>
        <w:tc>
          <w:tcPr>
            <w:tcW w:w="9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法律服务机构</w:t>
            </w:r>
          </w:p>
        </w:tc>
        <w:tc>
          <w:tcPr>
            <w:tcW w:w="7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其他</w:t>
            </w:r>
          </w:p>
        </w:tc>
        <w:tc>
          <w:tcPr>
            <w:tcW w:w="70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一、本年新收政府信息公开申请数量</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二、上年结转政府信息公开申请数量</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三、本年度办理结果</w:t>
            </w:r>
          </w:p>
        </w:tc>
        <w:tc>
          <w:tcPr>
            <w:tcW w:w="298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（一）予以公开</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98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（二）部分公开（区分处理的，只计这一情形，不计其他情形）</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（三）不予公开</w:t>
            </w: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1.属于国家秘密</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2.其他法律行政法规禁止公开</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3.危及“三安全一稳定”</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4.保护第三方合法权益</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5.属于三类内部事务信息</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6.属于四类过程性信息</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7.属于行政执法案卷</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8.属于行政查询事项</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（四）无法提供</w:t>
            </w: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1.本机关不掌握相关政府信息</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2.没有现成信息需要另行制作</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3.补正后申请内容仍不明确</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（五）不予处理</w:t>
            </w: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1.信访举报投诉类申请</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2.重复申请</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3.要求提供公开出版物</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4.无正当理由大量反复申请</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1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5.要求行政机关确认或重新出具已获取信息</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98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（六）其他处理</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49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298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（七）总计</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48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四、结转下年度继续办理</w:t>
            </w: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8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9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bl>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四、政府信息公开行政复议、行政诉讼情况</w:t>
      </w:r>
    </w:p>
    <w:tbl>
      <w:tblPr>
        <w:tblStyle w:val="3"/>
        <w:tblW w:w="907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540"/>
        <w:gridCol w:w="675"/>
        <w:gridCol w:w="660"/>
        <w:gridCol w:w="555"/>
        <w:gridCol w:w="600"/>
        <w:gridCol w:w="600"/>
        <w:gridCol w:w="600"/>
        <w:gridCol w:w="615"/>
        <w:gridCol w:w="600"/>
        <w:gridCol w:w="600"/>
        <w:gridCol w:w="600"/>
        <w:gridCol w:w="600"/>
        <w:gridCol w:w="63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结果纠正</w:t>
            </w:r>
          </w:p>
        </w:tc>
        <w:tc>
          <w:tcPr>
            <w:tcW w:w="54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其他结果</w:t>
            </w:r>
          </w:p>
        </w:tc>
        <w:tc>
          <w:tcPr>
            <w:tcW w:w="67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54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67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微软雅黑" w:hAnsi="微软雅黑" w:eastAsia="微软雅黑" w:cs="微软雅黑"/>
                <w:b w:val="0"/>
                <w:color w:val="333333"/>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5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b w:val="0"/>
                <w:color w:val="333333"/>
              </w:rPr>
            </w:pP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420" w:lineRule="atLeast"/>
              <w:jc w:val="left"/>
              <w:rPr>
                <w:color w:val="333333"/>
                <w:sz w:val="22"/>
                <w:szCs w:val="22"/>
              </w:rPr>
            </w:pPr>
            <w:r>
              <w:rPr>
                <w:rFonts w:hint="eastAsia" w:ascii="微软雅黑" w:hAnsi="微软雅黑" w:eastAsia="微软雅黑" w:cs="微软雅黑"/>
                <w:b w:val="0"/>
                <w:color w:val="333333"/>
                <w:sz w:val="22"/>
                <w:szCs w:val="22"/>
              </w:rPr>
              <w:t>0</w:t>
            </w:r>
          </w:p>
        </w:tc>
      </w:tr>
    </w:tbl>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五、存在的主要问题及改进情况</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存在问题：政务公开信息范围比较窄；和群众互动较少。</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改进情况：一是丰富政务信息公开的内容和形式。结合我局实情，开通多种形式的政务信息公开，尤其是群众关心的热点公开，丰富解读形式，以文字为主，辅以图表、图示，让政务公开内容更明了，提高群众“点击量”和局相关文件政策的知晓度，主动接受群众的监督。二是加大政务公开的自查整改力度。认真对待政务公开日常督查和年终考核工作，通过督查考核进一步落实工作措施。同时根据政务办提出的整改意见，对自身的政务公开网站存在的问题及时进行整改并做好总结工作，进一步规范我局政务信息发布工作。三是加强学习，在提高认识上下功夫。首先组织局各位同事认真学习《中华人民共和国政府信息公开条例》等有关法律法规和政策，使其充分认识到政务公开的重要性和紧迫性，消除认识上的误区和片面性。其次，主动向政务公开工作优秀的部门对标看齐，加强学习和交流，提升自身工作水平。</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六、其他需要报告的事项</w:t>
      </w:r>
    </w:p>
    <w:p>
      <w:pPr>
        <w:pStyle w:val="2"/>
        <w:keepNext w:val="0"/>
        <w:keepLines w:val="0"/>
        <w:widowControl/>
        <w:suppressLineNumbers w:val="0"/>
        <w:spacing w:before="602" w:beforeAutospacing="0" w:after="450" w:afterAutospacing="0" w:line="420" w:lineRule="atLeast"/>
        <w:ind w:left="0" w:right="0" w:firstLine="420"/>
        <w:jc w:val="left"/>
        <w:rPr>
          <w:color w:val="333333"/>
          <w:sz w:val="22"/>
          <w:szCs w:val="22"/>
        </w:rPr>
      </w:pPr>
      <w:r>
        <w:rPr>
          <w:rFonts w:hint="eastAsia" w:ascii="微软雅黑" w:hAnsi="微软雅黑" w:eastAsia="微软雅黑" w:cs="微软雅黑"/>
          <w:b w:val="0"/>
          <w:color w:val="333333"/>
          <w:sz w:val="22"/>
          <w:szCs w:val="22"/>
        </w:rPr>
        <w:t>无。</w:t>
      </w:r>
    </w:p>
    <w:p>
      <w:pPr>
        <w:pStyle w:val="2"/>
        <w:keepNext w:val="0"/>
        <w:keepLines w:val="0"/>
        <w:widowControl/>
        <w:suppressLineNumbers w:val="0"/>
        <w:spacing w:before="602" w:beforeAutospacing="0" w:after="450" w:afterAutospacing="0" w:line="420" w:lineRule="atLeast"/>
        <w:ind w:left="0" w:right="0"/>
        <w:rPr>
          <w:color w:val="333333"/>
          <w:sz w:val="22"/>
          <w:szCs w:val="22"/>
        </w:rPr>
      </w:pPr>
    </w:p>
    <w:p>
      <w:pPr>
        <w:keepNext w:val="0"/>
        <w:keepLines w:val="0"/>
        <w:widowControl/>
        <w:suppressLineNumbers w:val="0"/>
        <w:pBdr>
          <w:top w:val="none" w:color="auto" w:sz="0" w:space="0"/>
          <w:bottom w:val="none" w:color="auto" w:sz="0" w:space="0"/>
        </w:pBdr>
        <w:spacing w:before="750" w:beforeAutospacing="0" w:after="1050" w:afterAutospacing="0" w:line="390" w:lineRule="atLeast"/>
        <w:ind w:left="0" w:right="0"/>
        <w:jc w:val="left"/>
        <w:rPr>
          <w:rFonts w:hint="eastAsia" w:ascii="微软雅黑" w:hAnsi="微软雅黑" w:eastAsia="微软雅黑" w:cs="微软雅黑"/>
          <w:b w:val="0"/>
          <w:color w:val="333333"/>
          <w:sz w:val="22"/>
          <w:szCs w:val="22"/>
        </w:rPr>
      </w:pPr>
      <w:r>
        <w:rPr>
          <w:rFonts w:hint="eastAsia" w:ascii="微软雅黑" w:hAnsi="微软雅黑" w:eastAsia="微软雅黑" w:cs="微软雅黑"/>
          <w:b w:val="0"/>
          <w:color w:val="333333"/>
          <w:kern w:val="0"/>
          <w:sz w:val="22"/>
          <w:szCs w:val="22"/>
          <w:lang w:val="en-US" w:eastAsia="zh-CN" w:bidi="ar"/>
        </w:rPr>
        <w:t>信息来源：县行政审批服务局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F7B55"/>
    <w:rsid w:val="221B18F1"/>
    <w:rsid w:val="2F6F7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qFormat/>
    <w:uiPriority w:val="0"/>
    <w:rPr>
      <w:color w:val="333333"/>
      <w:u w:val="none"/>
    </w:rPr>
  </w:style>
  <w:style w:type="paragraph" w:customStyle="1" w:styleId="8">
    <w:name w:val="con-title"/>
    <w:basedOn w:val="1"/>
    <w:uiPriority w:val="0"/>
    <w:pPr>
      <w:pBdr>
        <w:bottom w:val="single" w:color="717171" w:sz="12" w:space="0"/>
      </w:pBdr>
      <w:spacing w:line="750" w:lineRule="atLeast"/>
      <w:jc w:val="center"/>
    </w:pPr>
    <w:rPr>
      <w:color w:val="000000"/>
      <w:kern w:val="0"/>
      <w:sz w:val="37"/>
      <w:szCs w:val="3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2020-06-09T10:36:00Z</dcterms:created>
  <dc:creator>SPJ3</dc:creator>
  <cp:lastModifiedBy>SPJ3</cp:lastModifiedBy>
  <dcterms:modified xsi:type="dcterms:W3CDTF">2020-06-09T10:54:39Z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