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（三）义务教育领域基层政务公开标准目录</w:t>
      </w:r>
      <w:bookmarkEnd w:id="0"/>
    </w:p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900"/>
        <w:gridCol w:w="2340"/>
        <w:gridCol w:w="2520"/>
        <w:gridCol w:w="1620"/>
        <w:gridCol w:w="900"/>
        <w:gridCol w:w="2160"/>
        <w:gridCol w:w="540"/>
        <w:gridCol w:w="709"/>
        <w:gridCol w:w="11"/>
        <w:gridCol w:w="540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Times New Roman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财务信息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财务信息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财务管理及监督办法、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年度经费预决算信息、收费项目及收费标准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>教办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>汶上县政府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网站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招生管理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学校介绍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办学性质、办学地点、办学规模、办学基本条件、联系方式等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《政府信息公开条例》、《教育部关于进一步做好小学升入初中免试就近入学工作的实施意见》、《教育部关于推进中小学信息公开工作的意见》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>教办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>汶上县政府网站</w:t>
            </w: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学生管理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义务教育学生资助政策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统一城乡义务教育“两免一补”政策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《政府信息公开条例》、《国务院关于进一步完善城乡义务教育经费保障机制的通知》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>教办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>汶上县政府网站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MGI2MjBhMmI2NjliNzNhOTE4Y2YzNjQxNGNhZjQifQ=="/>
  </w:docVars>
  <w:rsids>
    <w:rsidRoot w:val="6A173D03"/>
    <w:rsid w:val="6A173D03"/>
    <w:rsid w:val="7F08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444</Characters>
  <Lines>0</Lines>
  <Paragraphs>0</Paragraphs>
  <TotalTime>0</TotalTime>
  <ScaleCrop>false</ScaleCrop>
  <LinksUpToDate>false</LinksUpToDate>
  <CharactersWithSpaces>452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2020-12-03T03:39:00Z</dcterms:created>
  <dc:creator>糖炒栗子 ້໌ᮨ</dc:creator>
  <cp:lastModifiedBy>Administrator</cp:lastModifiedBy>
  <dcterms:modified xsi:type="dcterms:W3CDTF">2022-12-01T02:39:40Z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1148670403_cloud</vt:lpwstr>
  </property>
  <property fmtid="{D5CDD505-2E9C-101B-9397-08002B2CF9AE}" pid="4" name="ICV">
    <vt:lpwstr>622EC59617B44D249802E13D8B3B51F9</vt:lpwstr>
  </property>
</Properties>
</file>