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开办公司</w:t>
      </w:r>
      <w:r>
        <w:rPr>
          <w:rFonts w:hint="default" w:ascii="Times New Roman" w:hAnsi="Times New Roman" w:eastAsia="方正小标宋简体" w:cs="Times New Roman"/>
          <w:color w:val="auto"/>
          <w:sz w:val="44"/>
          <w:szCs w:val="44"/>
        </w:rPr>
        <w:t>“一件事”</w:t>
      </w:r>
      <w:bookmarkStart w:id="0" w:name="_GoBack"/>
      <w:bookmarkEnd w:id="0"/>
      <w:r>
        <w:rPr>
          <w:rFonts w:hint="eastAsia" w:ascii="方正小标宋简体" w:hAnsi="方正小标宋简体" w:eastAsia="方正小标宋简体" w:cs="方正小标宋简体"/>
          <w:sz w:val="44"/>
          <w:szCs w:val="44"/>
        </w:rPr>
        <w:t>服务指南</w:t>
      </w:r>
    </w:p>
    <w:p>
      <w:pPr>
        <w:keepNext w:val="0"/>
        <w:keepLines w:val="0"/>
        <w:pageBreakBefore w:val="0"/>
        <w:widowControl w:val="0"/>
        <w:kinsoku/>
        <w:wordWrap/>
        <w:overflowPunct/>
        <w:topLinePunct w:val="0"/>
        <w:autoSpaceDE/>
        <w:autoSpaceDN/>
        <w:bidi w:val="0"/>
        <w:adjustRightInd/>
        <w:snapToGrid w:val="0"/>
        <w:spacing w:before="313" w:beforeLines="100"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一、事项名称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开办公司</w:t>
      </w:r>
      <w:r>
        <w:rPr>
          <w:rFonts w:hint="eastAsia" w:ascii="仿宋_GB2312" w:hAnsi="仿宋_GB2312" w:eastAsia="仿宋_GB2312" w:cs="仿宋_GB2312"/>
          <w:sz w:val="32"/>
          <w:szCs w:val="32"/>
        </w:rPr>
        <w:t>“一件事”</w:t>
      </w:r>
      <w:r>
        <w:rPr>
          <w:rFonts w:hint="eastAsia" w:ascii="仿宋_GB2312" w:hAnsi="仿宋_GB2312" w:eastAsia="仿宋_GB2312" w:cs="仿宋_GB2312"/>
          <w:sz w:val="32"/>
          <w:szCs w:val="32"/>
          <w:lang w:eastAsia="zh-CN"/>
        </w:rPr>
        <w:t>，主要包含公司设立登记、公章刻制、申领发票、企业社会保险登记、单位参保登记（医保）、银行预约开户等事项。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服务对象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在</w:t>
      </w:r>
      <w:r>
        <w:rPr>
          <w:rFonts w:hint="eastAsia" w:ascii="仿宋" w:hAnsi="仿宋" w:eastAsia="仿宋" w:cs="仿宋_GB2312"/>
          <w:sz w:val="32"/>
          <w:szCs w:val="32"/>
          <w:lang w:eastAsia="zh-CN"/>
        </w:rPr>
        <w:t>本</w:t>
      </w:r>
      <w:r>
        <w:rPr>
          <w:rFonts w:hint="eastAsia" w:ascii="仿宋" w:hAnsi="仿宋" w:eastAsia="仿宋" w:cs="仿宋_GB2312"/>
          <w:sz w:val="32"/>
          <w:szCs w:val="32"/>
        </w:rPr>
        <w:t>辖区内依法取得相应住所所有权或使用权，且符合所在区域内产业政策的，均可申请。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三、办理条件</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申请营业执照办理（以公司为例）1、设立有限责任公司，应当具备下列条件：(一)股东符合法定人数;(二)有符合公司章程规定的全体股东认缴的出资额;(三)股东共同制定公司章程;(四)有公司名称，建立符合有限责任公司要求的组织机构;(五)有公司住所。2、设立股份有限公司，应当具备下列条件：(一)发起人符合法定人数;(二)有符合公司章程规定的全体发起人认购的股本总额或者募集的实收股本总额;(三)股份发行、筹办事项符合法律规定;(四)发起人制订公司章程，采用募集方式设立的经创立大会通过;(五)有公司名称，建立符合股份有限公司要求的组织机构;(六)有公司住所。（二）申请公章刻制办理备案材料齐全且符合法定形式。（三）申请税务事项办理、税务发票申领办理本市范围内依法成立的企业、个体经济组织。（四）申请税控设备申领安装办理符合税务机关依法可以申领安装税控设备条件的纳税人。（五）申请银行开户业务办理依法成立的企业、个体经济组织。（六）申请社会保险参保办理本市范围内依法成立的用人单位（包括企业、个体经济组织）的职工。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四、材料清单</w:t>
      </w:r>
    </w:p>
    <w:tbl>
      <w:tblPr>
        <w:tblStyle w:val="6"/>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92"/>
        <w:gridCol w:w="1517"/>
        <w:gridCol w:w="1600"/>
        <w:gridCol w:w="1600"/>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5" w:type="dxa"/>
            <w:shd w:val="clear" w:color="auto" w:fill="auto"/>
            <w:vAlign w:val="center"/>
          </w:tcPr>
          <w:p>
            <w:pPr>
              <w:snapToGrid w:val="0"/>
              <w:spacing w:line="560" w:lineRule="exact"/>
              <w:jc w:val="center"/>
              <w:rPr>
                <w:rFonts w:ascii="仿宋" w:hAnsi="仿宋" w:eastAsia="仿宋"/>
                <w:b/>
                <w:sz w:val="32"/>
                <w:szCs w:val="32"/>
              </w:rPr>
            </w:pPr>
            <w:r>
              <w:rPr>
                <w:rFonts w:hint="eastAsia" w:ascii="仿宋" w:hAnsi="仿宋" w:eastAsia="仿宋"/>
                <w:b/>
                <w:sz w:val="32"/>
                <w:szCs w:val="32"/>
              </w:rPr>
              <w:t>序号</w:t>
            </w:r>
          </w:p>
        </w:tc>
        <w:tc>
          <w:tcPr>
            <w:tcW w:w="1992" w:type="dxa"/>
            <w:shd w:val="clear" w:color="auto" w:fill="auto"/>
            <w:vAlign w:val="center"/>
          </w:tcPr>
          <w:p>
            <w:pPr>
              <w:snapToGrid w:val="0"/>
              <w:spacing w:line="560" w:lineRule="exact"/>
              <w:jc w:val="center"/>
              <w:rPr>
                <w:rFonts w:ascii="仿宋" w:hAnsi="仿宋" w:eastAsia="仿宋"/>
                <w:b/>
                <w:sz w:val="32"/>
                <w:szCs w:val="32"/>
              </w:rPr>
            </w:pPr>
            <w:r>
              <w:rPr>
                <w:rFonts w:hint="eastAsia" w:ascii="仿宋" w:hAnsi="仿宋" w:eastAsia="仿宋"/>
                <w:b/>
                <w:sz w:val="32"/>
                <w:szCs w:val="32"/>
              </w:rPr>
              <w:t>材料名称</w:t>
            </w:r>
          </w:p>
        </w:tc>
        <w:tc>
          <w:tcPr>
            <w:tcW w:w="1517" w:type="dxa"/>
            <w:shd w:val="clear" w:color="auto" w:fill="auto"/>
            <w:vAlign w:val="center"/>
          </w:tcPr>
          <w:p>
            <w:pPr>
              <w:snapToGrid w:val="0"/>
              <w:spacing w:line="560" w:lineRule="exact"/>
              <w:jc w:val="center"/>
              <w:rPr>
                <w:rFonts w:ascii="仿宋" w:hAnsi="仿宋" w:eastAsia="仿宋"/>
                <w:b/>
                <w:sz w:val="32"/>
                <w:szCs w:val="32"/>
              </w:rPr>
            </w:pPr>
            <w:r>
              <w:rPr>
                <w:rFonts w:hint="eastAsia" w:ascii="仿宋" w:hAnsi="仿宋" w:eastAsia="仿宋"/>
                <w:b/>
                <w:sz w:val="32"/>
                <w:szCs w:val="32"/>
              </w:rPr>
              <w:t>材料类型</w:t>
            </w:r>
          </w:p>
        </w:tc>
        <w:tc>
          <w:tcPr>
            <w:tcW w:w="1600" w:type="dxa"/>
            <w:shd w:val="clear" w:color="auto" w:fill="auto"/>
            <w:vAlign w:val="center"/>
          </w:tcPr>
          <w:p>
            <w:pPr>
              <w:snapToGrid w:val="0"/>
              <w:spacing w:line="560" w:lineRule="exact"/>
              <w:jc w:val="center"/>
              <w:rPr>
                <w:rFonts w:ascii="仿宋" w:hAnsi="仿宋" w:eastAsia="仿宋"/>
                <w:b/>
                <w:sz w:val="32"/>
                <w:szCs w:val="32"/>
              </w:rPr>
            </w:pPr>
            <w:r>
              <w:rPr>
                <w:rFonts w:hint="eastAsia" w:ascii="仿宋" w:hAnsi="仿宋" w:eastAsia="仿宋"/>
                <w:b/>
                <w:sz w:val="32"/>
                <w:szCs w:val="32"/>
              </w:rPr>
              <w:t>材料介质</w:t>
            </w:r>
          </w:p>
        </w:tc>
        <w:tc>
          <w:tcPr>
            <w:tcW w:w="1600" w:type="dxa"/>
            <w:shd w:val="clear" w:color="auto" w:fill="auto"/>
            <w:vAlign w:val="center"/>
          </w:tcPr>
          <w:p>
            <w:pPr>
              <w:snapToGrid w:val="0"/>
              <w:spacing w:line="560" w:lineRule="exact"/>
              <w:jc w:val="center"/>
              <w:rPr>
                <w:rFonts w:ascii="仿宋" w:hAnsi="仿宋" w:eastAsia="仿宋"/>
                <w:b/>
                <w:sz w:val="32"/>
                <w:szCs w:val="32"/>
              </w:rPr>
            </w:pPr>
            <w:r>
              <w:rPr>
                <w:rFonts w:hint="eastAsia" w:ascii="仿宋" w:hAnsi="仿宋" w:eastAsia="仿宋"/>
                <w:b/>
                <w:sz w:val="32"/>
                <w:szCs w:val="32"/>
              </w:rPr>
              <w:t>来源渠道</w:t>
            </w:r>
          </w:p>
        </w:tc>
        <w:tc>
          <w:tcPr>
            <w:tcW w:w="997" w:type="dxa"/>
            <w:shd w:val="clear" w:color="auto" w:fill="auto"/>
            <w:vAlign w:val="center"/>
          </w:tcPr>
          <w:p>
            <w:pPr>
              <w:snapToGrid w:val="0"/>
              <w:spacing w:line="560" w:lineRule="exact"/>
              <w:jc w:val="center"/>
              <w:rPr>
                <w:rFonts w:ascii="仿宋" w:hAnsi="仿宋" w:eastAsia="仿宋"/>
                <w:b/>
                <w:sz w:val="32"/>
                <w:szCs w:val="32"/>
              </w:rPr>
            </w:pPr>
            <w:r>
              <w:rPr>
                <w:rFonts w:hint="eastAsia" w:ascii="仿宋" w:hAnsi="仿宋" w:eastAsia="仿宋"/>
                <w:b/>
                <w:sz w:val="32"/>
                <w:szCs w:val="32"/>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1</w:t>
            </w:r>
          </w:p>
        </w:tc>
        <w:tc>
          <w:tcPr>
            <w:tcW w:w="199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《公司登记（备案）申请书》</w:t>
            </w:r>
          </w:p>
        </w:tc>
        <w:tc>
          <w:tcPr>
            <w:tcW w:w="15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原件</w:t>
            </w:r>
          </w:p>
        </w:tc>
        <w:tc>
          <w:tcPr>
            <w:tcW w:w="16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纸质版和电子版</w:t>
            </w:r>
          </w:p>
        </w:tc>
        <w:tc>
          <w:tcPr>
            <w:tcW w:w="16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申请人自备</w:t>
            </w:r>
          </w:p>
        </w:tc>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2</w:t>
            </w:r>
          </w:p>
        </w:tc>
        <w:tc>
          <w:tcPr>
            <w:tcW w:w="199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公司章程（有限责任公司由全体股东签署，股份有限公司由全体发起人签署）。</w:t>
            </w:r>
          </w:p>
        </w:tc>
        <w:tc>
          <w:tcPr>
            <w:tcW w:w="15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原件</w:t>
            </w:r>
          </w:p>
        </w:tc>
        <w:tc>
          <w:tcPr>
            <w:tcW w:w="16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纸质版和电子版</w:t>
            </w:r>
          </w:p>
        </w:tc>
        <w:tc>
          <w:tcPr>
            <w:tcW w:w="16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申请人自备</w:t>
            </w:r>
          </w:p>
        </w:tc>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val="en-US" w:eastAsia="zh-CN"/>
              </w:rPr>
              <w:t>3</w:t>
            </w:r>
          </w:p>
        </w:tc>
        <w:tc>
          <w:tcPr>
            <w:tcW w:w="199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股东、发起人的主体资格文件或自然人身份证明</w:t>
            </w:r>
          </w:p>
        </w:tc>
        <w:tc>
          <w:tcPr>
            <w:tcW w:w="15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复印件</w:t>
            </w:r>
          </w:p>
        </w:tc>
        <w:tc>
          <w:tcPr>
            <w:tcW w:w="16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eastAsia="zh-CN"/>
              </w:rPr>
              <w:t>纸质版和电子版</w:t>
            </w:r>
          </w:p>
        </w:tc>
        <w:tc>
          <w:tcPr>
            <w:tcW w:w="16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eastAsia="zh-CN"/>
              </w:rPr>
              <w:t>申请人自备</w:t>
            </w:r>
          </w:p>
        </w:tc>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4</w:t>
            </w:r>
          </w:p>
        </w:tc>
        <w:tc>
          <w:tcPr>
            <w:tcW w:w="199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法定代表人、董事、监事和高级管理人员的任职文件。法定代表人、董事、监事和高级管理人员的身份证件复印件（提交纸质材料办理登记的，在申请书中粘贴身份证复印件)。</w:t>
            </w:r>
          </w:p>
        </w:tc>
        <w:tc>
          <w:tcPr>
            <w:tcW w:w="15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原件</w:t>
            </w:r>
          </w:p>
        </w:tc>
        <w:tc>
          <w:tcPr>
            <w:tcW w:w="16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eastAsia="zh-CN"/>
              </w:rPr>
              <w:t>纸质版和电子版</w:t>
            </w:r>
          </w:p>
        </w:tc>
        <w:tc>
          <w:tcPr>
            <w:tcW w:w="16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eastAsia="zh-CN"/>
              </w:rPr>
              <w:t>申请人自备</w:t>
            </w:r>
          </w:p>
        </w:tc>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5</w:t>
            </w:r>
          </w:p>
        </w:tc>
        <w:tc>
          <w:tcPr>
            <w:tcW w:w="199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住所使用相关文件</w:t>
            </w:r>
          </w:p>
        </w:tc>
        <w:tc>
          <w:tcPr>
            <w:tcW w:w="15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eastAsia="zh-CN"/>
              </w:rPr>
              <w:t>原件</w:t>
            </w:r>
          </w:p>
        </w:tc>
        <w:tc>
          <w:tcPr>
            <w:tcW w:w="16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eastAsia="zh-CN"/>
              </w:rPr>
              <w:t>纸质版和电子版</w:t>
            </w:r>
          </w:p>
        </w:tc>
        <w:tc>
          <w:tcPr>
            <w:tcW w:w="16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eastAsia="zh-CN"/>
              </w:rPr>
              <w:t>申请人自备</w:t>
            </w:r>
          </w:p>
        </w:tc>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仿宋" w:hAnsi="仿宋" w:eastAsia="仿宋" w:cs="宋体"/>
                <w:sz w:val="24"/>
                <w:szCs w:val="24"/>
                <w:lang w:val="en-US" w:eastAsia="zh-CN"/>
              </w:rPr>
            </w:pPr>
            <w:r>
              <w:rPr>
                <w:rFonts w:hint="eastAsia" w:ascii="仿宋" w:hAnsi="仿宋" w:eastAsia="仿宋" w:cs="宋体"/>
                <w:sz w:val="24"/>
                <w:szCs w:val="24"/>
                <w:lang w:val="en-US" w:eastAsia="zh-CN"/>
              </w:rPr>
              <w:t>6</w:t>
            </w:r>
          </w:p>
        </w:tc>
        <w:tc>
          <w:tcPr>
            <w:tcW w:w="199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eastAsia="zh-CN"/>
              </w:rPr>
            </w:pPr>
            <w:r>
              <w:rPr>
                <w:rFonts w:hint="eastAsia" w:ascii="仿宋" w:hAnsi="仿宋" w:eastAsia="仿宋" w:cs="宋体"/>
                <w:sz w:val="24"/>
                <w:szCs w:val="24"/>
                <w:lang w:eastAsia="zh-CN"/>
              </w:rPr>
              <w:t>有关批准文件或者许可证件复印件</w:t>
            </w:r>
            <w:r>
              <w:rPr>
                <w:rFonts w:hint="eastAsia" w:ascii="仿宋" w:hAnsi="仿宋" w:eastAsia="仿宋" w:cs="宋体"/>
                <w:b/>
                <w:bCs/>
                <w:sz w:val="24"/>
                <w:szCs w:val="24"/>
                <w:lang w:eastAsia="zh-CN"/>
              </w:rPr>
              <w:t>（非必要）</w:t>
            </w:r>
          </w:p>
        </w:tc>
        <w:tc>
          <w:tcPr>
            <w:tcW w:w="15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eastAsia="zh-CN"/>
              </w:rPr>
              <w:t>复印件</w:t>
            </w:r>
          </w:p>
        </w:tc>
        <w:tc>
          <w:tcPr>
            <w:tcW w:w="16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eastAsia="zh-CN"/>
              </w:rPr>
              <w:t>纸质版和电子版</w:t>
            </w:r>
          </w:p>
        </w:tc>
        <w:tc>
          <w:tcPr>
            <w:tcW w:w="160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eastAsia="zh-CN"/>
              </w:rPr>
              <w:t>申请人自备</w:t>
            </w:r>
          </w:p>
        </w:tc>
        <w:tc>
          <w:tcPr>
            <w:tcW w:w="99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仿宋" w:hAnsi="仿宋" w:eastAsia="仿宋" w:cs="宋体"/>
                <w:sz w:val="24"/>
                <w:szCs w:val="24"/>
                <w:lang w:val="en-US" w:eastAsia="zh-CN"/>
              </w:rPr>
            </w:pPr>
            <w:r>
              <w:rPr>
                <w:rFonts w:hint="eastAsia" w:ascii="仿宋" w:hAnsi="仿宋" w:eastAsia="仿宋" w:cs="宋体"/>
                <w:sz w:val="24"/>
                <w:szCs w:val="24"/>
                <w:lang w:val="en-US" w:eastAsia="zh-CN"/>
              </w:rPr>
              <w:t>1</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办理时限</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default"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lang w:val="en-US" w:eastAsia="zh-CN"/>
        </w:rPr>
        <w:t>即时办理（不含申请人补正申请材料、整改、专家评审、现场核查、公示所需时间）</w:t>
      </w:r>
      <w:r>
        <w:rPr>
          <w:rFonts w:hint="default" w:ascii="Times New Roman" w:hAnsi="Times New Roman" w:eastAsia="仿宋" w:cs="Times New Roman"/>
          <w:b/>
          <w:bCs/>
          <w:color w:val="auto"/>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六、收费依据及标准</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不收费。</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七、结果送达</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1.窗口出件。</w:t>
      </w:r>
      <w:r>
        <w:rPr>
          <w:rFonts w:hint="eastAsia" w:ascii="仿宋_GB2312" w:hAnsi="仿宋_GB2312" w:eastAsia="仿宋_GB2312" w:cs="仿宋_GB2312"/>
          <w:b w:val="0"/>
          <w:bCs w:val="0"/>
          <w:sz w:val="32"/>
          <w:szCs w:val="32"/>
          <w:lang w:val="en-US" w:eastAsia="zh-CN"/>
        </w:rPr>
        <w:t>汶上</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lang w:val="en-US" w:eastAsia="zh-CN"/>
        </w:rPr>
        <w:t>政务</w:t>
      </w:r>
      <w:r>
        <w:rPr>
          <w:rFonts w:hint="eastAsia" w:ascii="仿宋_GB2312" w:hAnsi="仿宋_GB2312" w:eastAsia="仿宋_GB2312" w:cs="仿宋_GB2312"/>
          <w:b w:val="0"/>
          <w:bCs w:val="0"/>
          <w:sz w:val="32"/>
          <w:szCs w:val="32"/>
          <w:lang w:eastAsia="zh-CN"/>
        </w:rPr>
        <w:t>服务中心企业开办专区或各镇街为民服务中心办事窗口</w:t>
      </w:r>
      <w:r>
        <w:rPr>
          <w:rFonts w:hint="eastAsia" w:ascii="仿宋_GB2312" w:hAnsi="仿宋_GB2312" w:eastAsia="仿宋_GB2312" w:cs="仿宋_GB2312"/>
          <w:b w:val="0"/>
          <w:bCs w:val="0"/>
          <w:sz w:val="32"/>
          <w:szCs w:val="32"/>
        </w:rPr>
        <w:t>。</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2.在线查询。</w:t>
      </w:r>
      <w:r>
        <w:rPr>
          <w:rFonts w:hint="eastAsia" w:ascii="仿宋_GB2312" w:hAnsi="仿宋_GB2312" w:eastAsia="仿宋_GB2312" w:cs="仿宋_GB2312"/>
          <w:b w:val="0"/>
          <w:bCs w:val="0"/>
          <w:sz w:val="32"/>
          <w:szCs w:val="32"/>
          <w:lang w:eastAsia="zh-CN"/>
        </w:rPr>
        <w:t>山东省企业开办“一窗通”服务平台（http://218.57.139.23:10010/psout/）</w:t>
      </w:r>
      <w:r>
        <w:rPr>
          <w:rFonts w:hint="eastAsia" w:ascii="仿宋_GB2312" w:hAnsi="仿宋_GB2312" w:eastAsia="仿宋_GB2312" w:cs="仿宋_GB2312"/>
          <w:b w:val="0"/>
          <w:bCs w:val="0"/>
          <w:sz w:val="32"/>
          <w:szCs w:val="32"/>
        </w:rPr>
        <w:t>。</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3.邮寄送达。</w:t>
      </w:r>
      <w:r>
        <w:rPr>
          <w:rFonts w:hint="eastAsia" w:ascii="仿宋_GB2312" w:hAnsi="仿宋_GB2312" w:eastAsia="仿宋_GB2312" w:cs="仿宋_GB2312"/>
          <w:b w:val="0"/>
          <w:bCs w:val="0"/>
          <w:sz w:val="32"/>
          <w:szCs w:val="32"/>
          <w:lang w:eastAsia="zh-CN"/>
        </w:rPr>
        <w:t>山东省企业开办“一窗通”服务平台申请时，领照方式选择邮寄。</w:t>
      </w:r>
    </w:p>
    <w:p>
      <w:pPr>
        <w:pStyle w:val="8"/>
        <w:keepNext w:val="0"/>
        <w:keepLines w:val="0"/>
        <w:pageBreakBefore w:val="0"/>
        <w:kinsoku/>
        <w:wordWrap/>
        <w:overflowPunct/>
        <w:topLinePunct w:val="0"/>
        <w:autoSpaceDE/>
        <w:autoSpaceDN/>
        <w:bidi w:val="0"/>
        <w:adjustRightInd/>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八、咨询途径</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电话：</w:t>
      </w:r>
      <w:r>
        <w:rPr>
          <w:rFonts w:hint="default" w:ascii="Times New Roman" w:hAnsi="Times New Roman" w:eastAsia="仿宋" w:cs="Times New Roman"/>
          <w:b/>
          <w:bCs/>
          <w:color w:val="auto"/>
          <w:sz w:val="32"/>
          <w:szCs w:val="32"/>
          <w:lang w:eastAsia="zh-CN"/>
        </w:rPr>
        <w:t>0537-721</w:t>
      </w:r>
      <w:r>
        <w:rPr>
          <w:rFonts w:hint="default" w:ascii="Times New Roman" w:hAnsi="Times New Roman" w:eastAsia="仿宋" w:cs="Times New Roman"/>
          <w:b/>
          <w:bCs/>
          <w:color w:val="auto"/>
          <w:sz w:val="32"/>
          <w:szCs w:val="32"/>
          <w:lang w:val="en-US" w:eastAsia="zh-CN"/>
        </w:rPr>
        <w:t>8068</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eastAsia="zh-CN"/>
        </w:rPr>
        <w:t>网络：山东省政务服务网。</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现场：</w:t>
      </w:r>
      <w:r>
        <w:rPr>
          <w:rFonts w:hint="eastAsia" w:ascii="仿宋_GB2312" w:hAnsi="仿宋_GB2312" w:eastAsia="仿宋_GB2312" w:cs="仿宋_GB2312"/>
          <w:b w:val="0"/>
          <w:bCs w:val="0"/>
          <w:sz w:val="32"/>
          <w:szCs w:val="32"/>
          <w:lang w:val="en-US" w:eastAsia="zh-CN"/>
        </w:rPr>
        <w:t>汶上</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lang w:val="en-US" w:eastAsia="zh-CN"/>
        </w:rPr>
        <w:t>政务</w:t>
      </w:r>
      <w:r>
        <w:rPr>
          <w:rFonts w:hint="eastAsia" w:ascii="仿宋_GB2312" w:hAnsi="仿宋_GB2312" w:eastAsia="仿宋_GB2312" w:cs="仿宋_GB2312"/>
          <w:b w:val="0"/>
          <w:bCs w:val="0"/>
          <w:sz w:val="32"/>
          <w:szCs w:val="32"/>
          <w:lang w:eastAsia="zh-CN"/>
        </w:rPr>
        <w:t>服务中心企业开办专区或各镇街为民服务中心办事窗口</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九、办理渠道</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1.现场办理。</w:t>
      </w:r>
      <w:r>
        <w:rPr>
          <w:rFonts w:hint="eastAsia" w:ascii="仿宋_GB2312" w:hAnsi="仿宋_GB2312" w:eastAsia="仿宋_GB2312" w:cs="仿宋_GB2312"/>
          <w:b w:val="0"/>
          <w:bCs w:val="0"/>
          <w:sz w:val="32"/>
          <w:szCs w:val="32"/>
          <w:lang w:val="en-US" w:eastAsia="zh-CN"/>
        </w:rPr>
        <w:t>汶上</w:t>
      </w:r>
      <w:r>
        <w:rPr>
          <w:rFonts w:hint="eastAsia" w:ascii="仿宋_GB2312" w:hAnsi="仿宋_GB2312" w:eastAsia="仿宋_GB2312" w:cs="仿宋_GB2312"/>
          <w:b w:val="0"/>
          <w:bCs w:val="0"/>
          <w:sz w:val="32"/>
          <w:szCs w:val="32"/>
          <w:lang w:eastAsia="zh-CN"/>
        </w:rPr>
        <w:t>县</w:t>
      </w:r>
      <w:r>
        <w:rPr>
          <w:rFonts w:hint="eastAsia" w:ascii="仿宋_GB2312" w:hAnsi="仿宋_GB2312" w:eastAsia="仿宋_GB2312" w:cs="仿宋_GB2312"/>
          <w:b w:val="0"/>
          <w:bCs w:val="0"/>
          <w:sz w:val="32"/>
          <w:szCs w:val="32"/>
          <w:lang w:val="en-US" w:eastAsia="zh-CN"/>
        </w:rPr>
        <w:t>政务</w:t>
      </w:r>
      <w:r>
        <w:rPr>
          <w:rFonts w:hint="eastAsia" w:ascii="仿宋_GB2312" w:hAnsi="仿宋_GB2312" w:eastAsia="仿宋_GB2312" w:cs="仿宋_GB2312"/>
          <w:b w:val="0"/>
          <w:bCs w:val="0"/>
          <w:sz w:val="32"/>
          <w:szCs w:val="32"/>
          <w:lang w:eastAsia="zh-CN"/>
        </w:rPr>
        <w:t>服务中心企业开办专区或各镇街为民服务中心办事窗口</w:t>
      </w:r>
      <w:r>
        <w:rPr>
          <w:rFonts w:hint="eastAsia" w:ascii="仿宋_GB2312" w:hAnsi="仿宋_GB2312" w:eastAsia="仿宋_GB2312" w:cs="仿宋_GB2312"/>
          <w:b w:val="0"/>
          <w:bCs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2.网上办理。山东省企业开办“一窗通”服务平台（http://218.57.139.23:10010/psout/）</w:t>
      </w:r>
      <w:r>
        <w:rPr>
          <w:rFonts w:hint="eastAsia" w:ascii="仿宋_GB2312" w:hAnsi="仿宋_GB2312" w:eastAsia="仿宋_GB2312" w:cs="仿宋_GB2312"/>
          <w:b w:val="0"/>
          <w:bCs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3.掌上办：爱山东APP（济宁）企业开办“一窗通”服务平台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firstLine="640" w:firstLineChars="200"/>
        <w:jc w:val="left"/>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4.其他：政银合作网点（就近办）、全市通办、跨市通办、跨省通办</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十、窗口工作时间</w:t>
      </w:r>
    </w:p>
    <w:p>
      <w:pPr>
        <w:keepNext w:val="0"/>
        <w:keepLines w:val="0"/>
        <w:pageBreakBefore w:val="0"/>
        <w:kinsoku/>
        <w:wordWrap/>
        <w:overflowPunct/>
        <w:topLinePunct w:val="0"/>
        <w:autoSpaceDE/>
        <w:autoSpaceDN/>
        <w:bidi w:val="0"/>
        <w:adjustRightInd/>
        <w:snapToGrid w:val="0"/>
        <w:spacing w:line="592" w:lineRule="exact"/>
        <w:ind w:firstLine="643" w:firstLineChars="20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国家法定工作日：9:00-12:00，13:00-17：00</w:t>
      </w:r>
    </w:p>
    <w:p>
      <w:pPr>
        <w:pStyle w:val="9"/>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rPr>
          <w:rFonts w:ascii="黑体" w:hAnsi="黑体" w:eastAsia="黑体" w:cs="黑体"/>
          <w:b w:val="0"/>
          <w:bCs w:val="0"/>
          <w:sz w:val="32"/>
          <w:szCs w:val="32"/>
        </w:rPr>
      </w:pPr>
      <w:r>
        <w:rPr>
          <w:rFonts w:hint="eastAsia" w:ascii="黑体" w:hAnsi="黑体" w:eastAsia="黑体" w:cs="黑体"/>
          <w:b w:val="0"/>
          <w:bCs w:val="0"/>
          <w:sz w:val="32"/>
          <w:szCs w:val="32"/>
        </w:rPr>
        <w:t>十一、监督电话</w:t>
      </w:r>
    </w:p>
    <w:p>
      <w:pPr>
        <w:keepNext w:val="0"/>
        <w:keepLines w:val="0"/>
        <w:pageBreakBefore w:val="0"/>
        <w:numPr>
          <w:ilvl w:val="0"/>
          <w:numId w:val="0"/>
        </w:numPr>
        <w:kinsoku/>
        <w:wordWrap/>
        <w:overflowPunct/>
        <w:topLinePunct w:val="0"/>
        <w:autoSpaceDE/>
        <w:autoSpaceDN/>
        <w:bidi w:val="0"/>
        <w:adjustRightInd/>
        <w:snapToGrid/>
        <w:spacing w:line="600" w:lineRule="exact"/>
        <w:ind w:left="685" w:leftChars="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0537—7260989</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kern w:val="36"/>
          <w:sz w:val="32"/>
          <w:szCs w:val="32"/>
          <w:lang w:val="en-US" w:eastAsia="zh-CN" w:bidi="ar-SA"/>
        </w:rPr>
      </w:pPr>
      <w:r>
        <w:rPr>
          <w:rFonts w:hint="eastAsia" w:ascii="黑体" w:hAnsi="黑体" w:eastAsia="黑体" w:cs="黑体"/>
          <w:b w:val="0"/>
          <w:bCs w:val="0"/>
          <w:kern w:val="36"/>
          <w:sz w:val="32"/>
          <w:szCs w:val="32"/>
          <w:lang w:val="en-US" w:eastAsia="zh-CN" w:bidi="ar-SA"/>
        </w:rPr>
        <w:t>办事流程图</w:t>
      </w:r>
    </w:p>
    <w:p>
      <w:pPr>
        <w:pStyle w:val="5"/>
        <w:widowControl w:val="0"/>
        <w:numPr>
          <w:ilvl w:val="0"/>
          <w:numId w:val="0"/>
        </w:numPr>
        <w:spacing w:after="120"/>
        <w:jc w:val="both"/>
        <w:rPr>
          <w:rFonts w:hint="eastAsia"/>
        </w:rPr>
        <w:sectPr>
          <w:pgSz w:w="11906" w:h="16838"/>
          <w:pgMar w:top="1701" w:right="1474" w:bottom="1701" w:left="1588" w:header="851" w:footer="992" w:gutter="0"/>
          <w:cols w:space="425" w:num="1"/>
          <w:docGrid w:type="lines" w:linePitch="312" w:charSpace="0"/>
        </w:sectPr>
      </w:pPr>
      <w:r>
        <w:rPr>
          <w:b/>
        </w:rPr>
        <w:drawing>
          <wp:inline distT="0" distB="0" distL="0" distR="0">
            <wp:extent cx="5610225" cy="6181725"/>
            <wp:effectExtent l="0" t="0" r="0" b="0"/>
            <wp:docPr id="38" name="图片 38" descr="C:\Users\admin\Desktop\放大版开办流程1206又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admin\Desktop\放大版开办流程1206又改.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610225" cy="6181725"/>
                    </a:xfrm>
                    <a:prstGeom prst="rect">
                      <a:avLst/>
                    </a:prstGeom>
                    <a:noFill/>
                    <a:ln>
                      <a:noFill/>
                    </a:ln>
                  </pic:spPr>
                </pic:pic>
              </a:graphicData>
            </a:graphic>
          </wp:inline>
        </w:drawing>
      </w:r>
    </w:p>
    <w:p>
      <w:pPr>
        <w:rPr>
          <w:rFonts w:hint="eastAsia" w:ascii="黑体" w:hAnsi="黑体" w:eastAsia="黑体" w:cs="黑体"/>
          <w:sz w:val="28"/>
          <w:szCs w:val="28"/>
          <w:lang w:eastAsia="zh-CN"/>
        </w:rPr>
      </w:pPr>
    </w:p>
    <w:sectPr>
      <w:pgSz w:w="16838" w:h="11906" w:orient="landscape"/>
      <w:pgMar w:top="1587" w:right="1701" w:bottom="1474" w:left="1701"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DCE87"/>
    <w:multiLevelType w:val="singleLevel"/>
    <w:tmpl w:val="B1ADCE87"/>
    <w:lvl w:ilvl="0" w:tentative="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ZjM4NTExZmU0ZTAxZjMwMjZlNmJiOWNjNjJmNTUifQ=="/>
  </w:docVars>
  <w:rsids>
    <w:rsidRoot w:val="3EDD1898"/>
    <w:rsid w:val="045F2C76"/>
    <w:rsid w:val="0EBB6403"/>
    <w:rsid w:val="145F00A3"/>
    <w:rsid w:val="14D05D68"/>
    <w:rsid w:val="1ED41732"/>
    <w:rsid w:val="25994230"/>
    <w:rsid w:val="35DD0D80"/>
    <w:rsid w:val="3B4335E9"/>
    <w:rsid w:val="3C1D177F"/>
    <w:rsid w:val="3EDD1898"/>
    <w:rsid w:val="3F462659"/>
    <w:rsid w:val="43A8050F"/>
    <w:rsid w:val="43C52E5F"/>
    <w:rsid w:val="4E1A6FA6"/>
    <w:rsid w:val="4FAF6EA9"/>
    <w:rsid w:val="56E749B6"/>
    <w:rsid w:val="69F06878"/>
    <w:rsid w:val="6C0C71CB"/>
    <w:rsid w:val="6C555413"/>
    <w:rsid w:val="6DA76049"/>
    <w:rsid w:val="7975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r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unhideWhenUsed/>
    <w:qFormat/>
    <w:uiPriority w:val="99"/>
    <w:pPr>
      <w:ind w:firstLine="420" w:firstLineChars="200"/>
    </w:pPr>
  </w:style>
  <w:style w:type="paragraph" w:customStyle="1" w:styleId="8">
    <w:name w:val="列出段落1"/>
    <w:basedOn w:val="1"/>
    <w:qFormat/>
    <w:uiPriority w:val="34"/>
    <w:pPr>
      <w:ind w:firstLine="420" w:firstLineChars="200"/>
    </w:pPr>
    <w:rPr>
      <w:rFonts w:ascii="等线" w:hAnsi="等线" w:eastAsia="等线"/>
      <w:szCs w:val="22"/>
    </w:rPr>
  </w:style>
  <w:style w:type="paragraph" w:customStyle="1" w:styleId="9">
    <w:name w:val="UserStyle_0"/>
    <w:basedOn w:val="1"/>
    <w:next w:val="1"/>
    <w:qFormat/>
    <w:locked/>
    <w:uiPriority w:val="0"/>
    <w:pPr>
      <w:widowControl/>
      <w:spacing w:before="100" w:beforeAutospacing="1" w:after="100" w:afterAutospacing="1"/>
      <w:jc w:val="left"/>
      <w:textAlignment w:val="baseline"/>
    </w:pPr>
    <w:rPr>
      <w:rFonts w:ascii="宋体" w:hAnsi="宋体" w:cs="Times New Roman"/>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2486</Words>
  <Characters>3211</Characters>
  <Lines>0</Lines>
  <Paragraphs>0</Paragraphs>
  <TotalTime>0</TotalTime>
  <ScaleCrop>false</ScaleCrop>
  <LinksUpToDate>false</LinksUpToDate>
  <CharactersWithSpaces>3213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2022-06-10T05:41:00Z</dcterms:created>
  <dc:creator>那一缕阳光</dc:creator>
  <cp:lastModifiedBy>一只小臭狗</cp:lastModifiedBy>
  <dcterms:modified xsi:type="dcterms:W3CDTF">2023-09-06T07:36:01Z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83338B738BCC47D48015903F230380A2</vt:lpwstr>
  </property>
</Properties>
</file>