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959"/>
        <w:gridCol w:w="4293"/>
        <w:gridCol w:w="1193"/>
        <w:gridCol w:w="928"/>
        <w:gridCol w:w="1173"/>
        <w:gridCol w:w="1169"/>
        <w:gridCol w:w="1"/>
        <w:gridCol w:w="1158"/>
        <w:gridCol w:w="2"/>
        <w:gridCol w:w="1160"/>
        <w:gridCol w:w="650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1462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济宁市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一次性创业岗位开发补贴申领表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" w:hRule="atLeast"/>
        </w:trPr>
        <w:tc>
          <w:tcPr>
            <w:tcW w:w="68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9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招用人员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劳动合同（协议）起止时间</w:t>
            </w: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社会保险缴纳时间</w:t>
            </w:r>
          </w:p>
        </w:tc>
        <w:tc>
          <w:tcPr>
            <w:tcW w:w="21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</w:trPr>
        <w:tc>
          <w:tcPr>
            <w:tcW w:w="1247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开户账号</w:t>
            </w:r>
          </w:p>
        </w:tc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4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146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公共就业和人才服务机构审核意见：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                          审核人：                         审核单位：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top"/>
              <w:rPr>
                <w:rFonts w:hint="default" w:ascii="Times New Roman" w:hAnsi="Times New Roman" w:eastAsia="方正仿宋简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月  日                                          年  月  日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1.此表一式两份，单位加盖公章。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</w:rPr>
        <w:t>2.小微企业认定标准按照工业和信息化部、国家统计局、国家发展和改革委员会、财政部《关于印发中小企业划型标准规定的通知》（工信部联企业〔2011〕300号）规定执行。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</w:pPr>
      <w:r>
        <w:rPr>
          <w:rFonts w:hint="default" w:ascii="Times New Roman" w:hAnsi="Times New Roman" w:eastAsia="方正仿宋简体" w:cs="Times New Roman"/>
        </w:rPr>
        <w:t>3.申请单位需提供真实资料并据实填报信息，小微企业吸纳人员必须符合申请条件。如与实际情况不一致，承担相应责任</w:t>
      </w:r>
    </w:p>
    <w:sectPr>
      <w:pgSz w:w="16838" w:h="11906" w:orient="landscape"/>
      <w:pgMar w:top="1406" w:right="1843" w:bottom="1406" w:left="11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1D69452B"/>
    <w:rsid w:val="1D6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2023-12-08T08:02:00Z</dcterms:created>
  <dc:creator>Administrator</dc:creator>
  <cp:lastModifiedBy>Administrator</cp:lastModifiedBy>
  <dcterms:modified xsi:type="dcterms:W3CDTF">2023-12-08T08:03:08Z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4C9C75B810CC4680BE993403A6C3D06F_11</vt:lpwstr>
  </property>
</Properties>
</file>