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D2204F">
      <w:pPr>
        <w:spacing w:line="520" w:lineRule="exact"/>
        <w:rPr>
          <w:rFonts w:ascii="黑体" w:hAnsi="黑体" w:eastAsia="黑体"/>
          <w:sz w:val="32"/>
          <w:szCs w:val="32"/>
        </w:rPr>
      </w:pPr>
      <w:bookmarkStart w:id="1" w:name="_GoBack"/>
      <w:bookmarkEnd w:id="1"/>
      <w:r>
        <w:rPr>
          <w:rFonts w:hint="eastAsia" w:ascii="黑体" w:hAnsi="黑体" w:eastAsia="黑体"/>
          <w:sz w:val="32"/>
          <w:szCs w:val="32"/>
        </w:rPr>
        <w:t>办事服务指南</w:t>
      </w:r>
    </w:p>
    <w:p w14:paraId="3C81B7F6">
      <w:pPr>
        <w:spacing w:line="520" w:lineRule="exact"/>
        <w:jc w:val="center"/>
        <w:rPr>
          <w:rFonts w:hAnsi="仿宋" w:eastAsia="仿宋"/>
          <w:sz w:val="36"/>
          <w:szCs w:val="36"/>
        </w:rPr>
      </w:pPr>
      <w:r>
        <w:rPr>
          <w:rFonts w:hint="eastAsia" w:hAnsi="仿宋" w:eastAsia="仿宋"/>
          <w:sz w:val="36"/>
          <w:szCs w:val="36"/>
        </w:rPr>
        <w:t>物业质量保修金使用审查服务指南</w:t>
      </w:r>
    </w:p>
    <w:p w14:paraId="19D9193E">
      <w:pPr>
        <w:spacing w:line="520" w:lineRule="exact"/>
        <w:jc w:val="left"/>
        <w:rPr>
          <w:rFonts w:hAnsi="仿宋" w:eastAsia="仿宋"/>
          <w:sz w:val="32"/>
          <w:szCs w:val="32"/>
        </w:rPr>
      </w:pPr>
      <w:r>
        <w:rPr>
          <w:rFonts w:hAnsi="仿宋" w:eastAsia="仿宋"/>
          <w:sz w:val="32"/>
          <w:szCs w:val="32"/>
        </w:rPr>
        <w:t>1</w:t>
      </w:r>
      <w:r>
        <w:rPr>
          <w:rFonts w:hint="eastAsia" w:hAnsi="仿宋" w:eastAsia="仿宋"/>
          <w:sz w:val="32"/>
          <w:szCs w:val="32"/>
        </w:rPr>
        <w:t>． 事项名称：物业质量保修金使用审查</w:t>
      </w:r>
    </w:p>
    <w:p w14:paraId="4618F3A0">
      <w:pPr>
        <w:spacing w:line="520" w:lineRule="exact"/>
        <w:rPr>
          <w:rFonts w:hAnsi="仿宋" w:eastAsia="仿宋"/>
          <w:sz w:val="32"/>
          <w:szCs w:val="32"/>
        </w:rPr>
      </w:pPr>
      <w:r>
        <w:rPr>
          <w:rFonts w:hint="eastAsia" w:ascii="Times New Roman" w:hAnsi="Times New Roman" w:eastAsia="仿宋"/>
          <w:sz w:val="32"/>
          <w:szCs w:val="32"/>
        </w:rPr>
        <w:t>2</w:t>
      </w:r>
      <w:r>
        <w:rPr>
          <w:rFonts w:hint="eastAsia" w:ascii="Times New Roman" w:hAnsi="仿宋" w:eastAsia="仿宋"/>
          <w:sz w:val="32"/>
          <w:szCs w:val="32"/>
        </w:rPr>
        <w:t xml:space="preserve">． </w:t>
      </w:r>
      <w:r>
        <w:rPr>
          <w:rFonts w:hint="eastAsia" w:hAnsi="仿宋" w:eastAsia="仿宋"/>
          <w:sz w:val="32"/>
          <w:szCs w:val="32"/>
        </w:rPr>
        <w:t>承办机构：汶上县房地产管理局房屋维修资金管理中心</w:t>
      </w:r>
    </w:p>
    <w:p w14:paraId="58B45839">
      <w:pPr>
        <w:spacing w:line="520" w:lineRule="exact"/>
        <w:ind w:firstLine="630"/>
        <w:rPr>
          <w:rFonts w:hAnsi="仿宋" w:eastAsia="仿宋"/>
          <w:sz w:val="32"/>
          <w:szCs w:val="32"/>
        </w:rPr>
      </w:pPr>
      <w:r>
        <w:rPr>
          <w:rFonts w:hint="eastAsia" w:hAnsi="仿宋" w:eastAsia="仿宋"/>
          <w:sz w:val="32"/>
          <w:szCs w:val="32"/>
        </w:rPr>
        <w:t>办公地址：汶上县政务服务中心房屋维修资金管理中心窗口</w:t>
      </w:r>
    </w:p>
    <w:p w14:paraId="6BA9B2A6">
      <w:pPr>
        <w:spacing w:line="520" w:lineRule="exact"/>
        <w:ind w:firstLine="640" w:firstLineChars="200"/>
        <w:rPr>
          <w:rFonts w:hAnsi="仿宋" w:eastAsia="仿宋"/>
          <w:sz w:val="32"/>
          <w:szCs w:val="32"/>
        </w:rPr>
      </w:pPr>
      <w:r>
        <w:rPr>
          <w:rFonts w:hint="eastAsia" w:hAnsi="仿宋" w:eastAsia="仿宋"/>
          <w:sz w:val="32"/>
          <w:szCs w:val="32"/>
        </w:rPr>
        <w:t>办公电话：0537-7281778</w:t>
      </w:r>
    </w:p>
    <w:p w14:paraId="73A14B38">
      <w:pPr>
        <w:spacing w:line="520" w:lineRule="exact"/>
        <w:ind w:firstLine="640" w:firstLineChars="200"/>
        <w:rPr>
          <w:rFonts w:ascii="Times New Roman" w:hAnsi="Times New Roman" w:eastAsia="仿宋"/>
          <w:sz w:val="32"/>
          <w:szCs w:val="32"/>
        </w:rPr>
      </w:pPr>
      <w:r>
        <w:rPr>
          <w:rFonts w:hint="eastAsia" w:hAnsi="仿宋" w:eastAsia="仿宋"/>
          <w:sz w:val="32"/>
          <w:szCs w:val="32"/>
        </w:rPr>
        <w:t>办公时间:</w:t>
      </w:r>
      <w:r>
        <w:rPr>
          <w:rFonts w:hint="eastAsia" w:ascii="Times New Roman" w:hAnsi="Times New Roman" w:eastAsia="仿宋"/>
          <w:sz w:val="32"/>
          <w:szCs w:val="32"/>
        </w:rPr>
        <w:t xml:space="preserve">  5-9月份  上午：8:30-12:00  下午：14:00-18:00</w:t>
      </w:r>
    </w:p>
    <w:p w14:paraId="45323DFA">
      <w:pPr>
        <w:widowControl/>
        <w:shd w:val="clear" w:color="auto" w:fill="FFFFFF"/>
        <w:spacing w:line="405" w:lineRule="atLeast"/>
        <w:ind w:firstLine="2240" w:firstLineChars="700"/>
        <w:jc w:val="left"/>
        <w:rPr>
          <w:rFonts w:ascii="Times New Roman" w:hAnsi="Times New Roman" w:eastAsia="仿宋"/>
          <w:sz w:val="32"/>
          <w:szCs w:val="32"/>
        </w:rPr>
      </w:pPr>
      <w:r>
        <w:rPr>
          <w:rFonts w:hint="eastAsia" w:ascii="Times New Roman" w:hAnsi="Times New Roman" w:eastAsia="仿宋"/>
          <w:sz w:val="32"/>
          <w:szCs w:val="32"/>
        </w:rPr>
        <w:t>10-4月份  上午：8:30-12:00  下午：13:30-17:30</w:t>
      </w:r>
    </w:p>
    <w:p w14:paraId="240025E7">
      <w:pPr>
        <w:spacing w:line="520" w:lineRule="exact"/>
        <w:rPr>
          <w:rFonts w:ascii="仿宋_GB2312" w:eastAsia="仿宋_GB2312"/>
          <w:sz w:val="32"/>
          <w:szCs w:val="32"/>
          <w:shd w:val="clear" w:color="auto" w:fill="FFFFFF"/>
        </w:rPr>
      </w:pPr>
      <w:r>
        <w:rPr>
          <w:rFonts w:hint="eastAsia" w:ascii="Times New Roman" w:hAnsi="Times New Roman" w:eastAsia="仿宋"/>
          <w:sz w:val="32"/>
          <w:szCs w:val="32"/>
        </w:rPr>
        <w:t>3．</w:t>
      </w:r>
      <w:r>
        <w:rPr>
          <w:rFonts w:hint="eastAsia" w:ascii="Times New Roman" w:hAnsi="仿宋" w:eastAsia="仿宋"/>
          <w:sz w:val="32"/>
          <w:szCs w:val="32"/>
        </w:rPr>
        <w:t>设立依据</w:t>
      </w:r>
    </w:p>
    <w:p w14:paraId="2235C9F4">
      <w:pPr>
        <w:ind w:firstLine="640" w:firstLineChars="200"/>
      </w:pPr>
      <w:r>
        <w:rPr>
          <w:rFonts w:hint="eastAsia" w:ascii="Times New Roman" w:hAnsi="Times New Roman" w:eastAsia="仿宋"/>
          <w:sz w:val="32"/>
          <w:szCs w:val="32"/>
        </w:rPr>
        <w:t>依据</w:t>
      </w:r>
      <w:r>
        <w:rPr>
          <w:rFonts w:hint="eastAsia" w:hAnsi="仿宋" w:eastAsia="仿宋"/>
          <w:sz w:val="32"/>
          <w:szCs w:val="32"/>
        </w:rPr>
        <w:t>《山东省新建物业质量保修金管理办法》第十五条、第二十三条和第三十一条。</w:t>
      </w:r>
    </w:p>
    <w:p w14:paraId="46663AE3">
      <w:pPr>
        <w:spacing w:line="520" w:lineRule="exact"/>
        <w:rPr>
          <w:rFonts w:ascii="Times New Roman" w:hAnsi="Times New Roman" w:eastAsia="仿宋"/>
          <w:sz w:val="32"/>
          <w:szCs w:val="32"/>
        </w:rPr>
      </w:pPr>
      <w:r>
        <w:rPr>
          <w:rFonts w:hint="eastAsia" w:ascii="Times New Roman" w:hAnsi="Times New Roman" w:eastAsia="仿宋"/>
          <w:sz w:val="32"/>
          <w:szCs w:val="32"/>
        </w:rPr>
        <w:t>4．是否审核转报事项</w:t>
      </w:r>
    </w:p>
    <w:p w14:paraId="66FC3FFD">
      <w:pPr>
        <w:spacing w:line="520" w:lineRule="exact"/>
        <w:rPr>
          <w:rFonts w:ascii="Times New Roman" w:hAnsi="Times New Roman" w:eastAsia="仿宋"/>
          <w:sz w:val="32"/>
          <w:szCs w:val="32"/>
        </w:rPr>
      </w:pPr>
      <w:r>
        <w:rPr>
          <w:rFonts w:ascii="Times New Roman" w:hAnsi="Times New Roman" w:eastAsia="仿宋"/>
          <w:sz w:val="32"/>
          <w:szCs w:val="32"/>
        </w:rPr>
        <w:t xml:space="preserve">   </w:t>
      </w:r>
      <w:r>
        <w:rPr>
          <w:rFonts w:hint="eastAsia" w:ascii="Times New Roman" w:hAnsi="Times New Roman" w:eastAsia="仿宋"/>
          <w:sz w:val="32"/>
          <w:szCs w:val="32"/>
        </w:rPr>
        <w:t>否</w:t>
      </w:r>
    </w:p>
    <w:p w14:paraId="28B8ED1E">
      <w:pPr>
        <w:spacing w:line="520" w:lineRule="exact"/>
        <w:rPr>
          <w:rFonts w:ascii="Times New Roman" w:hAnsi="Times New Roman" w:eastAsia="仿宋"/>
          <w:sz w:val="32"/>
          <w:szCs w:val="32"/>
        </w:rPr>
      </w:pPr>
      <w:r>
        <w:rPr>
          <w:rFonts w:hint="eastAsia" w:ascii="Times New Roman" w:hAnsi="Times New Roman" w:eastAsia="仿宋"/>
          <w:sz w:val="32"/>
          <w:szCs w:val="32"/>
        </w:rPr>
        <w:t>5．有无办理数量限制</w:t>
      </w:r>
    </w:p>
    <w:p w14:paraId="290D2724">
      <w:pPr>
        <w:spacing w:line="520" w:lineRule="exact"/>
        <w:rPr>
          <w:rFonts w:ascii="Times New Roman" w:hAnsi="Times New Roman" w:eastAsia="仿宋"/>
          <w:sz w:val="32"/>
          <w:szCs w:val="32"/>
        </w:rPr>
      </w:pPr>
      <w:r>
        <w:rPr>
          <w:rFonts w:ascii="Times New Roman" w:hAnsi="Times New Roman" w:eastAsia="仿宋"/>
          <w:sz w:val="32"/>
          <w:szCs w:val="32"/>
        </w:rPr>
        <w:t xml:space="preserve">   </w:t>
      </w:r>
      <w:r>
        <w:rPr>
          <w:rFonts w:hint="eastAsia" w:ascii="Times New Roman" w:hAnsi="Times New Roman" w:eastAsia="仿宋"/>
          <w:sz w:val="32"/>
          <w:szCs w:val="32"/>
        </w:rPr>
        <w:t>无</w:t>
      </w:r>
    </w:p>
    <w:p w14:paraId="0BA58012">
      <w:pPr>
        <w:spacing w:line="520" w:lineRule="exact"/>
        <w:rPr>
          <w:rFonts w:ascii="Times New Roman" w:hAnsi="Times New Roman" w:eastAsia="仿宋"/>
          <w:sz w:val="32"/>
          <w:szCs w:val="32"/>
        </w:rPr>
      </w:pPr>
      <w:r>
        <w:rPr>
          <w:rFonts w:hint="eastAsia" w:ascii="Times New Roman" w:hAnsi="Times New Roman" w:eastAsia="仿宋"/>
          <w:sz w:val="32"/>
          <w:szCs w:val="32"/>
        </w:rPr>
        <w:t>6．办理条件</w:t>
      </w:r>
    </w:p>
    <w:p w14:paraId="1B3D1F6A">
      <w:pPr>
        <w:ind w:firstLine="480" w:firstLineChars="150"/>
        <w:rPr>
          <w:rFonts w:ascii="Times New Roman" w:hAnsi="Times New Roman" w:eastAsia="仿宋"/>
          <w:sz w:val="32"/>
          <w:szCs w:val="32"/>
        </w:rPr>
      </w:pPr>
      <w:r>
        <w:rPr>
          <w:rFonts w:hint="eastAsia" w:ascii="Times New Roman" w:hAnsi="Times New Roman" w:eastAsia="仿宋"/>
          <w:sz w:val="32"/>
          <w:szCs w:val="32"/>
        </w:rPr>
        <w:t>6.1 物业质量保修金交存办理条件</w:t>
      </w:r>
    </w:p>
    <w:p w14:paraId="0142F65D">
      <w:pPr>
        <w:ind w:firstLine="480" w:firstLineChars="150"/>
        <w:rPr>
          <w:rFonts w:ascii="Times New Roman" w:hAnsi="Times New Roman" w:eastAsia="仿宋"/>
          <w:sz w:val="32"/>
          <w:szCs w:val="32"/>
        </w:rPr>
      </w:pPr>
      <w:r>
        <w:rPr>
          <w:rFonts w:hint="eastAsia" w:ascii="Times New Roman" w:hAnsi="Times New Roman" w:eastAsia="仿宋"/>
          <w:sz w:val="32"/>
          <w:szCs w:val="32"/>
        </w:rPr>
        <w:t>6.1.1</w:t>
      </w:r>
      <w:r>
        <w:rPr>
          <w:rFonts w:ascii="Times New Roman" w:hAnsi="Times New Roman" w:eastAsia="仿宋"/>
          <w:sz w:val="32"/>
          <w:szCs w:val="32"/>
        </w:rPr>
        <w:t>开发企业在向业主办理商品房屋交付前，应当一次性足额按幢交存保修金</w:t>
      </w:r>
      <w:r>
        <w:rPr>
          <w:rFonts w:hint="eastAsia" w:ascii="Times New Roman" w:hAnsi="Times New Roman" w:eastAsia="仿宋"/>
          <w:sz w:val="32"/>
          <w:szCs w:val="32"/>
        </w:rPr>
        <w:t>。</w:t>
      </w:r>
    </w:p>
    <w:p w14:paraId="19ED1C77">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6</w:t>
      </w:r>
      <w:r>
        <w:rPr>
          <w:rFonts w:ascii="Times New Roman" w:hAnsi="Times New Roman" w:eastAsia="仿宋"/>
          <w:sz w:val="32"/>
          <w:szCs w:val="32"/>
        </w:rPr>
        <w:t>.</w:t>
      </w:r>
      <w:r>
        <w:rPr>
          <w:rFonts w:hint="eastAsia" w:ascii="Times New Roman" w:hAnsi="Times New Roman" w:eastAsia="仿宋"/>
          <w:sz w:val="32"/>
          <w:szCs w:val="32"/>
        </w:rPr>
        <w:t>2 物业质量保修金使用办理条件</w:t>
      </w:r>
    </w:p>
    <w:p w14:paraId="3AFFD63B">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6.2.1</w:t>
      </w:r>
      <w:r>
        <w:rPr>
          <w:rFonts w:ascii="Times New Roman" w:hAnsi="Times New Roman" w:eastAsia="仿宋"/>
          <w:sz w:val="32"/>
          <w:szCs w:val="32"/>
        </w:rPr>
        <w:t>在保修期内，物业出现质量问题需要维修时，开发企业经开发主管部门督办仍不履行保修义务或者因歇业、破产等原因无法履行保修义务的，可按本办法有关规定使用保修金。</w:t>
      </w:r>
    </w:p>
    <w:p w14:paraId="66CF3EAD">
      <w:pPr>
        <w:pStyle w:val="5"/>
        <w:shd w:val="clear" w:color="auto" w:fill="FFFFFF"/>
        <w:spacing w:before="0" w:beforeAutospacing="0" w:after="0" w:afterAutospacing="0" w:line="615" w:lineRule="atLeast"/>
        <w:ind w:firstLine="480" w:firstLineChars="150"/>
        <w:jc w:val="both"/>
        <w:rPr>
          <w:rFonts w:ascii="Times New Roman" w:hAnsi="Times New Roman" w:eastAsia="仿宋" w:cs="Times New Roman"/>
          <w:kern w:val="2"/>
          <w:sz w:val="32"/>
          <w:szCs w:val="32"/>
        </w:rPr>
      </w:pPr>
      <w:r>
        <w:rPr>
          <w:rFonts w:hint="eastAsia" w:ascii="Times New Roman" w:hAnsi="Times New Roman" w:eastAsia="仿宋" w:cs="Times New Roman"/>
          <w:kern w:val="2"/>
          <w:sz w:val="32"/>
          <w:szCs w:val="32"/>
        </w:rPr>
        <w:t>6</w:t>
      </w:r>
      <w:r>
        <w:rPr>
          <w:rFonts w:ascii="Times New Roman" w:hAnsi="Times New Roman" w:eastAsia="仿宋" w:cs="Times New Roman"/>
          <w:kern w:val="2"/>
          <w:sz w:val="32"/>
          <w:szCs w:val="32"/>
        </w:rPr>
        <w:t>.</w:t>
      </w:r>
      <w:r>
        <w:rPr>
          <w:rFonts w:hint="eastAsia" w:ascii="Times New Roman" w:hAnsi="Times New Roman" w:eastAsia="仿宋" w:cs="Times New Roman"/>
          <w:kern w:val="2"/>
          <w:sz w:val="32"/>
          <w:szCs w:val="32"/>
        </w:rPr>
        <w:t>3 物业质量保修金退还办理条件</w:t>
      </w:r>
    </w:p>
    <w:p w14:paraId="7A64A685">
      <w:pPr>
        <w:pStyle w:val="5"/>
        <w:shd w:val="clear" w:color="auto" w:fill="FFFFFF"/>
        <w:spacing w:before="0" w:beforeAutospacing="0" w:after="0" w:afterAutospacing="0" w:line="615" w:lineRule="atLeast"/>
        <w:ind w:firstLine="480" w:firstLineChars="150"/>
        <w:jc w:val="both"/>
        <w:rPr>
          <w:rFonts w:ascii="Times New Roman" w:hAnsi="Times New Roman" w:eastAsia="仿宋" w:cs="Times New Roman"/>
          <w:kern w:val="2"/>
          <w:sz w:val="32"/>
          <w:szCs w:val="32"/>
        </w:rPr>
      </w:pPr>
      <w:r>
        <w:rPr>
          <w:rFonts w:hint="eastAsia" w:ascii="Times New Roman" w:hAnsi="Times New Roman" w:eastAsia="仿宋" w:cs="Times New Roman"/>
          <w:kern w:val="2"/>
          <w:sz w:val="32"/>
          <w:szCs w:val="32"/>
        </w:rPr>
        <w:t>6.3.1依据第三十一条件规定，</w:t>
      </w:r>
      <w:r>
        <w:rPr>
          <w:rFonts w:ascii="Times New Roman" w:hAnsi="Times New Roman" w:eastAsia="仿宋" w:cs="Times New Roman"/>
          <w:kern w:val="2"/>
          <w:sz w:val="32"/>
          <w:szCs w:val="32"/>
        </w:rPr>
        <w:t>开发企业积极配合，认真履行了相应的保修义务</w:t>
      </w:r>
      <w:r>
        <w:rPr>
          <w:rFonts w:hint="eastAsia" w:ascii="Times New Roman" w:hAnsi="Times New Roman" w:eastAsia="仿宋" w:cs="Times New Roman"/>
          <w:kern w:val="2"/>
          <w:sz w:val="32"/>
          <w:szCs w:val="32"/>
        </w:rPr>
        <w:t>。</w:t>
      </w:r>
    </w:p>
    <w:p w14:paraId="7E848E31">
      <w:pPr>
        <w:pStyle w:val="5"/>
        <w:shd w:val="clear" w:color="auto" w:fill="FFFFFF"/>
        <w:spacing w:before="0" w:beforeAutospacing="0" w:after="0" w:afterAutospacing="0" w:line="615" w:lineRule="atLeast"/>
        <w:jc w:val="both"/>
        <w:rPr>
          <w:rFonts w:ascii="仿宋" w:hAnsi="仿宋" w:eastAsia="仿宋"/>
          <w:sz w:val="32"/>
          <w:szCs w:val="32"/>
        </w:rPr>
      </w:pPr>
      <w:r>
        <w:rPr>
          <w:rFonts w:hint="eastAsia" w:ascii="仿宋" w:hAnsi="仿宋" w:eastAsia="仿宋"/>
          <w:sz w:val="32"/>
          <w:szCs w:val="32"/>
        </w:rPr>
        <w:t>7. 所需申请材料</w:t>
      </w:r>
    </w:p>
    <w:p w14:paraId="0EC54838">
      <w:pPr>
        <w:ind w:firstLine="480" w:firstLineChars="150"/>
        <w:rPr>
          <w:rFonts w:ascii="仿宋" w:hAnsi="仿宋" w:eastAsia="仿宋" w:cs="宋体"/>
          <w:kern w:val="0"/>
          <w:sz w:val="32"/>
          <w:szCs w:val="32"/>
        </w:rPr>
      </w:pPr>
      <w:r>
        <w:rPr>
          <w:rFonts w:hint="eastAsia" w:ascii="仿宋" w:hAnsi="仿宋" w:eastAsia="仿宋" w:cs="宋体"/>
          <w:kern w:val="0"/>
          <w:sz w:val="32"/>
          <w:szCs w:val="32"/>
        </w:rPr>
        <w:t>7.1交存所需材料</w:t>
      </w:r>
    </w:p>
    <w:p w14:paraId="161359CC">
      <w:pPr>
        <w:ind w:firstLine="480" w:firstLineChars="150"/>
        <w:rPr>
          <w:rFonts w:ascii="仿宋" w:hAnsi="仿宋" w:eastAsia="仿宋" w:cs="宋体"/>
          <w:kern w:val="0"/>
          <w:sz w:val="32"/>
          <w:szCs w:val="32"/>
        </w:rPr>
      </w:pPr>
      <w:r>
        <w:rPr>
          <w:rFonts w:hint="eastAsia" w:ascii="仿宋" w:hAnsi="仿宋" w:eastAsia="仿宋" w:cs="宋体"/>
          <w:kern w:val="0"/>
          <w:sz w:val="32"/>
          <w:szCs w:val="32"/>
        </w:rPr>
        <w:t>7.1.1工程竣工验收备案证明、房产面积测绘报告；</w:t>
      </w:r>
    </w:p>
    <w:p w14:paraId="4ED452A3">
      <w:pPr>
        <w:spacing w:line="520" w:lineRule="exact"/>
        <w:ind w:firstLine="480" w:firstLineChars="150"/>
        <w:rPr>
          <w:rFonts w:ascii="仿宋" w:hAnsi="仿宋" w:eastAsia="仿宋" w:cs="宋体"/>
          <w:kern w:val="0"/>
          <w:sz w:val="32"/>
          <w:szCs w:val="32"/>
        </w:rPr>
      </w:pPr>
      <w:r>
        <w:rPr>
          <w:rFonts w:hint="eastAsia" w:ascii="仿宋" w:hAnsi="仿宋" w:eastAsia="仿宋" w:cs="宋体"/>
          <w:kern w:val="0"/>
          <w:sz w:val="32"/>
          <w:szCs w:val="32"/>
        </w:rPr>
        <w:t>7.2 使用所需材料</w:t>
      </w:r>
    </w:p>
    <w:p w14:paraId="66EEDCF5">
      <w:pPr>
        <w:pStyle w:val="5"/>
        <w:shd w:val="clear" w:color="auto" w:fill="FFFFFF"/>
        <w:spacing w:before="0" w:beforeAutospacing="0" w:after="0" w:afterAutospacing="0" w:line="615" w:lineRule="atLeast"/>
        <w:ind w:firstLine="480" w:firstLineChars="150"/>
        <w:jc w:val="both"/>
        <w:rPr>
          <w:rFonts w:ascii="仿宋" w:hAnsi="仿宋" w:eastAsia="仿宋"/>
          <w:sz w:val="32"/>
          <w:szCs w:val="32"/>
        </w:rPr>
      </w:pPr>
      <w:r>
        <w:rPr>
          <w:rFonts w:hint="eastAsia" w:ascii="仿宋" w:hAnsi="仿宋" w:eastAsia="仿宋"/>
          <w:sz w:val="32"/>
          <w:szCs w:val="32"/>
        </w:rPr>
        <w:t>7.2.1</w:t>
      </w:r>
      <w:r>
        <w:rPr>
          <w:rFonts w:ascii="仿宋" w:hAnsi="仿宋" w:eastAsia="仿宋"/>
          <w:sz w:val="32"/>
          <w:szCs w:val="32"/>
        </w:rPr>
        <w:t>保修期内，物业专有部位出现质量问题时开发主管部门出具</w:t>
      </w:r>
      <w:r>
        <w:rPr>
          <w:rFonts w:hint="eastAsia" w:ascii="仿宋" w:hAnsi="仿宋" w:eastAsia="仿宋"/>
          <w:sz w:val="32"/>
          <w:szCs w:val="32"/>
        </w:rPr>
        <w:t>的</w:t>
      </w:r>
      <w:r>
        <w:rPr>
          <w:rFonts w:ascii="仿宋" w:hAnsi="仿宋" w:eastAsia="仿宋"/>
          <w:sz w:val="32"/>
          <w:szCs w:val="32"/>
        </w:rPr>
        <w:t>保修金使用建议书</w:t>
      </w:r>
      <w:r>
        <w:rPr>
          <w:rFonts w:hint="eastAsia" w:ascii="仿宋" w:hAnsi="仿宋" w:eastAsia="仿宋"/>
          <w:sz w:val="32"/>
          <w:szCs w:val="32"/>
        </w:rPr>
        <w:t>；保修期内，</w:t>
      </w:r>
      <w:r>
        <w:rPr>
          <w:rFonts w:ascii="仿宋" w:hAnsi="仿宋" w:eastAsia="仿宋"/>
          <w:sz w:val="32"/>
          <w:szCs w:val="32"/>
        </w:rPr>
        <w:t>物业共用部位、共用设施设备出现可以使用保修金的情形时，由物业服务企业、业主委员会向物业主管部门提出保修金使用申请；业主委员会尚未成立的，可以由物业服务企业和业主推选的业主代表向物业主管部门提出保修金使用申请。</w:t>
      </w:r>
    </w:p>
    <w:p w14:paraId="6E92872B">
      <w:pPr>
        <w:pStyle w:val="5"/>
        <w:shd w:val="clear" w:color="auto" w:fill="FFFFFF"/>
        <w:spacing w:before="0" w:beforeAutospacing="0" w:after="0" w:afterAutospacing="0" w:line="615" w:lineRule="atLeast"/>
        <w:ind w:firstLine="480" w:firstLineChars="150"/>
        <w:jc w:val="both"/>
        <w:rPr>
          <w:rFonts w:ascii="仿宋" w:hAnsi="仿宋" w:eastAsia="仿宋"/>
          <w:sz w:val="32"/>
          <w:szCs w:val="32"/>
        </w:rPr>
      </w:pPr>
      <w:r>
        <w:rPr>
          <w:rFonts w:hint="eastAsia" w:ascii="仿宋" w:hAnsi="仿宋" w:eastAsia="仿宋"/>
          <w:sz w:val="32"/>
          <w:szCs w:val="32"/>
        </w:rPr>
        <w:t>7.2.2保修申请人选择的施工单位编制的维修方案及资金预算；</w:t>
      </w:r>
    </w:p>
    <w:p w14:paraId="40F11897">
      <w:pPr>
        <w:pStyle w:val="5"/>
        <w:shd w:val="clear" w:color="auto" w:fill="FFFFFF"/>
        <w:spacing w:before="0" w:beforeAutospacing="0" w:after="0" w:afterAutospacing="0" w:line="615" w:lineRule="atLeast"/>
        <w:ind w:firstLine="480" w:firstLineChars="150"/>
        <w:jc w:val="both"/>
        <w:rPr>
          <w:rFonts w:ascii="仿宋" w:hAnsi="仿宋" w:eastAsia="仿宋"/>
          <w:sz w:val="32"/>
          <w:szCs w:val="32"/>
        </w:rPr>
      </w:pPr>
      <w:r>
        <w:rPr>
          <w:rFonts w:hint="eastAsia" w:ascii="仿宋" w:hAnsi="仿宋" w:eastAsia="仿宋"/>
          <w:sz w:val="32"/>
          <w:szCs w:val="32"/>
        </w:rPr>
        <w:t>7.3 退还所需材料</w:t>
      </w:r>
    </w:p>
    <w:p w14:paraId="1F17F5BE">
      <w:pPr>
        <w:pStyle w:val="5"/>
        <w:shd w:val="clear" w:color="auto" w:fill="FFFFFF"/>
        <w:spacing w:before="0" w:beforeAutospacing="0" w:after="0" w:afterAutospacing="0" w:line="615" w:lineRule="atLeast"/>
        <w:ind w:firstLine="480" w:firstLineChars="150"/>
        <w:jc w:val="both"/>
        <w:rPr>
          <w:rFonts w:ascii="仿宋" w:hAnsi="仿宋" w:eastAsia="仿宋"/>
          <w:sz w:val="32"/>
          <w:szCs w:val="32"/>
        </w:rPr>
      </w:pPr>
      <w:r>
        <w:rPr>
          <w:rFonts w:hint="eastAsia" w:ascii="仿宋" w:hAnsi="仿宋" w:eastAsia="仿宋"/>
          <w:sz w:val="32"/>
          <w:szCs w:val="32"/>
        </w:rPr>
        <w:t>7.3.1退还申请</w:t>
      </w:r>
    </w:p>
    <w:p w14:paraId="78ABE991">
      <w:pPr>
        <w:spacing w:line="520" w:lineRule="exact"/>
        <w:rPr>
          <w:rFonts w:ascii="Times New Roman" w:hAnsi="Times New Roman" w:eastAsia="仿宋"/>
          <w:sz w:val="32"/>
          <w:szCs w:val="32"/>
        </w:rPr>
      </w:pPr>
      <w:r>
        <w:rPr>
          <w:rFonts w:hint="eastAsia" w:ascii="Times New Roman" w:hAnsi="Times New Roman" w:eastAsia="仿宋"/>
          <w:sz w:val="32"/>
          <w:szCs w:val="32"/>
        </w:rPr>
        <w:t>8．办理程序：</w:t>
      </w:r>
    </w:p>
    <w:p w14:paraId="00E6BFF0">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8.1交存办理程序：申请――受理――核实――出具</w:t>
      </w:r>
      <w:r>
        <w:rPr>
          <w:rFonts w:ascii="仿宋" w:hAnsi="仿宋" w:eastAsia="仿宋" w:cs="宋体"/>
          <w:kern w:val="0"/>
          <w:sz w:val="32"/>
          <w:szCs w:val="32"/>
        </w:rPr>
        <w:t>财政主管部门统一印制的财政票据</w:t>
      </w:r>
    </w:p>
    <w:p w14:paraId="73925E31">
      <w:pPr>
        <w:spacing w:line="52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8.2使用办理程序：申请――受理――核实――</w:t>
      </w:r>
      <w:r>
        <w:rPr>
          <w:rFonts w:ascii="仿宋" w:hAnsi="仿宋" w:eastAsia="仿宋" w:cs="宋体"/>
          <w:kern w:val="0"/>
          <w:sz w:val="32"/>
          <w:szCs w:val="32"/>
        </w:rPr>
        <w:t>承担维修的单位组织维修。完成维修后，填写物业维修工程费用清单，并由保修金使用申请人签章确认</w:t>
      </w:r>
      <w:r>
        <w:rPr>
          <w:rFonts w:hint="eastAsia" w:ascii="仿宋" w:hAnsi="仿宋" w:eastAsia="仿宋" w:cs="宋体"/>
          <w:kern w:val="0"/>
          <w:sz w:val="32"/>
          <w:szCs w:val="32"/>
        </w:rPr>
        <w:t>――</w:t>
      </w:r>
      <w:r>
        <w:rPr>
          <w:rFonts w:ascii="仿宋" w:hAnsi="仿宋" w:eastAsia="仿宋" w:cs="宋体"/>
          <w:kern w:val="0"/>
          <w:sz w:val="32"/>
          <w:szCs w:val="32"/>
        </w:rPr>
        <w:t>物业主管部门在收到物业维修工程费用清单后核实有关情况，并于20日内向保修金使用申请人或维修单位转账，将维修费用从保修金中列支。</w:t>
      </w:r>
    </w:p>
    <w:p w14:paraId="52158EAB">
      <w:pPr>
        <w:pStyle w:val="5"/>
        <w:shd w:val="clear" w:color="auto" w:fill="FFFFFF"/>
        <w:spacing w:before="0" w:beforeAutospacing="0" w:after="0" w:afterAutospacing="0" w:line="615" w:lineRule="atLeast"/>
        <w:ind w:firstLine="645"/>
        <w:jc w:val="both"/>
        <w:rPr>
          <w:rFonts w:ascii="仿宋" w:hAnsi="仿宋" w:eastAsia="仿宋"/>
          <w:sz w:val="32"/>
          <w:szCs w:val="32"/>
        </w:rPr>
      </w:pPr>
      <w:r>
        <w:rPr>
          <w:rFonts w:hint="eastAsia" w:ascii="仿宋" w:hAnsi="仿宋" w:eastAsia="仿宋"/>
          <w:sz w:val="32"/>
          <w:szCs w:val="32"/>
        </w:rPr>
        <w:t>8.3退还办理程序：申请――受理――核实――退还资金</w:t>
      </w:r>
    </w:p>
    <w:p w14:paraId="3B6C83B9">
      <w:pPr>
        <w:jc w:val="left"/>
        <w:rPr>
          <w:rFonts w:ascii="Times New Roman" w:hAnsi="仿宋" w:eastAsia="仿宋"/>
          <w:sz w:val="32"/>
          <w:szCs w:val="32"/>
        </w:rPr>
      </w:pPr>
      <w:r>
        <w:rPr>
          <w:rFonts w:hint="eastAsia" w:ascii="Times New Roman" w:hAnsi="Times New Roman" w:eastAsia="仿宋"/>
          <w:sz w:val="32"/>
          <w:szCs w:val="32"/>
        </w:rPr>
        <w:t>9</w:t>
      </w:r>
      <w:r>
        <w:rPr>
          <w:rFonts w:hint="eastAsia" w:ascii="Times New Roman" w:hAnsi="仿宋" w:eastAsia="仿宋"/>
          <w:sz w:val="32"/>
          <w:szCs w:val="32"/>
        </w:rPr>
        <w:t>．是否收费</w:t>
      </w:r>
    </w:p>
    <w:p w14:paraId="1F06F0AA">
      <w:pPr>
        <w:spacing w:line="520" w:lineRule="exact"/>
        <w:rPr>
          <w:rFonts w:ascii="Times New Roman" w:hAnsi="Times New Roman" w:eastAsia="仿宋"/>
          <w:sz w:val="32"/>
          <w:szCs w:val="32"/>
        </w:rPr>
      </w:pPr>
      <w:r>
        <w:rPr>
          <w:rFonts w:hint="eastAsia" w:ascii="Times New Roman" w:hAnsi="仿宋" w:eastAsia="仿宋"/>
          <w:sz w:val="32"/>
          <w:szCs w:val="32"/>
        </w:rPr>
        <w:t xml:space="preserve">   否</w:t>
      </w:r>
    </w:p>
    <w:p w14:paraId="516C15DB">
      <w:pPr>
        <w:spacing w:line="520" w:lineRule="exact"/>
        <w:rPr>
          <w:rFonts w:ascii="Times New Roman" w:hAnsi="仿宋" w:eastAsia="仿宋"/>
          <w:sz w:val="32"/>
          <w:szCs w:val="32"/>
        </w:rPr>
      </w:pPr>
      <w:r>
        <w:rPr>
          <w:rFonts w:hint="eastAsia" w:ascii="Times New Roman" w:hAnsi="Times New Roman" w:eastAsia="仿宋"/>
          <w:sz w:val="32"/>
          <w:szCs w:val="32"/>
        </w:rPr>
        <w:t>10</w:t>
      </w:r>
      <w:r>
        <w:rPr>
          <w:rFonts w:hint="eastAsia" w:ascii="Times New Roman" w:hAnsi="仿宋" w:eastAsia="仿宋"/>
          <w:sz w:val="32"/>
          <w:szCs w:val="32"/>
        </w:rPr>
        <w:t>．收费依据</w:t>
      </w:r>
    </w:p>
    <w:p w14:paraId="0312CA8C">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无</w:t>
      </w:r>
    </w:p>
    <w:p w14:paraId="0FBE41A9">
      <w:pPr>
        <w:spacing w:line="520" w:lineRule="exact"/>
        <w:rPr>
          <w:rFonts w:ascii="Times New Roman" w:hAnsi="仿宋" w:eastAsia="仿宋"/>
          <w:sz w:val="32"/>
          <w:szCs w:val="32"/>
        </w:rPr>
      </w:pPr>
      <w:r>
        <w:rPr>
          <w:rFonts w:hint="eastAsia" w:ascii="Times New Roman" w:hAnsi="Times New Roman" w:eastAsia="仿宋"/>
          <w:sz w:val="32"/>
          <w:szCs w:val="32"/>
        </w:rPr>
        <w:t>11</w:t>
      </w:r>
      <w:r>
        <w:rPr>
          <w:rFonts w:hint="eastAsia" w:ascii="Times New Roman" w:hAnsi="仿宋" w:eastAsia="仿宋"/>
          <w:sz w:val="32"/>
          <w:szCs w:val="32"/>
        </w:rPr>
        <w:t>．收费标准</w:t>
      </w:r>
    </w:p>
    <w:p w14:paraId="275EE2B4">
      <w:pPr>
        <w:spacing w:line="520" w:lineRule="exact"/>
        <w:ind w:firstLine="640" w:firstLineChars="200"/>
        <w:rPr>
          <w:rFonts w:ascii="Times New Roman" w:hAnsi="Times New Roman" w:eastAsia="仿宋"/>
          <w:sz w:val="32"/>
          <w:szCs w:val="32"/>
        </w:rPr>
      </w:pPr>
      <w:r>
        <w:rPr>
          <w:rFonts w:hint="eastAsia" w:ascii="Times New Roman" w:hAnsi="仿宋" w:eastAsia="仿宋"/>
          <w:sz w:val="32"/>
          <w:szCs w:val="32"/>
        </w:rPr>
        <w:t>无</w:t>
      </w:r>
    </w:p>
    <w:p w14:paraId="39CB9C35">
      <w:pPr>
        <w:spacing w:line="520" w:lineRule="exact"/>
        <w:rPr>
          <w:rFonts w:ascii="Times New Roman" w:hAnsi="仿宋" w:eastAsia="仿宋"/>
          <w:sz w:val="32"/>
          <w:szCs w:val="32"/>
        </w:rPr>
      </w:pPr>
      <w:r>
        <w:rPr>
          <w:rFonts w:hint="eastAsia" w:ascii="Times New Roman" w:hAnsi="Times New Roman" w:eastAsia="仿宋"/>
          <w:sz w:val="32"/>
          <w:szCs w:val="32"/>
        </w:rPr>
        <w:t>12</w:t>
      </w:r>
      <w:r>
        <w:rPr>
          <w:rFonts w:hint="eastAsia" w:ascii="Times New Roman" w:hAnsi="仿宋" w:eastAsia="仿宋"/>
          <w:sz w:val="32"/>
          <w:szCs w:val="32"/>
        </w:rPr>
        <w:t>．法定办理时限</w:t>
      </w:r>
    </w:p>
    <w:p w14:paraId="24FC228C">
      <w:pPr>
        <w:spacing w:line="520" w:lineRule="exact"/>
        <w:ind w:firstLine="640" w:firstLineChars="200"/>
        <w:rPr>
          <w:rFonts w:ascii="Times New Roman" w:hAnsi="Times New Roman" w:eastAsia="仿宋"/>
          <w:sz w:val="32"/>
          <w:szCs w:val="32"/>
        </w:rPr>
      </w:pPr>
      <w:r>
        <w:rPr>
          <w:rFonts w:hint="eastAsia" w:ascii="Times New Roman" w:hAnsi="仿宋" w:eastAsia="仿宋"/>
          <w:sz w:val="32"/>
          <w:szCs w:val="32"/>
        </w:rPr>
        <w:t>20个工作日</w:t>
      </w:r>
    </w:p>
    <w:p w14:paraId="3D3B5E12">
      <w:pPr>
        <w:spacing w:line="520" w:lineRule="exact"/>
        <w:rPr>
          <w:rFonts w:ascii="Times New Roman" w:hAnsi="仿宋" w:eastAsia="仿宋"/>
          <w:sz w:val="32"/>
          <w:szCs w:val="32"/>
        </w:rPr>
      </w:pPr>
      <w:r>
        <w:rPr>
          <w:rFonts w:hint="eastAsia" w:ascii="Times New Roman" w:hAnsi="Times New Roman" w:eastAsia="仿宋"/>
          <w:sz w:val="32"/>
          <w:szCs w:val="32"/>
        </w:rPr>
        <w:t>13</w:t>
      </w:r>
      <w:r>
        <w:rPr>
          <w:rFonts w:hint="eastAsia" w:ascii="Times New Roman" w:hAnsi="仿宋" w:eastAsia="仿宋"/>
          <w:sz w:val="32"/>
          <w:szCs w:val="32"/>
        </w:rPr>
        <w:t>．承诺办理时限</w:t>
      </w:r>
    </w:p>
    <w:p w14:paraId="7197358A">
      <w:pPr>
        <w:spacing w:line="520" w:lineRule="exact"/>
        <w:ind w:firstLine="640" w:firstLineChars="200"/>
        <w:rPr>
          <w:rFonts w:ascii="Times New Roman" w:hAnsi="Times New Roman" w:eastAsia="仿宋"/>
          <w:sz w:val="32"/>
          <w:szCs w:val="32"/>
        </w:rPr>
      </w:pPr>
      <w:r>
        <w:rPr>
          <w:rFonts w:hint="eastAsia" w:ascii="Times New Roman" w:hAnsi="仿宋" w:eastAsia="仿宋"/>
          <w:sz w:val="32"/>
          <w:szCs w:val="32"/>
        </w:rPr>
        <w:t>5个工作日</w:t>
      </w:r>
    </w:p>
    <w:p w14:paraId="19B7829B">
      <w:pPr>
        <w:spacing w:line="520" w:lineRule="exact"/>
        <w:rPr>
          <w:rFonts w:eastAsia="仿宋"/>
          <w:sz w:val="32"/>
          <w:szCs w:val="32"/>
        </w:rPr>
      </w:pPr>
      <w:r>
        <w:rPr>
          <w:rFonts w:hint="eastAsia" w:ascii="Times New Roman" w:hAnsi="Times New Roman" w:eastAsia="仿宋"/>
          <w:sz w:val="32"/>
          <w:szCs w:val="32"/>
        </w:rPr>
        <w:t>14．</w:t>
      </w:r>
      <w:bookmarkStart w:id="0" w:name="_Toc358015935"/>
      <w:r>
        <w:rPr>
          <w:rFonts w:hint="eastAsia" w:eastAsia="仿宋"/>
          <w:sz w:val="32"/>
          <w:szCs w:val="32"/>
        </w:rPr>
        <w:t>救济</w:t>
      </w:r>
      <w:bookmarkEnd w:id="0"/>
      <w:r>
        <w:rPr>
          <w:rFonts w:hint="eastAsia" w:eastAsia="仿宋"/>
          <w:sz w:val="32"/>
          <w:szCs w:val="32"/>
        </w:rPr>
        <w:t>途径</w:t>
      </w:r>
    </w:p>
    <w:p w14:paraId="7F6502B5">
      <w:pPr>
        <w:pStyle w:val="13"/>
        <w:ind w:firstLine="512" w:firstLineChars="160"/>
        <w:rPr>
          <w:rFonts w:ascii="Times New Roman" w:eastAsia="仿宋"/>
          <w:sz w:val="32"/>
          <w:szCs w:val="32"/>
        </w:rPr>
      </w:pPr>
      <w:r>
        <w:rPr>
          <w:rFonts w:hint="eastAsia" w:ascii="Times New Roman" w:eastAsia="仿宋"/>
          <w:sz w:val="32"/>
          <w:szCs w:val="32"/>
        </w:rPr>
        <w:t>当事人如不服汶上县房地产管理局做出的行政审批决定，可在接到处罚决定之日起在60日内向汶上县人民政府汶上县人民政府或济宁市人民政府申请行政复议，或6个月内向汶上县人民法院提起行政诉讼。</w:t>
      </w:r>
    </w:p>
    <w:p w14:paraId="28FCDB02">
      <w:pPr>
        <w:spacing w:line="520" w:lineRule="exact"/>
        <w:rPr>
          <w:rFonts w:ascii="Times New Roman" w:hAnsi="Times New Roman" w:eastAsia="仿宋"/>
          <w:sz w:val="32"/>
          <w:szCs w:val="32"/>
        </w:rPr>
      </w:pPr>
      <w:r>
        <w:rPr>
          <w:rFonts w:hint="eastAsia" w:ascii="Times New Roman" w:hAnsi="Times New Roman" w:eastAsia="仿宋"/>
          <w:sz w:val="32"/>
          <w:szCs w:val="32"/>
        </w:rPr>
        <w:t>15. 监督方式：</w:t>
      </w:r>
    </w:p>
    <w:p w14:paraId="54C4C27C">
      <w:pPr>
        <w:spacing w:line="520" w:lineRule="exact"/>
        <w:rPr>
          <w:rFonts w:ascii="Times New Roman" w:hAnsi="Times New Roman" w:eastAsia="仿宋"/>
          <w:sz w:val="32"/>
          <w:szCs w:val="32"/>
        </w:rPr>
      </w:pPr>
      <w:r>
        <w:rPr>
          <w:rFonts w:hint="eastAsia" w:ascii="Times New Roman" w:hAnsi="Times New Roman" w:eastAsia="仿宋"/>
          <w:sz w:val="32"/>
          <w:szCs w:val="32"/>
        </w:rPr>
        <w:t xml:space="preserve">   执法人员应当严格执行《汶上县房地产管理局监督检查执法人员行为规范》和</w:t>
      </w:r>
      <w:r>
        <w:rPr>
          <w:rFonts w:hint="eastAsia" w:ascii="Times New Roman" w:hAnsi="Times New Roman" w:eastAsia="仿宋"/>
          <w:sz w:val="32"/>
          <w:szCs w:val="32"/>
          <w:lang w:eastAsia="zh-CN"/>
        </w:rPr>
        <w:t>中央八项规定</w:t>
      </w:r>
      <w:r>
        <w:rPr>
          <w:rFonts w:hint="eastAsia" w:ascii="Times New Roman" w:hAnsi="Times New Roman" w:eastAsia="仿宋"/>
          <w:sz w:val="32"/>
          <w:szCs w:val="32"/>
        </w:rPr>
        <w:t>以及廉洁自律相关规定，自觉接受社会各界的监督。</w:t>
      </w:r>
    </w:p>
    <w:p w14:paraId="4D805CAF">
      <w:pPr>
        <w:spacing w:line="520" w:lineRule="exact"/>
        <w:rPr>
          <w:rFonts w:ascii="Times New Roman" w:hAnsi="Times New Roman" w:eastAsia="仿宋"/>
          <w:sz w:val="32"/>
          <w:szCs w:val="32"/>
        </w:rPr>
      </w:pPr>
      <w:r>
        <w:rPr>
          <w:rFonts w:hint="eastAsia" w:ascii="Times New Roman" w:hAnsi="Times New Roman" w:eastAsia="仿宋"/>
          <w:sz w:val="32"/>
          <w:szCs w:val="32"/>
        </w:rPr>
        <w:t>16. 执法监督机构：</w:t>
      </w:r>
    </w:p>
    <w:p w14:paraId="253D7CBD">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汶上县房地产管理局法制科</w:t>
      </w:r>
    </w:p>
    <w:p w14:paraId="0A054DC2">
      <w:pPr>
        <w:spacing w:line="520" w:lineRule="exact"/>
        <w:rPr>
          <w:rFonts w:ascii="Times New Roman" w:hAnsi="Times New Roman" w:eastAsia="仿宋"/>
          <w:sz w:val="32"/>
          <w:szCs w:val="32"/>
        </w:rPr>
      </w:pPr>
      <w:r>
        <w:rPr>
          <w:rFonts w:hint="eastAsia" w:ascii="Times New Roman" w:hAnsi="Times New Roman" w:eastAsia="仿宋"/>
          <w:sz w:val="32"/>
          <w:szCs w:val="32"/>
        </w:rPr>
        <w:t>17. 执法监督电话：</w:t>
      </w:r>
    </w:p>
    <w:p w14:paraId="505CEB9F">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0537-7281168</w:t>
      </w:r>
    </w:p>
    <w:p w14:paraId="65CD892A">
      <w:pPr>
        <w:spacing w:line="520" w:lineRule="exact"/>
        <w:rPr>
          <w:rFonts w:ascii="黑体" w:hAnsi="黑体" w:eastAsia="黑体"/>
          <w:sz w:val="32"/>
          <w:szCs w:val="32"/>
        </w:rPr>
      </w:pPr>
    </w:p>
    <w:sectPr>
      <w:headerReference r:id="rId3" w:type="default"/>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42582">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A8F064"/>
    <w:multiLevelType w:val="multilevel"/>
    <w:tmpl w:val="54A8F064"/>
    <w:lvl w:ilvl="0" w:tentative="0">
      <w:start w:val="1"/>
      <w:numFmt w:val="decimal"/>
      <w:suff w:val="nothing"/>
      <w:lvlText w:val="%1　"/>
      <w:lvlJc w:val="left"/>
      <w:pPr>
        <w:tabs>
          <w:tab w:val="left" w:pos="0"/>
        </w:tabs>
      </w:pPr>
      <w:rPr>
        <w:rFonts w:hint="eastAsia" w:ascii="黑体" w:hAnsi="Times New Roman" w:eastAsia="黑体" w:cs="Times New Roman"/>
        <w:b w:val="0"/>
        <w:bCs w:val="0"/>
        <w:sz w:val="21"/>
        <w:szCs w:val="21"/>
      </w:rPr>
    </w:lvl>
    <w:lvl w:ilvl="1" w:tentative="0">
      <w:start w:val="1"/>
      <w:numFmt w:val="decimal"/>
      <w:pStyle w:val="14"/>
      <w:suff w:val="nothing"/>
      <w:lvlText w:val="%1.%2　"/>
      <w:lvlJc w:val="left"/>
      <w:pPr>
        <w:tabs>
          <w:tab w:val="left" w:pos="0"/>
        </w:tabs>
        <w:ind w:left="1080"/>
      </w:pPr>
      <w:rPr>
        <w:rFonts w:hint="eastAsia" w:ascii="黑体" w:hAnsi="Times New Roman" w:eastAsia="黑体" w:cs="Times New Roman"/>
        <w:b w:val="0"/>
        <w:bCs w:val="0"/>
        <w:caps w:val="0"/>
        <w:strike w:val="0"/>
        <w:dstrike w:val="0"/>
        <w:outline w:val="0"/>
        <w:vanish w:val="0"/>
        <w:spacing w:val="0"/>
        <w:kern w:val="0"/>
        <w:position w:val="0"/>
        <w:sz w:val="21"/>
        <w:szCs w:val="21"/>
        <w:u w:val="none"/>
      </w:rPr>
    </w:lvl>
    <w:lvl w:ilvl="2" w:tentative="0">
      <w:start w:val="1"/>
      <w:numFmt w:val="decimal"/>
      <w:pStyle w:val="15"/>
      <w:suff w:val="nothing"/>
      <w:lvlText w:val="%1.%2.%3　"/>
      <w:lvlJc w:val="left"/>
      <w:pPr>
        <w:tabs>
          <w:tab w:val="left" w:pos="0"/>
        </w:tabs>
        <w:ind w:left="180"/>
      </w:pPr>
      <w:rPr>
        <w:rFonts w:hint="eastAsia" w:ascii="黑体" w:hAnsi="Times New Roman" w:eastAsia="黑体" w:cs="Times New Roman"/>
        <w:b w:val="0"/>
        <w:bCs w:val="0"/>
        <w:sz w:val="21"/>
        <w:szCs w:val="21"/>
      </w:rPr>
    </w:lvl>
    <w:lvl w:ilvl="3" w:tentative="0">
      <w:start w:val="1"/>
      <w:numFmt w:val="decimal"/>
      <w:suff w:val="nothing"/>
      <w:lvlText w:val="%1.%2.%3.%4　"/>
      <w:lvlJc w:val="left"/>
      <w:pPr>
        <w:tabs>
          <w:tab w:val="left" w:pos="0"/>
        </w:tabs>
      </w:pPr>
      <w:rPr>
        <w:rFonts w:hint="eastAsia" w:ascii="黑体" w:hAnsi="Times New Roman" w:eastAsia="黑体" w:cs="Times New Roman"/>
        <w:b w:val="0"/>
        <w:bCs w:val="0"/>
        <w:sz w:val="21"/>
        <w:szCs w:val="21"/>
      </w:rPr>
    </w:lvl>
    <w:lvl w:ilvl="4" w:tentative="0">
      <w:start w:val="1"/>
      <w:numFmt w:val="decimal"/>
      <w:suff w:val="nothing"/>
      <w:lvlText w:val="%1.%2.%3.%4.%5　"/>
      <w:lvlJc w:val="left"/>
      <w:pPr>
        <w:tabs>
          <w:tab w:val="left" w:pos="0"/>
        </w:tabs>
        <w:ind w:left="840"/>
      </w:pPr>
      <w:rPr>
        <w:rFonts w:hint="eastAsia" w:ascii="黑体" w:hAnsi="Times New Roman" w:eastAsia="黑体" w:cs="Times New Roman"/>
        <w:b w:val="0"/>
        <w:bCs w:val="0"/>
        <w:sz w:val="21"/>
        <w:szCs w:val="21"/>
      </w:rPr>
    </w:lvl>
    <w:lvl w:ilvl="5" w:tentative="0">
      <w:start w:val="1"/>
      <w:numFmt w:val="decimal"/>
      <w:suff w:val="nothing"/>
      <w:lvlText w:val="%1.%2.%3.%4.%5.%6　"/>
      <w:lvlJc w:val="left"/>
      <w:pPr>
        <w:tabs>
          <w:tab w:val="left" w:pos="0"/>
        </w:tabs>
        <w:ind w:left="1260"/>
      </w:pPr>
      <w:rPr>
        <w:rFonts w:hint="eastAsia" w:ascii="黑体" w:hAnsi="Times New Roman" w:eastAsia="黑体" w:cs="Times New Roman"/>
        <w:b w:val="0"/>
        <w:bCs w:val="0"/>
        <w:sz w:val="21"/>
        <w:szCs w:val="21"/>
      </w:rPr>
    </w:lvl>
    <w:lvl w:ilvl="6" w:tentative="0">
      <w:start w:val="1"/>
      <w:numFmt w:val="decimal"/>
      <w:suff w:val="nothing"/>
      <w:lvlText w:val="%1%2.%3.%4.%5.%6.%7　"/>
      <w:lvlJc w:val="left"/>
      <w:pPr>
        <w:tabs>
          <w:tab w:val="left" w:pos="0"/>
        </w:tabs>
      </w:pPr>
      <w:rPr>
        <w:rFonts w:hint="eastAsia" w:ascii="黑体" w:hAnsi="Times New Roman" w:eastAsia="黑体" w:cs="Times New Roman"/>
        <w:b w:val="0"/>
        <w:bCs w:val="0"/>
        <w:sz w:val="21"/>
        <w:szCs w:val="21"/>
      </w:rPr>
    </w:lvl>
    <w:lvl w:ilvl="7" w:tentative="0">
      <w:start w:val="1"/>
      <w:numFmt w:val="decimal"/>
      <w:lvlText w:val="%1.%2.%3.%4.%5.%6.%7.%8"/>
      <w:lvlJc w:val="left"/>
      <w:pPr>
        <w:tabs>
          <w:tab w:val="left" w:pos="4351"/>
        </w:tabs>
        <w:ind w:left="3972" w:hanging="1418"/>
      </w:pPr>
      <w:rPr>
        <w:rFonts w:cs="Times New Roman"/>
      </w:rPr>
    </w:lvl>
    <w:lvl w:ilvl="8" w:tentative="0">
      <w:start w:val="1"/>
      <w:numFmt w:val="decimal"/>
      <w:lvlText w:val="%1.%2.%3.%4.%5.%6.%7.%8.%9"/>
      <w:lvlJc w:val="left"/>
      <w:pPr>
        <w:tabs>
          <w:tab w:val="left" w:pos="4777"/>
        </w:tabs>
        <w:ind w:left="4677"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docVars>
    <w:docVar w:name="commondata" w:val="eyJoZGlkIjoiYTZlNmIzYjQyNGE0ZWZiMTg2MzNlZTg0NjVmMzc5M2UifQ=="/>
  </w:docVars>
  <w:rsids>
    <w:rsidRoot w:val="00013417"/>
    <w:rsid w:val="00013417"/>
    <w:rsid w:val="000410C4"/>
    <w:rsid w:val="00042662"/>
    <w:rsid w:val="000731A9"/>
    <w:rsid w:val="00082E9C"/>
    <w:rsid w:val="00095F1F"/>
    <w:rsid w:val="000C1FAF"/>
    <w:rsid w:val="00110492"/>
    <w:rsid w:val="00123A3C"/>
    <w:rsid w:val="00125057"/>
    <w:rsid w:val="001466E0"/>
    <w:rsid w:val="00155C53"/>
    <w:rsid w:val="00162203"/>
    <w:rsid w:val="00190C1E"/>
    <w:rsid w:val="001C061D"/>
    <w:rsid w:val="001D3287"/>
    <w:rsid w:val="001D3C07"/>
    <w:rsid w:val="00200869"/>
    <w:rsid w:val="002277E7"/>
    <w:rsid w:val="00257139"/>
    <w:rsid w:val="00285631"/>
    <w:rsid w:val="002A45B9"/>
    <w:rsid w:val="002B4071"/>
    <w:rsid w:val="003006C8"/>
    <w:rsid w:val="00305635"/>
    <w:rsid w:val="0032253E"/>
    <w:rsid w:val="003366BB"/>
    <w:rsid w:val="00345835"/>
    <w:rsid w:val="00347EA0"/>
    <w:rsid w:val="00364C50"/>
    <w:rsid w:val="003A35A7"/>
    <w:rsid w:val="003B45EE"/>
    <w:rsid w:val="003D42E4"/>
    <w:rsid w:val="00411AF7"/>
    <w:rsid w:val="00417B00"/>
    <w:rsid w:val="00456FA3"/>
    <w:rsid w:val="00464E93"/>
    <w:rsid w:val="004A7C1F"/>
    <w:rsid w:val="004B1DE9"/>
    <w:rsid w:val="004B639F"/>
    <w:rsid w:val="004D2388"/>
    <w:rsid w:val="004F4F1F"/>
    <w:rsid w:val="00502B97"/>
    <w:rsid w:val="005377D5"/>
    <w:rsid w:val="00546295"/>
    <w:rsid w:val="00597F9D"/>
    <w:rsid w:val="005C4C7C"/>
    <w:rsid w:val="005F183C"/>
    <w:rsid w:val="00602E14"/>
    <w:rsid w:val="00604789"/>
    <w:rsid w:val="006146B4"/>
    <w:rsid w:val="00622B82"/>
    <w:rsid w:val="00641F38"/>
    <w:rsid w:val="00647887"/>
    <w:rsid w:val="00650463"/>
    <w:rsid w:val="00652997"/>
    <w:rsid w:val="00655E9F"/>
    <w:rsid w:val="006645A5"/>
    <w:rsid w:val="006A378F"/>
    <w:rsid w:val="006D4888"/>
    <w:rsid w:val="006D4ECA"/>
    <w:rsid w:val="006E568F"/>
    <w:rsid w:val="006F2D07"/>
    <w:rsid w:val="00700692"/>
    <w:rsid w:val="00741234"/>
    <w:rsid w:val="00782069"/>
    <w:rsid w:val="0079287D"/>
    <w:rsid w:val="007B25B5"/>
    <w:rsid w:val="007B5A2D"/>
    <w:rsid w:val="007C0009"/>
    <w:rsid w:val="007D79F6"/>
    <w:rsid w:val="00850A27"/>
    <w:rsid w:val="00880252"/>
    <w:rsid w:val="00884E66"/>
    <w:rsid w:val="008B6548"/>
    <w:rsid w:val="008E7F8B"/>
    <w:rsid w:val="008F108C"/>
    <w:rsid w:val="0092234A"/>
    <w:rsid w:val="009271D0"/>
    <w:rsid w:val="00934D0B"/>
    <w:rsid w:val="00935032"/>
    <w:rsid w:val="009406F3"/>
    <w:rsid w:val="00943D4C"/>
    <w:rsid w:val="00951DAB"/>
    <w:rsid w:val="009804C7"/>
    <w:rsid w:val="009875A5"/>
    <w:rsid w:val="009B2CF7"/>
    <w:rsid w:val="009B75FB"/>
    <w:rsid w:val="009B7C10"/>
    <w:rsid w:val="009F21E0"/>
    <w:rsid w:val="00A01397"/>
    <w:rsid w:val="00A14C13"/>
    <w:rsid w:val="00A151DC"/>
    <w:rsid w:val="00A357FE"/>
    <w:rsid w:val="00A56AB2"/>
    <w:rsid w:val="00A81C7A"/>
    <w:rsid w:val="00A93D73"/>
    <w:rsid w:val="00AB0203"/>
    <w:rsid w:val="00AC3546"/>
    <w:rsid w:val="00AD10B9"/>
    <w:rsid w:val="00AF1153"/>
    <w:rsid w:val="00B0529A"/>
    <w:rsid w:val="00B0777D"/>
    <w:rsid w:val="00B2480A"/>
    <w:rsid w:val="00B34DBF"/>
    <w:rsid w:val="00B42747"/>
    <w:rsid w:val="00B46FCE"/>
    <w:rsid w:val="00B91273"/>
    <w:rsid w:val="00B939B2"/>
    <w:rsid w:val="00BD1D38"/>
    <w:rsid w:val="00BF373E"/>
    <w:rsid w:val="00BF52CB"/>
    <w:rsid w:val="00BF795D"/>
    <w:rsid w:val="00C10A8F"/>
    <w:rsid w:val="00C26CF4"/>
    <w:rsid w:val="00C36DEF"/>
    <w:rsid w:val="00C371BF"/>
    <w:rsid w:val="00C56139"/>
    <w:rsid w:val="00C56D75"/>
    <w:rsid w:val="00C61610"/>
    <w:rsid w:val="00C6705F"/>
    <w:rsid w:val="00C80E6B"/>
    <w:rsid w:val="00C854A9"/>
    <w:rsid w:val="00C87111"/>
    <w:rsid w:val="00C9597E"/>
    <w:rsid w:val="00CA6837"/>
    <w:rsid w:val="00CB3B56"/>
    <w:rsid w:val="00CD3E77"/>
    <w:rsid w:val="00CD404E"/>
    <w:rsid w:val="00D57206"/>
    <w:rsid w:val="00D85D09"/>
    <w:rsid w:val="00DA70DF"/>
    <w:rsid w:val="00DC330E"/>
    <w:rsid w:val="00E30FB4"/>
    <w:rsid w:val="00E3357D"/>
    <w:rsid w:val="00EB035C"/>
    <w:rsid w:val="00ED1A2B"/>
    <w:rsid w:val="00EF42D8"/>
    <w:rsid w:val="00F14C3D"/>
    <w:rsid w:val="00F26C35"/>
    <w:rsid w:val="00F304DF"/>
    <w:rsid w:val="00F51DCE"/>
    <w:rsid w:val="00F8540B"/>
    <w:rsid w:val="00FA0D9C"/>
    <w:rsid w:val="00FD4016"/>
    <w:rsid w:val="0DBE31BD"/>
    <w:rsid w:val="0F6642B4"/>
    <w:rsid w:val="104B291F"/>
    <w:rsid w:val="11571B05"/>
    <w:rsid w:val="165114CD"/>
    <w:rsid w:val="1DDC363A"/>
    <w:rsid w:val="34C552AA"/>
    <w:rsid w:val="4BF0617C"/>
    <w:rsid w:val="5D017AD1"/>
    <w:rsid w:val="7BCB48C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8">
    <w:name w:val="Hyperlink"/>
    <w:basedOn w:val="7"/>
    <w:unhideWhenUsed/>
    <w:qFormat/>
    <w:uiPriority w:val="99"/>
    <w:rPr>
      <w:color w:val="356AA0"/>
      <w:u w:val="none"/>
    </w:rPr>
  </w:style>
  <w:style w:type="character" w:customStyle="1" w:styleId="9">
    <w:name w:val="批注框文本 Char"/>
    <w:basedOn w:val="7"/>
    <w:link w:val="2"/>
    <w:semiHidden/>
    <w:qFormat/>
    <w:locked/>
    <w:uiPriority w:val="99"/>
    <w:rPr>
      <w:rFonts w:cs="Times New Roman"/>
      <w:sz w:val="18"/>
      <w:szCs w:val="18"/>
    </w:rPr>
  </w:style>
  <w:style w:type="character" w:customStyle="1" w:styleId="10">
    <w:name w:val="页眉 Char"/>
    <w:basedOn w:val="7"/>
    <w:link w:val="4"/>
    <w:semiHidden/>
    <w:qFormat/>
    <w:locked/>
    <w:uiPriority w:val="99"/>
    <w:rPr>
      <w:rFonts w:cs="Times New Roman"/>
      <w:sz w:val="18"/>
      <w:szCs w:val="18"/>
    </w:rPr>
  </w:style>
  <w:style w:type="character" w:customStyle="1" w:styleId="11">
    <w:name w:val="页脚 Char"/>
    <w:basedOn w:val="7"/>
    <w:link w:val="3"/>
    <w:semiHidden/>
    <w:qFormat/>
    <w:locked/>
    <w:uiPriority w:val="99"/>
    <w:rPr>
      <w:rFonts w:cs="Times New Roman"/>
      <w:sz w:val="18"/>
      <w:szCs w:val="18"/>
    </w:rPr>
  </w:style>
  <w:style w:type="paragraph" w:customStyle="1" w:styleId="12">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段"/>
    <w:basedOn w:val="1"/>
    <w:qFormat/>
    <w:uiPriority w:val="0"/>
    <w:pPr>
      <w:widowControl/>
      <w:autoSpaceDE w:val="0"/>
      <w:autoSpaceDN w:val="0"/>
      <w:ind w:firstLine="200" w:firstLineChars="200"/>
    </w:pPr>
    <w:rPr>
      <w:rFonts w:ascii="宋体" w:hAnsi="Times New Roman" w:cs="宋体"/>
      <w:kern w:val="0"/>
      <w:szCs w:val="21"/>
    </w:rPr>
  </w:style>
  <w:style w:type="paragraph" w:customStyle="1" w:styleId="14">
    <w:name w:val="一级条标题"/>
    <w:basedOn w:val="1"/>
    <w:next w:val="13"/>
    <w:qFormat/>
    <w:uiPriority w:val="0"/>
    <w:pPr>
      <w:widowControl/>
      <w:numPr>
        <w:ilvl w:val="1"/>
        <w:numId w:val="1"/>
      </w:numPr>
      <w:jc w:val="left"/>
      <w:outlineLvl w:val="2"/>
    </w:pPr>
    <w:rPr>
      <w:rFonts w:ascii="Times New Roman" w:hAnsi="Times New Roman" w:eastAsia="黑体"/>
      <w:kern w:val="0"/>
      <w:szCs w:val="21"/>
    </w:rPr>
  </w:style>
  <w:style w:type="paragraph" w:customStyle="1" w:styleId="15">
    <w:name w:val="二级条标题"/>
    <w:basedOn w:val="14"/>
    <w:next w:val="13"/>
    <w:qFormat/>
    <w:uiPriority w:val="0"/>
    <w:pPr>
      <w:numPr>
        <w:ilvl w:val="2"/>
      </w:numPr>
      <w:outlineLvl w:val="3"/>
    </w:pPr>
  </w:style>
  <w:style w:type="character" w:customStyle="1" w:styleId="16">
    <w:name w:val="pic_text"/>
    <w:basedOn w:val="7"/>
    <w:qFormat/>
    <w:uiPriority w:val="0"/>
  </w:style>
  <w:style w:type="character" w:customStyle="1" w:styleId="17">
    <w:name w:val="pic_text1"/>
    <w:basedOn w:val="7"/>
    <w:qFormat/>
    <w:uiPriority w:val="0"/>
  </w:style>
  <w:style w:type="character" w:customStyle="1" w:styleId="18">
    <w:name w:val="pic_text2"/>
    <w:basedOn w:val="7"/>
    <w:qFormat/>
    <w:uiPriority w:val="0"/>
  </w:style>
  <w:style w:type="character" w:customStyle="1" w:styleId="19">
    <w:name w:val="pic_text3"/>
    <w:basedOn w:val="7"/>
    <w:qFormat/>
    <w:uiPriority w:val="0"/>
  </w:style>
  <w:style w:type="character" w:customStyle="1" w:styleId="20">
    <w:name w:val="pic_text4"/>
    <w:basedOn w:val="7"/>
    <w:uiPriority w:val="0"/>
  </w:style>
  <w:style w:type="character" w:customStyle="1" w:styleId="21">
    <w:name w:val="pic_text5"/>
    <w:basedOn w:val="7"/>
    <w:uiPriority w:val="0"/>
  </w:style>
  <w:style w:type="character" w:customStyle="1" w:styleId="22">
    <w:name w:val="list-icon1"/>
    <w:basedOn w:val="7"/>
    <w:qFormat/>
    <w:uiPriority w:val="0"/>
  </w:style>
  <w:style w:type="character" w:customStyle="1" w:styleId="23">
    <w:name w:val="list-icon11"/>
    <w:basedOn w:val="7"/>
    <w:qFormat/>
    <w:uiPriority w:val="0"/>
  </w:style>
  <w:style w:type="character" w:customStyle="1" w:styleId="24">
    <w:name w:val="list-icon12"/>
    <w:basedOn w:val="7"/>
    <w:qFormat/>
    <w:uiPriority w:val="0"/>
  </w:style>
  <w:style w:type="character" w:customStyle="1" w:styleId="25">
    <w:name w:val="list-icon2"/>
    <w:basedOn w:val="7"/>
    <w:qFormat/>
    <w:uiPriority w:val="0"/>
  </w:style>
  <w:style w:type="character" w:customStyle="1" w:styleId="26">
    <w:name w:val="list-icon21"/>
    <w:basedOn w:val="7"/>
    <w:qFormat/>
    <w:uiPriority w:val="0"/>
  </w:style>
  <w:style w:type="character" w:customStyle="1" w:styleId="27">
    <w:name w:val="list-icon22"/>
    <w:basedOn w:val="7"/>
    <w:qFormat/>
    <w:uiPriority w:val="0"/>
  </w:style>
  <w:style w:type="character" w:customStyle="1" w:styleId="28">
    <w:name w:val="list-icon3"/>
    <w:basedOn w:val="7"/>
    <w:uiPriority w:val="0"/>
  </w:style>
  <w:style w:type="character" w:customStyle="1" w:styleId="29">
    <w:name w:val="list-icon31"/>
    <w:basedOn w:val="7"/>
    <w:qFormat/>
    <w:uiPriority w:val="0"/>
  </w:style>
  <w:style w:type="character" w:customStyle="1" w:styleId="30">
    <w:name w:val="list-icon32"/>
    <w:basedOn w:val="7"/>
    <w:qFormat/>
    <w:uiPriority w:val="0"/>
  </w:style>
  <w:style w:type="character" w:customStyle="1" w:styleId="31">
    <w:name w:val="pic_title"/>
    <w:basedOn w:val="7"/>
    <w:uiPriority w:val="0"/>
    <w:rPr>
      <w:b/>
    </w:rPr>
  </w:style>
  <w:style w:type="character" w:customStyle="1" w:styleId="32">
    <w:name w:val="pic_title1"/>
    <w:basedOn w:val="7"/>
    <w:qFormat/>
    <w:uiPriority w:val="0"/>
  </w:style>
  <w:style w:type="character" w:customStyle="1" w:styleId="33">
    <w:name w:val="pic_title2"/>
    <w:basedOn w:val="7"/>
    <w:qFormat/>
    <w:uiPriority w:val="0"/>
  </w:style>
  <w:style w:type="character" w:customStyle="1" w:styleId="34">
    <w:name w:val="pic_title3"/>
    <w:basedOn w:val="7"/>
    <w:qFormat/>
    <w:uiPriority w:val="0"/>
  </w:style>
  <w:style w:type="character" w:customStyle="1" w:styleId="35">
    <w:name w:val="pic_title4"/>
    <w:basedOn w:val="7"/>
    <w:qFormat/>
    <w:uiPriority w:val="0"/>
  </w:style>
  <w:style w:type="character" w:customStyle="1" w:styleId="36">
    <w:name w:val="pic_title5"/>
    <w:basedOn w:val="7"/>
    <w:qFormat/>
    <w:uiPriority w:val="0"/>
  </w:style>
  <w:style w:type="character" w:customStyle="1" w:styleId="37">
    <w:name w:val="pic1"/>
    <w:basedOn w:val="7"/>
    <w:qFormat/>
    <w:uiPriority w:val="0"/>
  </w:style>
  <w:style w:type="character" w:customStyle="1" w:styleId="38">
    <w:name w:val="class"/>
    <w:basedOn w:val="7"/>
    <w:uiPriority w:val="0"/>
    <w:rPr>
      <w:shd w:val="clear" w:color="auto" w:fill="EAF6FD"/>
    </w:rPr>
  </w:style>
  <w:style w:type="character" w:customStyle="1" w:styleId="39">
    <w:name w:val="globaldate"/>
    <w:basedOn w:val="7"/>
    <w:qFormat/>
    <w:uiPriority w:val="0"/>
  </w:style>
  <w:style w:type="character" w:customStyle="1" w:styleId="40">
    <w:name w:val="page_dot"/>
    <w:basedOn w:val="7"/>
    <w:qFormat/>
    <w:uiPriority w:val="0"/>
    <w:rPr>
      <w:color w:val="000000"/>
    </w:rPr>
  </w:style>
  <w:style w:type="character" w:customStyle="1" w:styleId="41">
    <w:name w:val="pic_title6"/>
    <w:basedOn w:val="7"/>
    <w:qFormat/>
    <w:uiPriority w:val="0"/>
  </w:style>
  <w:style w:type="character" w:customStyle="1" w:styleId="42">
    <w:name w:val="pic_title7"/>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1049</Words>
  <Characters>1175</Characters>
  <Lines>8</Lines>
  <Paragraphs>2</Paragraphs>
  <TotalTime>52</TotalTime>
  <ScaleCrop>false</ScaleCrop>
  <LinksUpToDate>false</LinksUpToDate>
  <CharactersWithSpaces>1208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2017-08-25T00:37:00Z</dcterms:created>
  <dc:creator>wssjj</dc:creator>
  <cp:lastModifiedBy>刘辉</cp:lastModifiedBy>
  <cp:lastPrinted>2017-09-11T01:49:00Z</cp:lastPrinted>
  <dcterms:modified xsi:type="dcterms:W3CDTF">2024-11-19T07:50:15Z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4ADA351753B243148B33B6200F7AE240_12</vt:lpwstr>
  </property>
</Properties>
</file>