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BCD53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汶上县市场监督管理局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 w14:paraId="5238298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 w14:paraId="554F692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1AC4D8B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EB17BF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6F9F59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年12月31日止。本报告电子版可在“中国·汶上”政府门户网站（http://www.wenshang.gov.cn/）查阅或下载。如对本报告有疑问，请与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（地址：汶上县开元大厦6006房间，电话及传真：0537—7212861)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 w14:paraId="769CE6A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 w14:paraId="29C66F6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（一）主动公开情况</w:t>
      </w:r>
    </w:p>
    <w:p w14:paraId="75DA956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一是加大政府网站公开力度。在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网站公开行政服务事项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495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条（行政处罚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行政强制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条，行政检查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条，行政确认0条，行政奖励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、其他权力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条，公共服务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条），并提供资料下载、在线咨询、在线申请等服务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政府网站，将涉市场监管工作相关信息在食品药品安全、产品质量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等栏目进行公开，20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年公开信息共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106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充分利用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“智慧汶上”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政务号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大力公开市场监管信息，让广大市场主体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和公众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第一时间了解并掌握县市场监管相关政策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办事服务流程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工作动态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和日常知识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等。</w:t>
      </w:r>
    </w:p>
    <w:p w14:paraId="7E6816B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（二）依申请公开情况</w:t>
      </w:r>
    </w:p>
    <w:p w14:paraId="1A3A535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年，我局接到信息公开申请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8条，申请涉及公开投诉举报处理结果、执法人员信息、法治政府建设、内勤事务等，申请处理均已按时答复、未进行任何收费，相比2023年申请公开数量增加较多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  </w:t>
      </w:r>
    </w:p>
    <w:p w14:paraId="05B801C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（三）政府信息管理情况</w:t>
      </w:r>
    </w:p>
    <w:p w14:paraId="62D060D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县市场监管局认真做好政府信息管理工作。修订公文审批单，增设“政务公开”签批事项，确保公开规范、标准。办公室统筹协调，新闻宣传科、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人事科、食品、药品安全监管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等科室（单位）密切配合，严格履行政务公开职责。</w:t>
      </w:r>
    </w:p>
    <w:p w14:paraId="6A37200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（四）政府信息公开平台建设情况</w:t>
      </w:r>
    </w:p>
    <w:p w14:paraId="0BD9A0B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一是完成在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网站行政服务事项更新，对新增或更新的行政服务事项，及时按程序在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网站公开。二是完成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网站相关栏目更新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方正仿宋简体" w:cs="Times New Roman"/>
          <w:b/>
          <w:bCs/>
          <w:color w:val="000000"/>
          <w:sz w:val="32"/>
          <w:lang w:val="en-US" w:eastAsia="zh-CN"/>
        </w:rPr>
        <w:t>根据其他县市区优秀公开案例，积极更新调整政务公开内容，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努力提升政务公开质量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加大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“智慧汶上”政务号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宣传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针对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“智慧汶上”政务号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关注的群体，有针对性地进行法律法规、消费提示等方面的信息宣传，切实搭建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好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市场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监管部门与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公众的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交流平台。</w:t>
      </w:r>
    </w:p>
    <w:p w14:paraId="0542ADB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（五）监督保障情况</w:t>
      </w:r>
    </w:p>
    <w:p w14:paraId="4506845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县市场监管局将政务公开列入年度重点工作，主要负责同志先后主持召开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市场监管局政务公开领导小组专题会议、局党组会议，安排部署政务公开工作；分管负责同志多次对政务公开工作做出批示指示。安排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2名人员兼职从事信息公开工作，并积极安排从事信息公开工作人员参加各级组织的培训，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同时加强对涉及科室的业务培训，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提高信息公开工作能力和素质，确保信息公开工作有效推进。</w:t>
      </w:r>
    </w:p>
    <w:p w14:paraId="0F067A0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1BD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02700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EA4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513B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7730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CA80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DB7A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41D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F3FF1B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36AD1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A5A83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06DC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E5C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29AE05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CFB9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32B3A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3FB63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A2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D738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0BA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68BF2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86CA3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1EA7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E1F190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F286E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09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6FCA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033B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4EE6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4E51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F3B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CA831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27BA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600</w:t>
            </w:r>
          </w:p>
        </w:tc>
      </w:tr>
      <w:tr w14:paraId="1C16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FDCB3E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2EC8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135</w:t>
            </w:r>
          </w:p>
        </w:tc>
      </w:tr>
      <w:tr w14:paraId="48E1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4E86E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7C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28B4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B56DE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7AC8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6132B0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F2167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17.724</w:t>
            </w:r>
          </w:p>
        </w:tc>
      </w:tr>
    </w:tbl>
    <w:p w14:paraId="021AF384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238D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58F02E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09C29E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223B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D2EFF85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EBB3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605108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BA218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0B6E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269761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EB289F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74D46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591800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62072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37030A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7BA99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0C22F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66B1A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B4D19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 w14:paraId="20BD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54D098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F99CE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7D95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F6357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9A3F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B5EE7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E163E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6AC0A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BE5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E61CB7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D194B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66699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3B14D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87CF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17768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B00C1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2DA039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C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E4D98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054EC13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60FB3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8535D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46FF4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1BA5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C650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6BDAB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10A43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23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2B6A5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9EDDB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CFB83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5E69C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C46A3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29D3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A12F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2D6E7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B6AE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29E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69040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0016E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2A5FB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4725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4219A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9E36E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DBEE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EFA4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04BF3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9CE5F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D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A38C6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AABE0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5A7A1F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67F3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53E98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986B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0E969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57960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B89CF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1E9B8F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8F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E8D78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50A20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E9A55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FF3E2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CD3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DFAD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9E1E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2C4CE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9F9E3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630DEA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2B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A5112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0D22D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86054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1F2B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CCB34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BAB01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E772F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E2048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E69A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318C1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C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44239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EB81B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11D1F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E632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C80AC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209D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2E0F6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10832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961B7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253158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D0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54297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F8E6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D1B20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BEA9F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EA56C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D35F6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4AC79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8042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858E2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A0569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C2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E42CC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FBB9F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73D257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8BC8D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5969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227B5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94D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FDEF3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B95D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7C098D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61E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EE571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1BA6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F1427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CFD5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C6FF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9F7E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2F03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44460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9EE0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C5E57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612D3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22D2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F82FEF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5345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8C5AB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3E65B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BE20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A36A9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058ED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3710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16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20D38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521566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99ED7F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B360F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49723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55614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BC180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D9647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A527A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6362FF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9AB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24B9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6B0C53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6432FE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C87C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E32EF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4525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ACB3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40638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6658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4298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FC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1DF0B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F1DE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006E2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E5DB3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2DC55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CF33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C3091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97A7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F21B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784EDC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625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E02AB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6B59D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0CA90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89FBF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BD8FE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A8D83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24CB0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29050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5BA6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CAEE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C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52A46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93177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87C2F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4B68D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A6B7C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678AB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5B43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2B067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4083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A8E04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2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FEB53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35721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B82A30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5166E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92426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1F8F7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6DFD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61CC5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60291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196375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B1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6E1C3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A9072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46620EA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21636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437C4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80B93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BCA0C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E6A8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FFC49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791154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2F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77B187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2BAD1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7407238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FDCC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52415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8DCBF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FC712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3B2BC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ED2C8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85FC1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3F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26704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9ABE4A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CE9CC18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AB86E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3CCF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0B0B8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C60C9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BBBD1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E1FE2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A0438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E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4ED1B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A61C5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0B1D17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927BD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8AE1F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BAF6E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570A6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34161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61689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26EDC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0B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98749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8DE27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216EA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D2194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A74A3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50BA4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93965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F82C4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BA4E6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A90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918522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E6581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DE0A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034B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DBFC7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6A362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D4240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0A444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36ED2A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 w14:paraId="6C70161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6AE1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2F14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8639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55AAD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2985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A8897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5B63C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F7F6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2F70A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9133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0008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EF4C6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768B3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314B35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FFBE46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DE958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79D85C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CB249D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E12A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396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F847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C2C6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02A9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DDAB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CEF8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B1F7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EB41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9ACA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5BF5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196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03590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9773C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1C641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F2A8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486D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6B4A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A50A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44C78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05A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4D9D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728C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25E4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3730E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CFF32"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94FF0E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五、存在的主要问题及改进情况</w:t>
      </w:r>
    </w:p>
    <w:p w14:paraId="7AFB540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汶上县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市场监督管理局政务公开存在一些问题：一是信息更新发布不及时，尤其是涉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及行政权力运行方面信息未能及时有效发布；二是信息分类不够清晰明确，使群众在查找信息时不够便捷；三是信息安全保密性有待提高，在信息保密审查及个人信息隐私等方面有待完善。</w:t>
      </w:r>
    </w:p>
    <w:p w14:paraId="7A5448E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下一步，我局将采取以下措施：一是建立信息更新机制，确保信息的时效性，增加专人负责信息更新工作，尤其是涉及行政权力信息更新内容，实时跟进权力运行流程，确保及时更新。二是重新梳理信息分类标准，明确各类信息的归属，添加常用关键词字，使群众能够更快速地找到所需内容。三是加强信息安全、隐私培训，提高工作人员的信息安全意识。完善保密审查制度，确保信息的安全性和隐私保护。</w:t>
      </w:r>
    </w:p>
    <w:p w14:paraId="2553090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六、其他需要报告的事项</w:t>
      </w:r>
    </w:p>
    <w:p w14:paraId="2056CD56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收取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信息处理费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情况</w:t>
      </w:r>
    </w:p>
    <w:p w14:paraId="3CD044A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依据《政府信息公开信息处理费管理办法》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汶上县市场监督管理局未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 w14:paraId="2BF82886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落实上级年度政务公开工作要点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情况</w:t>
      </w:r>
    </w:p>
    <w:p w14:paraId="1B49C9DF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年，汶上县市场监督管理局共承担1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项政务公开指标，其中牵头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项，为此我们制定了具体实施方案，把任务目标分解到相关科室，定期调度工作开展情况，截止12月31日，县市场监管局承担的1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项政务公开指标均已完成既定任务目标。</w:t>
      </w:r>
    </w:p>
    <w:p w14:paraId="52911AE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（三）人大代表建议和政协提案办理结果公开情况</w:t>
      </w:r>
    </w:p>
    <w:p w14:paraId="490110A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县市场监督管理局共承办人大代表建议和政协委员提案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件。其中，承办县人大代表建议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件；承办县政协委员提案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件。截止目前，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件代表建议已全部办理完毕，并向代表作出了书面答复，所有提案已在规定时限内办复完毕，并向委员作出了书面答复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人大代表建议和政协提案办理结果均已通过县政府网站予以公开。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 w14:paraId="5C97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7740" w:type="dxa"/>
            <w:tcBorders>
              <w:tl2br w:val="nil"/>
              <w:tr2bl w:val="nil"/>
            </w:tcBorders>
            <w:vAlign w:val="center"/>
          </w:tcPr>
          <w:p w14:paraId="213F6D5B">
            <w:pPr>
              <w:spacing w:line="590" w:lineRule="exact"/>
              <w:ind w:right="-100" w:rightChars="-5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-1247775</wp:posOffset>
                  </wp:positionV>
                  <wp:extent cx="4772660" cy="2713355"/>
                  <wp:effectExtent l="4445" t="4445" r="23495" b="6350"/>
                  <wp:wrapTight wrapText="bothSides">
                    <wp:wrapPolygon>
                      <wp:start x="-20" y="-35"/>
                      <wp:lineTo x="-20" y="21499"/>
                      <wp:lineTo x="21534" y="21499"/>
                      <wp:lineTo x="21534" y="-35"/>
                      <wp:lineTo x="-20" y="-35"/>
                    </wp:wrapPolygon>
                  </wp:wrapTight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</w:p>
        </w:tc>
      </w:tr>
    </w:tbl>
    <w:p w14:paraId="5517F96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务公开创新情况</w:t>
      </w:r>
    </w:p>
    <w:p w14:paraId="13EBD2BB">
      <w:p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1587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9F0D9"/>
    <w:multiLevelType w:val="singleLevel"/>
    <w:tmpl w:val="C299F0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860"/>
    <w:rsid w:val="006F07FE"/>
    <w:rsid w:val="00F115C4"/>
    <w:rsid w:val="038F3DB7"/>
    <w:rsid w:val="04E279FE"/>
    <w:rsid w:val="055A55B4"/>
    <w:rsid w:val="09645279"/>
    <w:rsid w:val="0B3058BE"/>
    <w:rsid w:val="0C8D69CF"/>
    <w:rsid w:val="0EA306B8"/>
    <w:rsid w:val="0FD71653"/>
    <w:rsid w:val="101E6639"/>
    <w:rsid w:val="10F71E86"/>
    <w:rsid w:val="131E6917"/>
    <w:rsid w:val="13382C11"/>
    <w:rsid w:val="152F4E42"/>
    <w:rsid w:val="16673C2E"/>
    <w:rsid w:val="18163BAA"/>
    <w:rsid w:val="18430AB9"/>
    <w:rsid w:val="18810045"/>
    <w:rsid w:val="197C38F4"/>
    <w:rsid w:val="1B2B1BB9"/>
    <w:rsid w:val="1F775526"/>
    <w:rsid w:val="25562EE0"/>
    <w:rsid w:val="25C46260"/>
    <w:rsid w:val="25E077CB"/>
    <w:rsid w:val="260037BC"/>
    <w:rsid w:val="26634EDB"/>
    <w:rsid w:val="27187130"/>
    <w:rsid w:val="28F96FE7"/>
    <w:rsid w:val="2AF91248"/>
    <w:rsid w:val="2CFC7C86"/>
    <w:rsid w:val="2D0C2A82"/>
    <w:rsid w:val="30216DCA"/>
    <w:rsid w:val="308F364C"/>
    <w:rsid w:val="32A50BDE"/>
    <w:rsid w:val="356A6CC3"/>
    <w:rsid w:val="361A6124"/>
    <w:rsid w:val="37F52D97"/>
    <w:rsid w:val="3940338F"/>
    <w:rsid w:val="39484311"/>
    <w:rsid w:val="3A99047D"/>
    <w:rsid w:val="3B002761"/>
    <w:rsid w:val="3C8F2BB2"/>
    <w:rsid w:val="3FB23DD5"/>
    <w:rsid w:val="41F24E7B"/>
    <w:rsid w:val="42112A00"/>
    <w:rsid w:val="4305168B"/>
    <w:rsid w:val="43A538C3"/>
    <w:rsid w:val="43CF691E"/>
    <w:rsid w:val="444C01E3"/>
    <w:rsid w:val="4517434D"/>
    <w:rsid w:val="467D4565"/>
    <w:rsid w:val="47631ACB"/>
    <w:rsid w:val="47A63036"/>
    <w:rsid w:val="47B63F1B"/>
    <w:rsid w:val="497903CC"/>
    <w:rsid w:val="4AE83401"/>
    <w:rsid w:val="4C204857"/>
    <w:rsid w:val="4C7067C5"/>
    <w:rsid w:val="4D1C683E"/>
    <w:rsid w:val="4D4378D9"/>
    <w:rsid w:val="51D84499"/>
    <w:rsid w:val="541079DB"/>
    <w:rsid w:val="54F35481"/>
    <w:rsid w:val="56B059A9"/>
    <w:rsid w:val="57A57E4C"/>
    <w:rsid w:val="57BA5482"/>
    <w:rsid w:val="59BC2D25"/>
    <w:rsid w:val="5B9C4507"/>
    <w:rsid w:val="5E4A249D"/>
    <w:rsid w:val="5EB448CA"/>
    <w:rsid w:val="5FE90741"/>
    <w:rsid w:val="61A42FB4"/>
    <w:rsid w:val="64441942"/>
    <w:rsid w:val="66862873"/>
    <w:rsid w:val="66EB5DA5"/>
    <w:rsid w:val="66F10388"/>
    <w:rsid w:val="6B11058A"/>
    <w:rsid w:val="6DA06F27"/>
    <w:rsid w:val="727C6062"/>
    <w:rsid w:val="73125FD0"/>
    <w:rsid w:val="73980A9E"/>
    <w:rsid w:val="7603763F"/>
    <w:rsid w:val="76A43C1E"/>
    <w:rsid w:val="774C5FCD"/>
    <w:rsid w:val="77B67C49"/>
    <w:rsid w:val="79F829EF"/>
    <w:rsid w:val="7B572692"/>
    <w:rsid w:val="7D1E37D2"/>
    <w:rsid w:val="7E6538CD"/>
    <w:rsid w:val="7FAF1655"/>
    <w:rsid w:val="7FB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2024年度人大建议、政协提案办理情况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人大建议</c:v>
                </c:pt>
                <c:pt idx="1">
                  <c:v>政协提案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43ce6e-cd39-4b02-91e9-aee95f504af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1267</Words>
  <Characters>1341</Characters>
  <Lines>0</Lines>
  <Paragraphs>0</Paragraphs>
  <TotalTime>2</TotalTime>
  <ScaleCrop>false</ScaleCrop>
  <LinksUpToDate>false</LinksUpToDate>
  <CharactersWithSpaces>1343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2022-01-24T08:42:00Z</dcterms:created>
  <dc:creator>Administrator</dc:creator>
  <cp:lastModifiedBy>scjgj</cp:lastModifiedBy>
  <dcterms:modified xsi:type="dcterms:W3CDTF">2025-01-17T08:35:36Z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06FD71D68D2147E182EA80437A86BAA1</vt:lpwstr>
  </property>
  <property fmtid="{D5CDD505-2E9C-101B-9397-08002B2CF9AE}" pid="4" name="KSOTemplateDocerSaveRecord">
    <vt:lpwstr>eyJoZGlkIjoiOTc0YWZiYmQ1MjcyYzU1MTc0ZjI1OWQ4ZTIyMzYzNGQiLCJ1c2VySWQiOiI2NTQ5ODk2MjYifQ==</vt:lpwstr>
  </property>
</Properties>
</file>