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jc w:val="center"/>
        <w:rPr>
          <w:rFonts w:hAnsi="宋体"/>
          <w:b/>
          <w:sz w:val="72"/>
        </w:rPr>
      </w:pPr>
      <w:bookmarkStart w:id="3" w:name="_GoBack"/>
      <w:bookmarkEnd w:id="3"/>
    </w:p>
    <w:p>
      <w:pPr>
        <w:spacing w:line="0" w:lineRule="atLeast"/>
        <w:jc w:val="center"/>
        <w:rPr>
          <w:rFonts w:hAnsi="宋体"/>
          <w:b/>
          <w:sz w:val="72"/>
        </w:rPr>
      </w:pPr>
    </w:p>
    <w:p>
      <w:pPr>
        <w:spacing w:line="0" w:lineRule="atLeast"/>
        <w:jc w:val="center"/>
        <w:rPr>
          <w:rFonts w:hAnsi="宋体"/>
          <w:b/>
          <w:sz w:val="72"/>
        </w:rPr>
      </w:pPr>
    </w:p>
    <w:p>
      <w:pPr>
        <w:spacing w:line="0" w:lineRule="atLeast"/>
        <w:jc w:val="center"/>
        <w:rPr>
          <w:b/>
          <w:sz w:val="72"/>
        </w:rPr>
      </w:pPr>
      <w:r>
        <w:rPr>
          <w:rFonts w:hAnsi="宋体"/>
          <w:b/>
          <w:sz w:val="72"/>
        </w:rPr>
        <w:t>建设项目环境影响报告表</w:t>
      </w:r>
    </w:p>
    <w:p>
      <w:pPr>
        <w:spacing w:line="360" w:lineRule="auto"/>
        <w:rPr>
          <w:rFonts w:hAnsi="宋体"/>
          <w:b/>
          <w:spacing w:val="-20"/>
          <w:sz w:val="32"/>
          <w:szCs w:val="36"/>
        </w:rPr>
      </w:pPr>
    </w:p>
    <w:p>
      <w:pPr>
        <w:spacing w:line="360" w:lineRule="auto"/>
        <w:rPr>
          <w:rFonts w:hAnsi="宋体"/>
          <w:b/>
          <w:spacing w:val="-20"/>
          <w:sz w:val="32"/>
          <w:szCs w:val="36"/>
        </w:rPr>
      </w:pPr>
    </w:p>
    <w:p>
      <w:pPr>
        <w:spacing w:line="360" w:lineRule="auto"/>
        <w:rPr>
          <w:rFonts w:hAnsi="宋体"/>
          <w:b/>
          <w:spacing w:val="-20"/>
          <w:sz w:val="32"/>
          <w:szCs w:val="36"/>
        </w:rPr>
      </w:pPr>
    </w:p>
    <w:p>
      <w:pPr>
        <w:spacing w:line="360" w:lineRule="auto"/>
        <w:rPr>
          <w:rFonts w:hAnsi="宋体"/>
          <w:b/>
          <w:spacing w:val="-20"/>
          <w:sz w:val="32"/>
          <w:szCs w:val="36"/>
        </w:rPr>
      </w:pPr>
    </w:p>
    <w:p>
      <w:pPr>
        <w:spacing w:line="360" w:lineRule="auto"/>
        <w:rPr>
          <w:rFonts w:hAnsi="宋体"/>
          <w:b/>
          <w:spacing w:val="-20"/>
          <w:sz w:val="32"/>
          <w:szCs w:val="36"/>
        </w:rPr>
      </w:pPr>
    </w:p>
    <w:p>
      <w:pPr>
        <w:spacing w:line="360" w:lineRule="auto"/>
        <w:rPr>
          <w:rFonts w:hAnsi="宋体"/>
          <w:b/>
          <w:spacing w:val="-20"/>
          <w:sz w:val="32"/>
          <w:szCs w:val="36"/>
        </w:rPr>
      </w:pPr>
    </w:p>
    <w:p>
      <w:pPr>
        <w:spacing w:line="360" w:lineRule="auto"/>
        <w:rPr>
          <w:rFonts w:hAnsi="宋体"/>
          <w:b/>
          <w:spacing w:val="-20"/>
          <w:sz w:val="32"/>
          <w:szCs w:val="36"/>
        </w:rPr>
      </w:pPr>
    </w:p>
    <w:p>
      <w:pPr>
        <w:spacing w:line="360" w:lineRule="auto"/>
        <w:rPr>
          <w:rFonts w:hAnsi="宋体"/>
          <w:b/>
          <w:spacing w:val="-20"/>
          <w:sz w:val="32"/>
          <w:szCs w:val="36"/>
        </w:rPr>
      </w:pPr>
    </w:p>
    <w:p>
      <w:pPr>
        <w:spacing w:line="360" w:lineRule="auto"/>
        <w:rPr>
          <w:rFonts w:hAnsi="宋体"/>
          <w:b/>
          <w:spacing w:val="-20"/>
          <w:sz w:val="32"/>
          <w:szCs w:val="36"/>
        </w:rPr>
      </w:pPr>
    </w:p>
    <w:p>
      <w:pPr>
        <w:spacing w:line="360" w:lineRule="auto"/>
        <w:rPr>
          <w:rFonts w:hAnsi="宋体"/>
          <w:b/>
          <w:spacing w:val="-20"/>
          <w:sz w:val="32"/>
          <w:szCs w:val="36"/>
        </w:rPr>
      </w:pPr>
    </w:p>
    <w:p>
      <w:pPr>
        <w:spacing w:line="360" w:lineRule="auto"/>
        <w:jc w:val="center"/>
        <w:rPr>
          <w:b/>
          <w:bCs/>
          <w:sz w:val="32"/>
          <w:szCs w:val="36"/>
          <w:u w:val="thick"/>
        </w:rPr>
      </w:pPr>
      <w:r>
        <w:rPr>
          <w:rFonts w:hAnsi="宋体"/>
          <w:b/>
          <w:spacing w:val="-20"/>
          <w:sz w:val="32"/>
          <w:szCs w:val="36"/>
        </w:rPr>
        <w:t>项   目   名   称：</w:t>
      </w:r>
      <w:r>
        <w:rPr>
          <w:rFonts w:hint="eastAsia"/>
          <w:b/>
          <w:bCs/>
          <w:sz w:val="32"/>
          <w:szCs w:val="36"/>
          <w:u w:val="thick"/>
        </w:rPr>
        <w:t>汶上县东老塘矿区建筑用花岗岩矿开采</w:t>
      </w:r>
    </w:p>
    <w:p>
      <w:pPr>
        <w:spacing w:line="360" w:lineRule="auto"/>
        <w:ind w:left="2733" w:leftChars="534" w:hanging="1612" w:hangingChars="502"/>
        <w:rPr>
          <w:b/>
          <w:sz w:val="32"/>
          <w:szCs w:val="36"/>
        </w:rPr>
      </w:pPr>
    </w:p>
    <w:p>
      <w:pPr>
        <w:spacing w:line="0" w:lineRule="atLeast"/>
        <w:ind w:firstLine="551" w:firstLineChars="196"/>
        <w:rPr>
          <w:b/>
          <w:bCs/>
          <w:w w:val="90"/>
          <w:sz w:val="32"/>
          <w:szCs w:val="36"/>
          <w:u w:val="single"/>
        </w:rPr>
      </w:pPr>
      <w:r>
        <w:rPr>
          <w:rFonts w:hAnsi="宋体"/>
          <w:b/>
          <w:spacing w:val="-20"/>
          <w:sz w:val="32"/>
          <w:szCs w:val="36"/>
        </w:rPr>
        <w:t>建设单位（盖章）：</w:t>
      </w:r>
      <w:r>
        <w:rPr>
          <w:rFonts w:hint="eastAsia" w:hAnsi="宋体"/>
          <w:b/>
          <w:bCs/>
          <w:sz w:val="32"/>
          <w:szCs w:val="36"/>
          <w:u w:val="thick"/>
        </w:rPr>
        <w:t>汶上县闳兴矿业有限公司</w:t>
      </w:r>
    </w:p>
    <w:p>
      <w:pPr>
        <w:spacing w:line="0" w:lineRule="atLeast"/>
        <w:jc w:val="center"/>
        <w:rPr>
          <w:b/>
          <w:sz w:val="44"/>
        </w:rPr>
      </w:pPr>
    </w:p>
    <w:p>
      <w:pPr>
        <w:spacing w:line="0" w:lineRule="atLeast"/>
        <w:rPr>
          <w:b/>
          <w:sz w:val="44"/>
        </w:rPr>
      </w:pPr>
    </w:p>
    <w:p>
      <w:pPr>
        <w:spacing w:line="0" w:lineRule="atLeast"/>
        <w:jc w:val="center"/>
        <w:rPr>
          <w:b/>
          <w:snapToGrid w:val="0"/>
          <w:kern w:val="0"/>
          <w:sz w:val="32"/>
        </w:rPr>
      </w:pPr>
      <w:r>
        <w:rPr>
          <w:b/>
          <w:snapToGrid w:val="0"/>
          <w:kern w:val="0"/>
          <w:sz w:val="32"/>
        </w:rPr>
        <w:t>编制日期：201</w:t>
      </w:r>
      <w:r>
        <w:rPr>
          <w:rFonts w:hint="eastAsia"/>
          <w:b/>
          <w:snapToGrid w:val="0"/>
          <w:kern w:val="0"/>
          <w:sz w:val="32"/>
        </w:rPr>
        <w:t>9</w:t>
      </w:r>
      <w:r>
        <w:rPr>
          <w:b/>
          <w:snapToGrid w:val="0"/>
          <w:kern w:val="0"/>
          <w:sz w:val="32"/>
        </w:rPr>
        <w:t>年</w:t>
      </w:r>
      <w:r>
        <w:rPr>
          <w:rFonts w:hint="eastAsia"/>
          <w:b/>
          <w:snapToGrid w:val="0"/>
          <w:kern w:val="0"/>
          <w:sz w:val="32"/>
        </w:rPr>
        <w:t>2</w:t>
      </w:r>
      <w:r>
        <w:rPr>
          <w:b/>
          <w:snapToGrid w:val="0"/>
          <w:kern w:val="0"/>
          <w:sz w:val="32"/>
        </w:rPr>
        <w:t>月</w:t>
      </w:r>
    </w:p>
    <w:p>
      <w:pPr>
        <w:spacing w:line="0" w:lineRule="atLeast"/>
        <w:jc w:val="center"/>
        <w:rPr>
          <w:rFonts w:eastAsia="楷体_GB2312"/>
          <w:b/>
          <w:position w:val="-60"/>
          <w:sz w:val="36"/>
        </w:rPr>
        <w:sectPr>
          <w:headerReference r:id="rId5" w:type="first"/>
          <w:footerReference r:id="rId8" w:type="first"/>
          <w:headerReference r:id="rId3" w:type="default"/>
          <w:footerReference r:id="rId6" w:type="default"/>
          <w:headerReference r:id="rId4" w:type="even"/>
          <w:footerReference r:id="rId7" w:type="even"/>
          <w:pgSz w:w="11906" w:h="16838"/>
          <w:pgMar w:top="1361" w:right="1418" w:bottom="1361" w:left="1531" w:header="851" w:footer="992" w:gutter="0"/>
          <w:pgNumType w:start="0"/>
          <w:cols w:space="720" w:num="1"/>
          <w:titlePg/>
          <w:docGrid w:type="lines" w:linePitch="312" w:charSpace="0"/>
        </w:sectPr>
      </w:pPr>
      <w:r>
        <w:rPr>
          <w:rFonts w:hAnsi="宋体"/>
          <w:b/>
          <w:position w:val="-60"/>
          <w:sz w:val="32"/>
        </w:rPr>
        <w:t>国家环境保护部</w:t>
      </w:r>
      <w:r>
        <w:rPr>
          <w:rFonts w:hint="eastAsia" w:hAnsi="宋体"/>
          <w:b/>
          <w:position w:val="-60"/>
          <w:sz w:val="32"/>
        </w:rPr>
        <w:t>制</w:t>
      </w:r>
    </w:p>
    <w:p>
      <w:pPr>
        <w:spacing w:line="520" w:lineRule="exact"/>
        <w:rPr>
          <w:b/>
          <w:bCs/>
          <w:sz w:val="28"/>
        </w:rPr>
      </w:pPr>
    </w:p>
    <w:p>
      <w:pPr>
        <w:jc w:val="center"/>
        <w:rPr>
          <w:rFonts w:eastAsia="楷体_GB2312"/>
          <w:bCs/>
          <w:sz w:val="32"/>
          <w:szCs w:val="32"/>
        </w:rPr>
      </w:pPr>
      <w:r>
        <w:rPr>
          <w:rFonts w:eastAsia="楷体_GB2312"/>
          <w:bCs/>
          <w:sz w:val="32"/>
          <w:szCs w:val="32"/>
        </w:rPr>
        <w:t>《建设项目环境影响报告表》编制说明</w:t>
      </w:r>
    </w:p>
    <w:p>
      <w:pPr>
        <w:jc w:val="center"/>
        <w:rPr>
          <w:bCs/>
          <w:sz w:val="32"/>
          <w:szCs w:val="32"/>
        </w:rPr>
      </w:pPr>
    </w:p>
    <w:p>
      <w:pPr>
        <w:spacing w:line="480" w:lineRule="auto"/>
        <w:rPr>
          <w:rFonts w:eastAsia="楷体_GB2312"/>
          <w:bCs/>
          <w:sz w:val="28"/>
          <w:szCs w:val="28"/>
        </w:rPr>
      </w:pPr>
      <w:r>
        <w:rPr>
          <w:rFonts w:eastAsia="楷体_GB2312"/>
          <w:bCs/>
          <w:sz w:val="28"/>
          <w:szCs w:val="28"/>
        </w:rPr>
        <w:t>《建设项目环境影响报告表》由具有从事环境影响评价工作资质的单位编制。</w:t>
      </w:r>
    </w:p>
    <w:p>
      <w:pPr>
        <w:spacing w:line="480" w:lineRule="auto"/>
        <w:rPr>
          <w:rFonts w:eastAsia="楷体_GB2312"/>
          <w:bCs/>
          <w:sz w:val="28"/>
          <w:szCs w:val="28"/>
        </w:rPr>
      </w:pPr>
      <w:r>
        <w:rPr>
          <w:rFonts w:eastAsia="楷体_GB2312"/>
          <w:bCs/>
          <w:sz w:val="28"/>
          <w:szCs w:val="28"/>
        </w:rPr>
        <w:t xml:space="preserve">    1．项目名称——指项目立项批复时的名称，应不超过30个字(两个英文字段作一个汉字)。</w:t>
      </w:r>
    </w:p>
    <w:p>
      <w:pPr>
        <w:spacing w:line="480" w:lineRule="auto"/>
        <w:rPr>
          <w:rFonts w:eastAsia="楷体_GB2312"/>
          <w:bCs/>
          <w:sz w:val="28"/>
          <w:szCs w:val="28"/>
        </w:rPr>
      </w:pPr>
      <w:r>
        <w:rPr>
          <w:rFonts w:eastAsia="楷体_GB2312"/>
          <w:bCs/>
          <w:sz w:val="28"/>
          <w:szCs w:val="28"/>
        </w:rPr>
        <w:t xml:space="preserve">    2．建设地点——指项目所在地详细地址，公路、铁路应填写起止地点。</w:t>
      </w:r>
    </w:p>
    <w:p>
      <w:pPr>
        <w:spacing w:line="480" w:lineRule="auto"/>
        <w:rPr>
          <w:rFonts w:eastAsia="楷体_GB2312"/>
          <w:bCs/>
          <w:sz w:val="28"/>
          <w:szCs w:val="28"/>
        </w:rPr>
      </w:pPr>
      <w:r>
        <w:rPr>
          <w:rFonts w:eastAsia="楷体_GB2312"/>
          <w:bCs/>
          <w:sz w:val="28"/>
          <w:szCs w:val="28"/>
        </w:rPr>
        <w:t xml:space="preserve">    3．行业类别——按国标填写。</w:t>
      </w:r>
    </w:p>
    <w:p>
      <w:pPr>
        <w:spacing w:line="480" w:lineRule="auto"/>
        <w:rPr>
          <w:rFonts w:eastAsia="楷体_GB2312"/>
          <w:bCs/>
          <w:sz w:val="28"/>
          <w:szCs w:val="28"/>
        </w:rPr>
      </w:pPr>
      <w:r>
        <w:rPr>
          <w:rFonts w:eastAsia="楷体_GB2312"/>
          <w:bCs/>
          <w:sz w:val="28"/>
          <w:szCs w:val="28"/>
        </w:rPr>
        <w:t xml:space="preserve">    4．总投资——指项目投资总额。</w:t>
      </w:r>
    </w:p>
    <w:p>
      <w:pPr>
        <w:spacing w:line="480" w:lineRule="auto"/>
        <w:rPr>
          <w:rFonts w:eastAsia="楷体_GB2312"/>
          <w:bCs/>
          <w:sz w:val="28"/>
          <w:szCs w:val="28"/>
        </w:rPr>
      </w:pPr>
      <w:r>
        <w:rPr>
          <w:rFonts w:eastAsia="楷体_GB2312"/>
          <w:bCs/>
          <w:sz w:val="28"/>
          <w:szCs w:val="28"/>
        </w:rPr>
        <w:t xml:space="preserve">    5．主要环境保护目标——指项目区周围一定范围内集中居民住宅区、学校、医院、保护文物、风景名胜区、水源地和生态敏感点等，应尽可能给出保护目标、性质、规模和距厂界距离等。</w:t>
      </w:r>
    </w:p>
    <w:p>
      <w:pPr>
        <w:spacing w:line="480" w:lineRule="auto"/>
        <w:rPr>
          <w:rFonts w:eastAsia="楷体_GB2312"/>
          <w:bCs/>
          <w:sz w:val="28"/>
          <w:szCs w:val="28"/>
        </w:rPr>
      </w:pPr>
      <w:r>
        <w:rPr>
          <w:rFonts w:eastAsia="楷体_GB2312"/>
          <w:bCs/>
          <w:sz w:val="28"/>
          <w:szCs w:val="28"/>
        </w:rPr>
        <w:t xml:space="preserve">    6．结论与建议——给出本项目清洁生产、达标排放和总量控制的分析结论，确定污染防治措施的有效性，说明本项目对环境造成的影响，给出建设项目环境可行性的明确结论。同时提出减少环境影响的其他建议。</w:t>
      </w:r>
    </w:p>
    <w:p>
      <w:pPr>
        <w:spacing w:line="480" w:lineRule="auto"/>
        <w:rPr>
          <w:rFonts w:eastAsia="楷体_GB2312"/>
          <w:bCs/>
          <w:sz w:val="28"/>
          <w:szCs w:val="28"/>
        </w:rPr>
      </w:pPr>
      <w:r>
        <w:rPr>
          <w:rFonts w:eastAsia="楷体_GB2312"/>
          <w:bCs/>
          <w:sz w:val="28"/>
          <w:szCs w:val="28"/>
        </w:rPr>
        <w:t xml:space="preserve">    7．预审意见——由行业主管部门填写答复意见，无主管部门项目，可不填。</w:t>
      </w:r>
    </w:p>
    <w:p>
      <w:pPr>
        <w:spacing w:line="480" w:lineRule="auto"/>
        <w:ind w:firstLine="560" w:firstLineChars="200"/>
        <w:rPr>
          <w:rFonts w:eastAsia="楷体_GB2312"/>
          <w:bCs/>
          <w:sz w:val="28"/>
          <w:szCs w:val="28"/>
        </w:rPr>
      </w:pPr>
      <w:r>
        <w:rPr>
          <w:rFonts w:eastAsia="楷体_GB2312"/>
          <w:bCs/>
          <w:sz w:val="28"/>
          <w:szCs w:val="28"/>
        </w:rPr>
        <w:t>8．审批意见——由负责审批该项目的环境保护行政主管部门批复。</w:t>
      </w:r>
    </w:p>
    <w:p>
      <w:pPr>
        <w:spacing w:line="480" w:lineRule="auto"/>
        <w:outlineLvl w:val="0"/>
        <w:rPr>
          <w:rFonts w:hAnsi="宋体"/>
          <w:b/>
          <w:bCs/>
          <w:sz w:val="32"/>
          <w:szCs w:val="28"/>
        </w:rPr>
        <w:sectPr>
          <w:pgSz w:w="11906" w:h="16838"/>
          <w:pgMar w:top="1440" w:right="1800" w:bottom="1440" w:left="1800" w:header="851" w:footer="992" w:gutter="0"/>
          <w:cols w:space="425" w:num="1"/>
          <w:docGrid w:type="lines" w:linePitch="312" w:charSpace="0"/>
        </w:sectPr>
      </w:pPr>
    </w:p>
    <w:p>
      <w:pPr>
        <w:spacing w:line="480" w:lineRule="auto"/>
        <w:outlineLvl w:val="0"/>
        <w:rPr>
          <w:b/>
          <w:sz w:val="22"/>
        </w:rPr>
      </w:pPr>
      <w:r>
        <w:rPr>
          <w:rFonts w:hAnsi="宋体"/>
          <w:b/>
          <w:bCs/>
          <w:sz w:val="32"/>
          <w:szCs w:val="28"/>
        </w:rPr>
        <w:t>一、建设项目基本情况</w:t>
      </w:r>
    </w:p>
    <w:tbl>
      <w:tblPr>
        <w:tblStyle w:val="15"/>
        <w:tblW w:w="9286"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526"/>
        <w:gridCol w:w="1710"/>
        <w:gridCol w:w="368"/>
        <w:gridCol w:w="1332"/>
        <w:gridCol w:w="1409"/>
        <w:gridCol w:w="378"/>
        <w:gridCol w:w="1185"/>
        <w:gridCol w:w="334"/>
        <w:gridCol w:w="104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40" w:hRule="atLeast"/>
          <w:jc w:val="center"/>
        </w:trPr>
        <w:tc>
          <w:tcPr>
            <w:tcW w:w="1526" w:type="dxa"/>
            <w:vAlign w:val="center"/>
          </w:tcPr>
          <w:p>
            <w:pPr>
              <w:spacing w:line="280" w:lineRule="exact"/>
              <w:jc w:val="center"/>
              <w:rPr>
                <w:sz w:val="24"/>
              </w:rPr>
            </w:pPr>
            <w:r>
              <w:rPr>
                <w:sz w:val="24"/>
              </w:rPr>
              <w:t>项目名称</w:t>
            </w:r>
          </w:p>
        </w:tc>
        <w:tc>
          <w:tcPr>
            <w:tcW w:w="7760" w:type="dxa"/>
            <w:gridSpan w:val="8"/>
            <w:vAlign w:val="center"/>
          </w:tcPr>
          <w:p>
            <w:pPr>
              <w:snapToGrid w:val="0"/>
              <w:jc w:val="center"/>
              <w:rPr>
                <w:sz w:val="24"/>
              </w:rPr>
            </w:pPr>
            <w:r>
              <w:rPr>
                <w:rFonts w:hint="eastAsia"/>
                <w:sz w:val="24"/>
              </w:rPr>
              <w:t>汶上县东老塘矿区建筑用花岗岩矿开采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40" w:hRule="atLeast"/>
          <w:jc w:val="center"/>
        </w:trPr>
        <w:tc>
          <w:tcPr>
            <w:tcW w:w="1526" w:type="dxa"/>
            <w:vAlign w:val="center"/>
          </w:tcPr>
          <w:p>
            <w:pPr>
              <w:spacing w:line="280" w:lineRule="exact"/>
              <w:jc w:val="center"/>
              <w:rPr>
                <w:sz w:val="24"/>
              </w:rPr>
            </w:pPr>
            <w:r>
              <w:rPr>
                <w:sz w:val="24"/>
              </w:rPr>
              <w:t>建设单位</w:t>
            </w:r>
          </w:p>
        </w:tc>
        <w:tc>
          <w:tcPr>
            <w:tcW w:w="7760" w:type="dxa"/>
            <w:gridSpan w:val="8"/>
            <w:vAlign w:val="center"/>
          </w:tcPr>
          <w:p>
            <w:pPr>
              <w:snapToGrid w:val="0"/>
              <w:jc w:val="center"/>
              <w:rPr>
                <w:sz w:val="24"/>
              </w:rPr>
            </w:pPr>
            <w:r>
              <w:rPr>
                <w:rFonts w:hint="eastAsia"/>
                <w:sz w:val="24"/>
              </w:rPr>
              <w:t>汶上县闳兴矿业有限公司</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26" w:type="dxa"/>
            <w:vAlign w:val="center"/>
          </w:tcPr>
          <w:p>
            <w:pPr>
              <w:spacing w:line="280" w:lineRule="exact"/>
              <w:jc w:val="center"/>
              <w:rPr>
                <w:sz w:val="24"/>
              </w:rPr>
            </w:pPr>
            <w:r>
              <w:rPr>
                <w:sz w:val="24"/>
              </w:rPr>
              <w:t>法人代表</w:t>
            </w:r>
          </w:p>
        </w:tc>
        <w:tc>
          <w:tcPr>
            <w:tcW w:w="3410" w:type="dxa"/>
            <w:gridSpan w:val="3"/>
            <w:vAlign w:val="center"/>
          </w:tcPr>
          <w:p>
            <w:pPr>
              <w:spacing w:line="280" w:lineRule="exact"/>
              <w:jc w:val="center"/>
              <w:rPr>
                <w:bCs/>
                <w:sz w:val="24"/>
              </w:rPr>
            </w:pPr>
            <w:r>
              <w:rPr>
                <w:rFonts w:hint="eastAsia"/>
                <w:sz w:val="24"/>
              </w:rPr>
              <w:t>陈东升</w:t>
            </w:r>
          </w:p>
        </w:tc>
        <w:tc>
          <w:tcPr>
            <w:tcW w:w="1787" w:type="dxa"/>
            <w:gridSpan w:val="2"/>
            <w:vAlign w:val="center"/>
          </w:tcPr>
          <w:p>
            <w:pPr>
              <w:spacing w:line="280" w:lineRule="exact"/>
              <w:jc w:val="center"/>
              <w:rPr>
                <w:bCs/>
                <w:sz w:val="24"/>
              </w:rPr>
            </w:pPr>
            <w:r>
              <w:rPr>
                <w:bCs/>
                <w:sz w:val="24"/>
              </w:rPr>
              <w:t>联系人</w:t>
            </w:r>
          </w:p>
        </w:tc>
        <w:tc>
          <w:tcPr>
            <w:tcW w:w="2563" w:type="dxa"/>
            <w:gridSpan w:val="3"/>
            <w:vAlign w:val="center"/>
          </w:tcPr>
          <w:p>
            <w:pPr>
              <w:spacing w:line="280" w:lineRule="exact"/>
              <w:jc w:val="center"/>
              <w:rPr>
                <w:bCs/>
                <w:sz w:val="24"/>
              </w:rPr>
            </w:pPr>
            <w:r>
              <w:rPr>
                <w:rFonts w:hint="eastAsia"/>
                <w:sz w:val="24"/>
              </w:rPr>
              <w:t>陈东升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26" w:type="dxa"/>
            <w:vAlign w:val="center"/>
          </w:tcPr>
          <w:p>
            <w:pPr>
              <w:spacing w:line="280" w:lineRule="exact"/>
              <w:jc w:val="center"/>
              <w:rPr>
                <w:sz w:val="24"/>
              </w:rPr>
            </w:pPr>
            <w:r>
              <w:rPr>
                <w:sz w:val="24"/>
              </w:rPr>
              <w:t>通讯地址</w:t>
            </w:r>
          </w:p>
        </w:tc>
        <w:tc>
          <w:tcPr>
            <w:tcW w:w="7760" w:type="dxa"/>
            <w:gridSpan w:val="8"/>
            <w:vAlign w:val="center"/>
          </w:tcPr>
          <w:p>
            <w:pPr>
              <w:snapToGrid w:val="0"/>
              <w:jc w:val="center"/>
              <w:rPr>
                <w:sz w:val="24"/>
              </w:rPr>
            </w:pPr>
            <w:r>
              <w:rPr>
                <w:sz w:val="24"/>
              </w:rPr>
              <w:t>汶上县白石</w:t>
            </w:r>
            <w:r>
              <w:rPr>
                <w:rFonts w:hint="eastAsia"/>
                <w:sz w:val="24"/>
              </w:rPr>
              <w:t>镇</w:t>
            </w:r>
            <w:r>
              <w:rPr>
                <w:sz w:val="24"/>
              </w:rPr>
              <w:t>小楼村</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88" w:hRule="atLeast"/>
          <w:jc w:val="center"/>
        </w:trPr>
        <w:tc>
          <w:tcPr>
            <w:tcW w:w="1526" w:type="dxa"/>
            <w:vAlign w:val="center"/>
          </w:tcPr>
          <w:p>
            <w:pPr>
              <w:spacing w:line="280" w:lineRule="exact"/>
              <w:jc w:val="center"/>
              <w:rPr>
                <w:sz w:val="24"/>
              </w:rPr>
            </w:pPr>
            <w:r>
              <w:rPr>
                <w:sz w:val="24"/>
              </w:rPr>
              <w:t>联系电话</w:t>
            </w:r>
          </w:p>
        </w:tc>
        <w:tc>
          <w:tcPr>
            <w:tcW w:w="2078" w:type="dxa"/>
            <w:gridSpan w:val="2"/>
            <w:vAlign w:val="center"/>
          </w:tcPr>
          <w:p>
            <w:pPr>
              <w:snapToGrid w:val="0"/>
              <w:jc w:val="center"/>
              <w:rPr>
                <w:sz w:val="24"/>
              </w:rPr>
            </w:pPr>
            <w:r>
              <w:rPr>
                <w:rFonts w:hint="eastAsia"/>
                <w:sz w:val="24"/>
              </w:rPr>
              <w:t>15166700022</w:t>
            </w:r>
          </w:p>
        </w:tc>
        <w:tc>
          <w:tcPr>
            <w:tcW w:w="1332" w:type="dxa"/>
            <w:vAlign w:val="center"/>
          </w:tcPr>
          <w:p>
            <w:pPr>
              <w:snapToGrid w:val="0"/>
              <w:jc w:val="center"/>
              <w:rPr>
                <w:sz w:val="24"/>
              </w:rPr>
            </w:pPr>
            <w:r>
              <w:rPr>
                <w:sz w:val="24"/>
              </w:rPr>
              <w:t>传真</w:t>
            </w:r>
          </w:p>
        </w:tc>
        <w:tc>
          <w:tcPr>
            <w:tcW w:w="1787" w:type="dxa"/>
            <w:gridSpan w:val="2"/>
            <w:vAlign w:val="center"/>
          </w:tcPr>
          <w:p>
            <w:pPr>
              <w:snapToGrid w:val="0"/>
              <w:jc w:val="center"/>
              <w:rPr>
                <w:sz w:val="24"/>
              </w:rPr>
            </w:pPr>
            <w:r>
              <w:rPr>
                <w:sz w:val="24"/>
              </w:rPr>
              <w:t>--</w:t>
            </w:r>
          </w:p>
        </w:tc>
        <w:tc>
          <w:tcPr>
            <w:tcW w:w="1185" w:type="dxa"/>
            <w:vAlign w:val="center"/>
          </w:tcPr>
          <w:p>
            <w:pPr>
              <w:snapToGrid w:val="0"/>
              <w:jc w:val="center"/>
              <w:rPr>
                <w:sz w:val="24"/>
              </w:rPr>
            </w:pPr>
            <w:r>
              <w:rPr>
                <w:sz w:val="24"/>
              </w:rPr>
              <w:t>邮政编码</w:t>
            </w:r>
          </w:p>
        </w:tc>
        <w:tc>
          <w:tcPr>
            <w:tcW w:w="1378" w:type="dxa"/>
            <w:gridSpan w:val="2"/>
            <w:vAlign w:val="center"/>
          </w:tcPr>
          <w:p>
            <w:pPr>
              <w:snapToGrid w:val="0"/>
              <w:jc w:val="center"/>
              <w:rPr>
                <w:sz w:val="24"/>
              </w:rPr>
            </w:pPr>
            <w:r>
              <w:rPr>
                <w:sz w:val="24"/>
              </w:rPr>
              <w:t>272500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26" w:type="dxa"/>
            <w:vAlign w:val="center"/>
          </w:tcPr>
          <w:p>
            <w:pPr>
              <w:spacing w:line="280" w:lineRule="exact"/>
              <w:jc w:val="center"/>
              <w:rPr>
                <w:sz w:val="24"/>
              </w:rPr>
            </w:pPr>
            <w:r>
              <w:rPr>
                <w:sz w:val="24"/>
              </w:rPr>
              <w:t>建设地点</w:t>
            </w:r>
          </w:p>
        </w:tc>
        <w:tc>
          <w:tcPr>
            <w:tcW w:w="7760" w:type="dxa"/>
            <w:gridSpan w:val="8"/>
            <w:vAlign w:val="center"/>
          </w:tcPr>
          <w:p>
            <w:pPr>
              <w:snapToGrid w:val="0"/>
              <w:jc w:val="center"/>
              <w:rPr>
                <w:sz w:val="24"/>
              </w:rPr>
            </w:pPr>
            <w:r>
              <w:rPr>
                <w:sz w:val="24"/>
              </w:rPr>
              <w:t>汶上县城东北约</w:t>
            </w:r>
            <w:r>
              <w:rPr>
                <w:rFonts w:hint="eastAsia"/>
                <w:sz w:val="24"/>
              </w:rPr>
              <w:t>14</w:t>
            </w:r>
            <w:r>
              <w:rPr>
                <w:sz w:val="24"/>
              </w:rPr>
              <w:t>km，白石镇</w:t>
            </w:r>
            <w:r>
              <w:rPr>
                <w:rFonts w:hint="eastAsia"/>
                <w:sz w:val="24"/>
              </w:rPr>
              <w:t>东</w:t>
            </w:r>
            <w:r>
              <w:rPr>
                <w:sz w:val="24"/>
              </w:rPr>
              <w:t>南约2km</w:t>
            </w:r>
            <w:r>
              <w:rPr>
                <w:rFonts w:hint="eastAsia"/>
                <w:sz w:val="24"/>
              </w:rPr>
              <w:t>，小楼村东</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26" w:type="dxa"/>
            <w:vAlign w:val="center"/>
          </w:tcPr>
          <w:p>
            <w:pPr>
              <w:spacing w:line="280" w:lineRule="exact"/>
              <w:jc w:val="center"/>
              <w:rPr>
                <w:sz w:val="24"/>
              </w:rPr>
            </w:pPr>
            <w:r>
              <w:rPr>
                <w:sz w:val="24"/>
              </w:rPr>
              <w:t>立项审批</w:t>
            </w:r>
          </w:p>
          <w:p>
            <w:pPr>
              <w:spacing w:line="280" w:lineRule="exact"/>
              <w:jc w:val="center"/>
              <w:rPr>
                <w:sz w:val="24"/>
              </w:rPr>
            </w:pPr>
            <w:r>
              <w:rPr>
                <w:sz w:val="24"/>
              </w:rPr>
              <w:t>部门</w:t>
            </w:r>
          </w:p>
        </w:tc>
        <w:tc>
          <w:tcPr>
            <w:tcW w:w="3410" w:type="dxa"/>
            <w:gridSpan w:val="3"/>
            <w:vAlign w:val="center"/>
          </w:tcPr>
          <w:p>
            <w:pPr>
              <w:spacing w:line="280" w:lineRule="exact"/>
              <w:jc w:val="center"/>
              <w:rPr>
                <w:bCs/>
                <w:sz w:val="24"/>
              </w:rPr>
            </w:pPr>
            <w:r>
              <w:rPr>
                <w:rFonts w:hint="eastAsia"/>
                <w:bCs/>
                <w:sz w:val="24"/>
              </w:rPr>
              <w:t>汶上县发展改革局</w:t>
            </w:r>
          </w:p>
        </w:tc>
        <w:tc>
          <w:tcPr>
            <w:tcW w:w="1409" w:type="dxa"/>
            <w:vAlign w:val="center"/>
          </w:tcPr>
          <w:p>
            <w:pPr>
              <w:spacing w:line="280" w:lineRule="exact"/>
              <w:jc w:val="center"/>
              <w:rPr>
                <w:bCs/>
                <w:sz w:val="24"/>
              </w:rPr>
            </w:pPr>
            <w:r>
              <w:rPr>
                <w:bCs/>
                <w:sz w:val="24"/>
              </w:rPr>
              <w:t>批准文号</w:t>
            </w:r>
          </w:p>
        </w:tc>
        <w:tc>
          <w:tcPr>
            <w:tcW w:w="2941" w:type="dxa"/>
            <w:gridSpan w:val="4"/>
            <w:vAlign w:val="center"/>
          </w:tcPr>
          <w:p>
            <w:pPr>
              <w:spacing w:line="280" w:lineRule="exact"/>
              <w:jc w:val="center"/>
              <w:rPr>
                <w:bCs/>
                <w:sz w:val="24"/>
              </w:rPr>
            </w:pPr>
            <w:r>
              <w:rPr>
                <w:rFonts w:hint="eastAsia"/>
                <w:bCs/>
                <w:sz w:val="24"/>
              </w:rPr>
              <w:t>2019-370830-12-03-006327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26" w:type="dxa"/>
            <w:vAlign w:val="center"/>
          </w:tcPr>
          <w:p>
            <w:pPr>
              <w:spacing w:line="280" w:lineRule="exact"/>
              <w:jc w:val="center"/>
              <w:rPr>
                <w:sz w:val="24"/>
              </w:rPr>
            </w:pPr>
            <w:r>
              <w:rPr>
                <w:sz w:val="24"/>
              </w:rPr>
              <w:t>建设性质</w:t>
            </w:r>
          </w:p>
        </w:tc>
        <w:tc>
          <w:tcPr>
            <w:tcW w:w="3410" w:type="dxa"/>
            <w:gridSpan w:val="3"/>
            <w:vAlign w:val="center"/>
          </w:tcPr>
          <w:p>
            <w:pPr>
              <w:spacing w:line="280" w:lineRule="exact"/>
              <w:jc w:val="center"/>
              <w:rPr>
                <w:bCs/>
                <w:sz w:val="24"/>
              </w:rPr>
            </w:pPr>
            <w:r>
              <w:rPr>
                <w:sz w:val="24"/>
              </w:rPr>
              <w:t>新建</w:t>
            </w:r>
            <w:r>
              <w:t>□</w:t>
            </w:r>
            <w:r>
              <w:rPr>
                <w:sz w:val="24"/>
              </w:rPr>
              <w:t xml:space="preserve">   改扩建</w:t>
            </w:r>
            <w:r>
              <w:rPr>
                <w:sz w:val="24"/>
                <w:bdr w:val="single" w:color="auto" w:sz="4" w:space="0"/>
              </w:rPr>
              <w:t>√</w:t>
            </w:r>
            <w:r>
              <w:rPr>
                <w:sz w:val="24"/>
              </w:rPr>
              <w:t xml:space="preserve"> 技改</w:t>
            </w:r>
            <w:r>
              <w:t>□</w:t>
            </w:r>
          </w:p>
        </w:tc>
        <w:tc>
          <w:tcPr>
            <w:tcW w:w="1409" w:type="dxa"/>
            <w:vAlign w:val="center"/>
          </w:tcPr>
          <w:p>
            <w:pPr>
              <w:spacing w:line="280" w:lineRule="exact"/>
              <w:jc w:val="center"/>
              <w:rPr>
                <w:bCs/>
                <w:sz w:val="24"/>
              </w:rPr>
            </w:pPr>
            <w:r>
              <w:rPr>
                <w:bCs/>
                <w:sz w:val="24"/>
              </w:rPr>
              <w:t>行业类别及代码</w:t>
            </w:r>
          </w:p>
        </w:tc>
        <w:tc>
          <w:tcPr>
            <w:tcW w:w="2941" w:type="dxa"/>
            <w:gridSpan w:val="4"/>
            <w:vAlign w:val="center"/>
          </w:tcPr>
          <w:p>
            <w:pPr>
              <w:widowControl/>
              <w:jc w:val="center"/>
              <w:textAlignment w:val="bottom"/>
              <w:rPr>
                <w:bCs/>
                <w:kern w:val="0"/>
                <w:sz w:val="24"/>
              </w:rPr>
            </w:pPr>
            <w:r>
              <w:rPr>
                <w:sz w:val="24"/>
              </w:rPr>
              <w:t>B1012建筑装饰用石开采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26" w:type="dxa"/>
            <w:vAlign w:val="center"/>
          </w:tcPr>
          <w:p>
            <w:pPr>
              <w:spacing w:line="280" w:lineRule="exact"/>
              <w:jc w:val="center"/>
              <w:rPr>
                <w:sz w:val="24"/>
              </w:rPr>
            </w:pPr>
            <w:r>
              <w:rPr>
                <w:sz w:val="24"/>
              </w:rPr>
              <w:t>占地面积</w:t>
            </w:r>
          </w:p>
          <w:p>
            <w:pPr>
              <w:spacing w:line="280" w:lineRule="exact"/>
              <w:jc w:val="center"/>
              <w:rPr>
                <w:sz w:val="24"/>
              </w:rPr>
            </w:pPr>
            <w:r>
              <w:rPr>
                <w:sz w:val="24"/>
              </w:rPr>
              <w:t>（平方米）</w:t>
            </w:r>
          </w:p>
        </w:tc>
        <w:tc>
          <w:tcPr>
            <w:tcW w:w="3410" w:type="dxa"/>
            <w:gridSpan w:val="3"/>
            <w:vAlign w:val="center"/>
          </w:tcPr>
          <w:p>
            <w:pPr>
              <w:spacing w:line="280" w:lineRule="exact"/>
              <w:jc w:val="center"/>
              <w:rPr>
                <w:bCs/>
                <w:sz w:val="24"/>
              </w:rPr>
            </w:pPr>
            <w:r>
              <w:rPr>
                <w:rFonts w:hint="eastAsia"/>
                <w:sz w:val="24"/>
              </w:rPr>
              <w:t>1103000</w:t>
            </w:r>
          </w:p>
        </w:tc>
        <w:tc>
          <w:tcPr>
            <w:tcW w:w="1409" w:type="dxa"/>
            <w:vAlign w:val="center"/>
          </w:tcPr>
          <w:p>
            <w:pPr>
              <w:spacing w:line="280" w:lineRule="exact"/>
              <w:jc w:val="center"/>
              <w:rPr>
                <w:bCs/>
                <w:sz w:val="24"/>
              </w:rPr>
            </w:pPr>
            <w:r>
              <w:rPr>
                <w:bCs/>
                <w:sz w:val="24"/>
              </w:rPr>
              <w:t>绿化面积</w:t>
            </w:r>
          </w:p>
          <w:p>
            <w:pPr>
              <w:spacing w:line="280" w:lineRule="exact"/>
              <w:jc w:val="center"/>
              <w:rPr>
                <w:bCs/>
                <w:sz w:val="24"/>
              </w:rPr>
            </w:pPr>
            <w:r>
              <w:rPr>
                <w:bCs/>
                <w:sz w:val="24"/>
              </w:rPr>
              <w:t>（平方米）</w:t>
            </w:r>
          </w:p>
        </w:tc>
        <w:tc>
          <w:tcPr>
            <w:tcW w:w="2941" w:type="dxa"/>
            <w:gridSpan w:val="4"/>
            <w:vAlign w:val="center"/>
          </w:tcPr>
          <w:p>
            <w:pPr>
              <w:spacing w:line="280" w:lineRule="exact"/>
              <w:jc w:val="center"/>
              <w:rPr>
                <w:bCs/>
                <w:sz w:val="24"/>
              </w:rPr>
            </w:pPr>
            <w:r>
              <w:rPr>
                <w:sz w:val="24"/>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526" w:type="dxa"/>
            <w:vAlign w:val="center"/>
          </w:tcPr>
          <w:p>
            <w:pPr>
              <w:spacing w:line="280" w:lineRule="exact"/>
              <w:jc w:val="center"/>
              <w:rPr>
                <w:sz w:val="24"/>
              </w:rPr>
            </w:pPr>
            <w:r>
              <w:rPr>
                <w:sz w:val="24"/>
              </w:rPr>
              <w:t>总投资</w:t>
            </w:r>
          </w:p>
          <w:p>
            <w:pPr>
              <w:spacing w:line="280" w:lineRule="exact"/>
              <w:jc w:val="center"/>
              <w:rPr>
                <w:sz w:val="24"/>
              </w:rPr>
            </w:pPr>
            <w:r>
              <w:rPr>
                <w:sz w:val="24"/>
              </w:rPr>
              <w:t>（万元）</w:t>
            </w:r>
          </w:p>
        </w:tc>
        <w:tc>
          <w:tcPr>
            <w:tcW w:w="1710" w:type="dxa"/>
            <w:vAlign w:val="center"/>
          </w:tcPr>
          <w:p>
            <w:pPr>
              <w:spacing w:line="280" w:lineRule="exact"/>
              <w:jc w:val="center"/>
              <w:rPr>
                <w:bCs/>
                <w:sz w:val="24"/>
              </w:rPr>
            </w:pPr>
            <w:r>
              <w:rPr>
                <w:rFonts w:hint="eastAsia"/>
                <w:sz w:val="24"/>
              </w:rPr>
              <w:t>4600</w:t>
            </w:r>
          </w:p>
        </w:tc>
        <w:tc>
          <w:tcPr>
            <w:tcW w:w="1700" w:type="dxa"/>
            <w:gridSpan w:val="2"/>
            <w:vAlign w:val="center"/>
          </w:tcPr>
          <w:p>
            <w:pPr>
              <w:spacing w:line="280" w:lineRule="exact"/>
              <w:rPr>
                <w:bCs/>
                <w:sz w:val="24"/>
              </w:rPr>
            </w:pPr>
            <w:r>
              <w:rPr>
                <w:bCs/>
                <w:sz w:val="24"/>
              </w:rPr>
              <w:t>其中：环保</w:t>
            </w:r>
          </w:p>
          <w:p>
            <w:pPr>
              <w:spacing w:line="280" w:lineRule="exact"/>
              <w:rPr>
                <w:bCs/>
                <w:sz w:val="24"/>
              </w:rPr>
            </w:pPr>
            <w:r>
              <w:rPr>
                <w:bCs/>
                <w:sz w:val="24"/>
              </w:rPr>
              <w:t>投资（万元）</w:t>
            </w:r>
          </w:p>
        </w:tc>
        <w:tc>
          <w:tcPr>
            <w:tcW w:w="1409" w:type="dxa"/>
            <w:vAlign w:val="center"/>
          </w:tcPr>
          <w:p>
            <w:pPr>
              <w:spacing w:line="280" w:lineRule="exact"/>
              <w:jc w:val="center"/>
              <w:rPr>
                <w:bCs/>
                <w:sz w:val="24"/>
              </w:rPr>
            </w:pPr>
            <w:r>
              <w:rPr>
                <w:rFonts w:hint="eastAsia"/>
                <w:sz w:val="24"/>
              </w:rPr>
              <w:t>138</w:t>
            </w:r>
          </w:p>
        </w:tc>
        <w:tc>
          <w:tcPr>
            <w:tcW w:w="1897" w:type="dxa"/>
            <w:gridSpan w:val="3"/>
            <w:vAlign w:val="center"/>
          </w:tcPr>
          <w:p>
            <w:pPr>
              <w:spacing w:line="280" w:lineRule="exact"/>
              <w:jc w:val="center"/>
              <w:rPr>
                <w:bCs/>
                <w:sz w:val="24"/>
              </w:rPr>
            </w:pPr>
            <w:r>
              <w:rPr>
                <w:bCs/>
                <w:sz w:val="24"/>
              </w:rPr>
              <w:t>环保投资占总投资比例</w:t>
            </w:r>
          </w:p>
        </w:tc>
        <w:tc>
          <w:tcPr>
            <w:tcW w:w="1044" w:type="dxa"/>
            <w:vAlign w:val="center"/>
          </w:tcPr>
          <w:p>
            <w:pPr>
              <w:spacing w:line="280" w:lineRule="exact"/>
              <w:jc w:val="center"/>
              <w:rPr>
                <w:bCs/>
                <w:sz w:val="24"/>
              </w:rPr>
            </w:pPr>
            <w:r>
              <w:rPr>
                <w:sz w:val="24"/>
              </w:rPr>
              <w:t>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 w:hRule="atLeast"/>
          <w:jc w:val="center"/>
        </w:trPr>
        <w:tc>
          <w:tcPr>
            <w:tcW w:w="1526" w:type="dxa"/>
            <w:vAlign w:val="center"/>
          </w:tcPr>
          <w:p>
            <w:pPr>
              <w:spacing w:line="280" w:lineRule="exact"/>
              <w:jc w:val="center"/>
              <w:rPr>
                <w:sz w:val="24"/>
              </w:rPr>
            </w:pPr>
            <w:r>
              <w:rPr>
                <w:sz w:val="24"/>
              </w:rPr>
              <w:t>评价经费</w:t>
            </w:r>
          </w:p>
          <w:p>
            <w:pPr>
              <w:spacing w:line="280" w:lineRule="exact"/>
              <w:jc w:val="center"/>
              <w:rPr>
                <w:sz w:val="24"/>
              </w:rPr>
            </w:pPr>
            <w:r>
              <w:rPr>
                <w:sz w:val="24"/>
              </w:rPr>
              <w:t>（万元）</w:t>
            </w:r>
          </w:p>
        </w:tc>
        <w:tc>
          <w:tcPr>
            <w:tcW w:w="1710" w:type="dxa"/>
            <w:vAlign w:val="center"/>
          </w:tcPr>
          <w:p>
            <w:pPr>
              <w:spacing w:line="280" w:lineRule="exact"/>
              <w:jc w:val="center"/>
              <w:rPr>
                <w:bCs/>
                <w:sz w:val="24"/>
              </w:rPr>
            </w:pPr>
            <w:r>
              <w:rPr>
                <w:bCs/>
                <w:sz w:val="24"/>
                <w:szCs w:val="32"/>
              </w:rPr>
              <w:t>--</w:t>
            </w:r>
          </w:p>
        </w:tc>
        <w:tc>
          <w:tcPr>
            <w:tcW w:w="1700" w:type="dxa"/>
            <w:gridSpan w:val="2"/>
            <w:vAlign w:val="center"/>
          </w:tcPr>
          <w:p>
            <w:pPr>
              <w:spacing w:line="280" w:lineRule="exact"/>
              <w:jc w:val="center"/>
              <w:rPr>
                <w:bCs/>
                <w:sz w:val="24"/>
              </w:rPr>
            </w:pPr>
            <w:r>
              <w:rPr>
                <w:bCs/>
                <w:sz w:val="24"/>
              </w:rPr>
              <w:t>预计投产日期</w:t>
            </w:r>
          </w:p>
        </w:tc>
        <w:tc>
          <w:tcPr>
            <w:tcW w:w="4350" w:type="dxa"/>
            <w:gridSpan w:val="5"/>
            <w:vAlign w:val="center"/>
          </w:tcPr>
          <w:p>
            <w:pPr>
              <w:spacing w:line="280" w:lineRule="exact"/>
              <w:jc w:val="center"/>
              <w:rPr>
                <w:bCs/>
                <w:sz w:val="24"/>
              </w:rPr>
            </w:pPr>
            <w:r>
              <w:rPr>
                <w:sz w:val="24"/>
              </w:rPr>
              <w:t>201</w:t>
            </w:r>
            <w:r>
              <w:rPr>
                <w:rFonts w:hint="eastAsia"/>
                <w:sz w:val="24"/>
              </w:rPr>
              <w:t>9</w:t>
            </w:r>
            <w:r>
              <w:rPr>
                <w:sz w:val="24"/>
              </w:rPr>
              <w:t>年</w:t>
            </w:r>
            <w:r>
              <w:rPr>
                <w:rFonts w:hint="eastAsia"/>
                <w:sz w:val="24"/>
              </w:rPr>
              <w:t>4</w:t>
            </w:r>
            <w:r>
              <w:rPr>
                <w:sz w:val="24"/>
              </w:rPr>
              <w:t>月</w:t>
            </w:r>
          </w:p>
        </w:tc>
      </w:tr>
    </w:tbl>
    <w:tbl>
      <w:tblPr>
        <w:tblStyle w:val="16"/>
        <w:tblW w:w="9285" w:type="dxa"/>
        <w:tblInd w:w="-3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85" w:type="dxa"/>
          </w:tcPr>
          <w:p>
            <w:pPr>
              <w:spacing w:line="360" w:lineRule="auto"/>
              <w:rPr>
                <w:b/>
                <w:sz w:val="24"/>
              </w:rPr>
            </w:pPr>
            <w:r>
              <w:rPr>
                <w:b/>
                <w:sz w:val="24"/>
              </w:rPr>
              <w:t>工程内容及规模：</w:t>
            </w:r>
          </w:p>
          <w:p>
            <w:pPr>
              <w:spacing w:line="360" w:lineRule="auto"/>
              <w:ind w:firstLine="481" w:firstLineChars="200"/>
              <w:rPr>
                <w:b/>
                <w:sz w:val="24"/>
              </w:rPr>
            </w:pPr>
            <w:r>
              <w:rPr>
                <w:b/>
                <w:sz w:val="24"/>
              </w:rPr>
              <w:t>一、项目</w:t>
            </w:r>
            <w:r>
              <w:rPr>
                <w:rFonts w:hint="eastAsia"/>
                <w:b/>
                <w:sz w:val="24"/>
              </w:rPr>
              <w:t>建设</w:t>
            </w:r>
            <w:r>
              <w:rPr>
                <w:b/>
                <w:sz w:val="24"/>
              </w:rPr>
              <w:t>背景</w:t>
            </w:r>
          </w:p>
          <w:p>
            <w:pPr>
              <w:spacing w:line="360" w:lineRule="auto"/>
              <w:ind w:firstLine="480" w:firstLineChars="200"/>
              <w:rPr>
                <w:sz w:val="24"/>
              </w:rPr>
            </w:pPr>
            <w:r>
              <w:rPr>
                <w:sz w:val="24"/>
              </w:rPr>
              <w:t>为了合理开发利用汶上县白石镇境内花岗岩矿产资源，加快矿山转型升级和打造绿色矿山，推进生态文明和绿色矿山建设的发展。汶上县国土资源局全面贯彻落实《济宁市露天非煤矿山管理办法（试行）》（济政发[201</w:t>
            </w:r>
            <w:r>
              <w:rPr>
                <w:rFonts w:hint="eastAsia"/>
                <w:sz w:val="24"/>
              </w:rPr>
              <w:t>8</w:t>
            </w:r>
            <w:r>
              <w:rPr>
                <w:sz w:val="24"/>
              </w:rPr>
              <w:t xml:space="preserve">] </w:t>
            </w:r>
            <w:r>
              <w:rPr>
                <w:rFonts w:hint="eastAsia"/>
                <w:sz w:val="24"/>
              </w:rPr>
              <w:t>14</w:t>
            </w:r>
            <w:r>
              <w:rPr>
                <w:sz w:val="24"/>
              </w:rPr>
              <w:t>号）文及《汶上县白石镇建筑用花岗岩矿开发利用规划（2019～2028年）》要求，将原白石镇境内</w:t>
            </w:r>
            <w:r>
              <w:rPr>
                <w:rFonts w:hint="eastAsia"/>
                <w:sz w:val="24"/>
              </w:rPr>
              <w:t>汶上县兴盛矿业有限公司、汶上县闳兴矿业有限公司、汶上县鸿顺矿业有限公司（部分区域）采矿权</w:t>
            </w:r>
            <w:r>
              <w:rPr>
                <w:sz w:val="24"/>
              </w:rPr>
              <w:t>进行资源整合后并拟设</w:t>
            </w:r>
            <w:r>
              <w:rPr>
                <w:rFonts w:hint="eastAsia"/>
                <w:sz w:val="24"/>
              </w:rPr>
              <w:t>一个</w:t>
            </w:r>
            <w:r>
              <w:rPr>
                <w:sz w:val="24"/>
              </w:rPr>
              <w:t>采矿权，</w:t>
            </w:r>
            <w:r>
              <w:rPr>
                <w:rFonts w:hint="eastAsia"/>
                <w:sz w:val="24"/>
              </w:rPr>
              <w:t>整合后由汶上县闳兴矿业有限公司开发。</w:t>
            </w:r>
          </w:p>
          <w:p>
            <w:pPr>
              <w:spacing w:line="360" w:lineRule="auto"/>
              <w:ind w:firstLine="480" w:firstLineChars="200"/>
              <w:rPr>
                <w:sz w:val="24"/>
              </w:rPr>
            </w:pPr>
            <w:r>
              <w:rPr>
                <w:rFonts w:hint="eastAsia"/>
                <w:sz w:val="24"/>
              </w:rPr>
              <w:t>根据《汶上县国土资源局关于整合出让白石花岗岩资源采矿权的请示》（汶国土资呈[2018]103号），整合汶上县兴盛矿业有限公司、汶上县闳兴矿业有限公司、汶上县鸿顺矿业有限公司（部分区域）采矿权，同意整合为东老塘矿区建筑用花岗岩采矿权公开出让。</w:t>
            </w:r>
            <w:r>
              <w:rPr>
                <w:rFonts w:hint="eastAsia"/>
                <w:color w:val="0000FF"/>
                <w:sz w:val="24"/>
              </w:rPr>
              <w:t>根据济宁市国土资源局关于《山东省汶上县东老塘矿区建筑用花岗岩矿资源储量估算报告的审查意见》，该矿区范围内估算建筑用花岗岩资源储量998.45万m</w:t>
            </w:r>
            <w:r>
              <w:rPr>
                <w:rFonts w:hint="eastAsia"/>
                <w:color w:val="0000FF"/>
                <w:sz w:val="24"/>
                <w:vertAlign w:val="superscript"/>
              </w:rPr>
              <w:t>3</w:t>
            </w:r>
            <w:r>
              <w:rPr>
                <w:rFonts w:hint="eastAsia"/>
                <w:color w:val="0000FF"/>
                <w:sz w:val="24"/>
              </w:rPr>
              <w:t>，另有边坡压覆资源量191.59万m</w:t>
            </w:r>
            <w:r>
              <w:rPr>
                <w:rFonts w:hint="eastAsia"/>
                <w:color w:val="0000FF"/>
                <w:sz w:val="24"/>
                <w:vertAlign w:val="superscript"/>
              </w:rPr>
              <w:t>3</w:t>
            </w:r>
            <w:r>
              <w:rPr>
                <w:rFonts w:hint="eastAsia"/>
                <w:color w:val="0000FF"/>
                <w:sz w:val="24"/>
              </w:rPr>
              <w:t>。</w:t>
            </w:r>
            <w:r>
              <w:rPr>
                <w:rFonts w:hint="eastAsia"/>
                <w:sz w:val="24"/>
              </w:rPr>
              <w:t>根据汶上县人民政府文件《关于同意整合出让白石花岗岩资源采矿权的批复》（汶政土字[2018]40号），汶上县人民政府已同意整合出让白石花岗岩资源采矿权。</w:t>
            </w:r>
          </w:p>
          <w:p>
            <w:pPr>
              <w:spacing w:line="360" w:lineRule="auto"/>
              <w:ind w:firstLine="480" w:firstLineChars="200"/>
              <w:rPr>
                <w:sz w:val="24"/>
                <w:highlight w:val="yellow"/>
              </w:rPr>
            </w:pPr>
            <w:r>
              <w:rPr>
                <w:rFonts w:hint="eastAsia"/>
                <w:sz w:val="24"/>
              </w:rPr>
              <w:t>因此，汶上县闳兴矿业有限公司</w:t>
            </w:r>
            <w:r>
              <w:rPr>
                <w:sz w:val="24"/>
              </w:rPr>
              <w:t>投资</w:t>
            </w:r>
            <w:r>
              <w:rPr>
                <w:rFonts w:hint="eastAsia"/>
                <w:sz w:val="24"/>
              </w:rPr>
              <w:t>4600</w:t>
            </w:r>
            <w:r>
              <w:rPr>
                <w:sz w:val="24"/>
              </w:rPr>
              <w:t>万元在汶上县城东北约</w:t>
            </w:r>
            <w:r>
              <w:rPr>
                <w:rFonts w:hint="eastAsia"/>
                <w:sz w:val="24"/>
              </w:rPr>
              <w:t>14</w:t>
            </w:r>
            <w:r>
              <w:rPr>
                <w:sz w:val="24"/>
              </w:rPr>
              <w:t>km，白石镇</w:t>
            </w:r>
            <w:r>
              <w:rPr>
                <w:rFonts w:hint="eastAsia"/>
                <w:sz w:val="24"/>
              </w:rPr>
              <w:t>东</w:t>
            </w:r>
            <w:r>
              <w:rPr>
                <w:sz w:val="24"/>
              </w:rPr>
              <w:t>南约2km处建设</w:t>
            </w:r>
            <w:r>
              <w:rPr>
                <w:rFonts w:hint="eastAsia"/>
                <w:sz w:val="24"/>
              </w:rPr>
              <w:t>汶上县东老塘矿区建筑用花岗岩矿开采</w:t>
            </w:r>
            <w:r>
              <w:rPr>
                <w:sz w:val="24"/>
              </w:rPr>
              <w:t>项目。</w:t>
            </w:r>
            <w:r>
              <w:rPr>
                <w:rFonts w:hint="eastAsia" w:eastAsia="新宋体"/>
                <w:sz w:val="24"/>
              </w:rPr>
              <w:t>结合济发[2016]33号关于印发《济宁市生态环境保护三年攻坚计划（2018—2020年）》的通知和《济宁市直部门大气污染治理技术导则》--“济宁市露天非煤矿山开采行业大气污染治理技术导则”，本项目采取喷淋降尘、车辆清洗、道路清扫、围挡等措施，项目</w:t>
            </w:r>
            <w:r>
              <w:rPr>
                <w:rFonts w:eastAsia="新宋体"/>
                <w:sz w:val="24"/>
              </w:rPr>
              <w:t>技术成熟，</w:t>
            </w:r>
            <w:r>
              <w:rPr>
                <w:rFonts w:hint="eastAsia" w:eastAsia="新宋体"/>
                <w:sz w:val="24"/>
              </w:rPr>
              <w:t>经处理后对周围</w:t>
            </w:r>
            <w:r>
              <w:rPr>
                <w:rFonts w:eastAsia="新宋体"/>
                <w:sz w:val="24"/>
              </w:rPr>
              <w:t>空气</w:t>
            </w:r>
            <w:r>
              <w:rPr>
                <w:rFonts w:hint="eastAsia" w:eastAsia="新宋体"/>
                <w:sz w:val="24"/>
              </w:rPr>
              <w:t>和水等</w:t>
            </w:r>
            <w:r>
              <w:rPr>
                <w:rFonts w:eastAsia="新宋体"/>
                <w:sz w:val="24"/>
              </w:rPr>
              <w:t>环境质量影响不大</w:t>
            </w:r>
            <w:r>
              <w:rPr>
                <w:rFonts w:hint="eastAsia" w:eastAsia="新宋体"/>
                <w:sz w:val="24"/>
              </w:rPr>
              <w:t>，且</w:t>
            </w:r>
            <w:r>
              <w:rPr>
                <w:rFonts w:eastAsia="新宋体"/>
                <w:sz w:val="24"/>
              </w:rPr>
              <w:t>交通运输便利，能满足部分市场的需求，具有良好的经济效益与社会效益。</w:t>
            </w:r>
          </w:p>
          <w:p>
            <w:pPr>
              <w:spacing w:line="360" w:lineRule="auto"/>
              <w:ind w:firstLine="480" w:firstLineChars="200"/>
              <w:rPr>
                <w:rFonts w:hAnsi="宋体"/>
                <w:spacing w:val="-6"/>
                <w:sz w:val="24"/>
              </w:rPr>
            </w:pPr>
            <w:r>
              <w:rPr>
                <w:rFonts w:hAnsi="宋体"/>
                <w:sz w:val="24"/>
              </w:rPr>
              <w:t>根据《中华人民共和国环境保护法》、《中华人民共和国环境影响评价法》</w:t>
            </w:r>
            <w:r>
              <w:rPr>
                <w:rFonts w:hAnsi="宋体"/>
                <w:spacing w:val="-6"/>
                <w:sz w:val="24"/>
              </w:rPr>
              <w:t>、《建设项目环境保护管理条例》，</w:t>
            </w:r>
            <w:r>
              <w:rPr>
                <w:rFonts w:hAnsi="宋体"/>
                <w:sz w:val="24"/>
              </w:rPr>
              <w:t>该项目</w:t>
            </w:r>
            <w:r>
              <w:rPr>
                <w:rFonts w:hAnsi="宋体"/>
                <w:spacing w:val="-6"/>
                <w:sz w:val="24"/>
              </w:rPr>
              <w:t>需要办理环境影响评价手续</w:t>
            </w:r>
            <w:r>
              <w:rPr>
                <w:rFonts w:hAnsi="宋体"/>
                <w:sz w:val="24"/>
              </w:rPr>
              <w:t>。</w:t>
            </w:r>
            <w:r>
              <w:rPr>
                <w:rFonts w:hint="eastAsia" w:hAnsi="宋体"/>
                <w:sz w:val="24"/>
              </w:rPr>
              <w:t>根据《建设项目环境影响评价分类管理名录》（2017），本项目属于“四十五、非金属矿采选业 137 土砂石、石材开采加工”，未涉及环境敏感区，按照要求应编制环境影响评价报告表。</w:t>
            </w:r>
            <w:r>
              <w:rPr>
                <w:rFonts w:hAnsi="宋体"/>
                <w:spacing w:val="-6"/>
                <w:sz w:val="24"/>
              </w:rPr>
              <w:t>项目业主委托我单位对该项目进行环境影响评价，我单位接受委托后，委派工程技术人员进行现场调查，</w:t>
            </w:r>
            <w:r>
              <w:rPr>
                <w:rFonts w:hAnsi="宋体"/>
                <w:sz w:val="24"/>
              </w:rPr>
              <w:t>详细了解与收集了该项目的有关资料，按照国家有关环评技术规范要求，结合该项目的特点，</w:t>
            </w:r>
            <w:r>
              <w:rPr>
                <w:rFonts w:hAnsi="宋体"/>
                <w:spacing w:val="-6"/>
                <w:sz w:val="24"/>
              </w:rPr>
              <w:t>编制、完成</w:t>
            </w:r>
            <w:r>
              <w:rPr>
                <w:rFonts w:hint="eastAsia" w:hAnsi="宋体"/>
                <w:spacing w:val="-6"/>
                <w:sz w:val="24"/>
              </w:rPr>
              <w:t>了</w:t>
            </w:r>
            <w:r>
              <w:rPr>
                <w:rFonts w:hAnsi="宋体"/>
                <w:spacing w:val="-6"/>
                <w:sz w:val="24"/>
              </w:rPr>
              <w:t>该项目环境影响报告表。</w:t>
            </w:r>
          </w:p>
          <w:p>
            <w:pPr>
              <w:numPr>
                <w:ilvl w:val="0"/>
                <w:numId w:val="1"/>
              </w:numPr>
              <w:spacing w:line="360" w:lineRule="auto"/>
              <w:ind w:firstLine="481" w:firstLineChars="200"/>
              <w:rPr>
                <w:b/>
                <w:sz w:val="24"/>
              </w:rPr>
            </w:pPr>
            <w:r>
              <w:rPr>
                <w:rFonts w:hint="eastAsia"/>
                <w:b/>
                <w:sz w:val="24"/>
              </w:rPr>
              <w:t>项目厂址</w:t>
            </w:r>
          </w:p>
          <w:p>
            <w:pPr>
              <w:spacing w:beforeLines="50" w:line="360" w:lineRule="auto"/>
              <w:ind w:firstLine="480" w:firstLineChars="200"/>
              <w:rPr>
                <w:b/>
                <w:sz w:val="24"/>
              </w:rPr>
            </w:pPr>
            <w:r>
              <w:rPr>
                <w:sz w:val="24"/>
              </w:rPr>
              <w:t>矿区位于汶上县城东北约</w:t>
            </w:r>
            <w:r>
              <w:rPr>
                <w:rFonts w:hint="eastAsia"/>
                <w:sz w:val="24"/>
              </w:rPr>
              <w:t>14</w:t>
            </w:r>
            <w:r>
              <w:rPr>
                <w:sz w:val="24"/>
              </w:rPr>
              <w:t>km，白石镇</w:t>
            </w:r>
            <w:r>
              <w:rPr>
                <w:rFonts w:hint="eastAsia"/>
                <w:sz w:val="24"/>
              </w:rPr>
              <w:t>东</w:t>
            </w:r>
            <w:r>
              <w:rPr>
                <w:sz w:val="24"/>
              </w:rPr>
              <w:t>南约2km</w:t>
            </w:r>
            <w:r>
              <w:rPr>
                <w:rFonts w:hint="eastAsia"/>
                <w:sz w:val="24"/>
              </w:rPr>
              <w:t>，小楼村东（白石镇人民政府已出具小楼村搬迁证明，见附件）</w:t>
            </w:r>
            <w:r>
              <w:rPr>
                <w:sz w:val="24"/>
              </w:rPr>
              <w:t>，行政区划隶属汶上县白石镇管辖</w:t>
            </w:r>
            <w:r>
              <w:rPr>
                <w:rFonts w:hint="eastAsia"/>
                <w:sz w:val="24"/>
              </w:rPr>
              <w:t>，</w:t>
            </w:r>
            <w:r>
              <w:rPr>
                <w:sz w:val="24"/>
              </w:rPr>
              <w:t>矿区总占地面积</w:t>
            </w:r>
            <w:r>
              <w:rPr>
                <w:rFonts w:hint="eastAsia"/>
                <w:sz w:val="24"/>
              </w:rPr>
              <w:t>1103000</w:t>
            </w:r>
            <w:r>
              <w:rPr>
                <w:sz w:val="24"/>
              </w:rPr>
              <w:t>m</w:t>
            </w:r>
            <w:r>
              <w:rPr>
                <w:sz w:val="24"/>
                <w:vertAlign w:val="superscript"/>
              </w:rPr>
              <w:t>2</w:t>
            </w:r>
            <w:r>
              <w:rPr>
                <w:sz w:val="24"/>
              </w:rPr>
              <w:t>。矿区极值直角坐标（2000坐标系）为：X：3960279.10～3961451.98，Y：39468875.35～39470871.23；矿区范围划分</w:t>
            </w:r>
            <w:r>
              <w:rPr>
                <w:rFonts w:hint="eastAsia"/>
                <w:sz w:val="24"/>
              </w:rPr>
              <w:t>四</w:t>
            </w:r>
            <w:r>
              <w:rPr>
                <w:sz w:val="24"/>
              </w:rPr>
              <w:t>个区块</w:t>
            </w:r>
            <w:r>
              <w:rPr>
                <w:rFonts w:hint="eastAsia"/>
                <w:sz w:val="24"/>
              </w:rPr>
              <w:t>（分别作为</w:t>
            </w:r>
            <w:r>
              <w:rPr>
                <w:sz w:val="24"/>
              </w:rPr>
              <w:t>Ⅰ</w:t>
            </w:r>
            <w:r>
              <w:rPr>
                <w:rFonts w:hint="eastAsia"/>
                <w:sz w:val="24"/>
              </w:rPr>
              <w:t>~</w:t>
            </w:r>
            <w:r>
              <w:rPr>
                <w:sz w:val="24"/>
              </w:rPr>
              <w:fldChar w:fldCharType="begin"/>
            </w:r>
            <w:r>
              <w:rPr>
                <w:sz w:val="24"/>
              </w:rPr>
              <w:instrText xml:space="preserve"> = 4 \* ROMAN \* MERGEFORMAT </w:instrText>
            </w:r>
            <w:r>
              <w:rPr>
                <w:sz w:val="24"/>
              </w:rPr>
              <w:fldChar w:fldCharType="separate"/>
            </w:r>
            <w:r>
              <w:rPr>
                <w:sz w:val="24"/>
              </w:rPr>
              <w:t>IV</w:t>
            </w:r>
            <w:r>
              <w:rPr>
                <w:sz w:val="24"/>
              </w:rPr>
              <w:fldChar w:fldCharType="end"/>
            </w:r>
            <w:r>
              <w:rPr>
                <w:rFonts w:hint="eastAsia"/>
                <w:sz w:val="24"/>
              </w:rPr>
              <w:t>号个矿段）</w:t>
            </w:r>
            <w:r>
              <w:rPr>
                <w:sz w:val="24"/>
              </w:rPr>
              <w:t>，其中第一区块由</w:t>
            </w:r>
            <w:r>
              <w:rPr>
                <w:rFonts w:hint="eastAsia"/>
                <w:sz w:val="24"/>
              </w:rPr>
              <w:t>7</w:t>
            </w:r>
            <w:r>
              <w:rPr>
                <w:sz w:val="24"/>
              </w:rPr>
              <w:t>个拐点坐标圈定，面积为0.</w:t>
            </w:r>
            <w:r>
              <w:rPr>
                <w:rFonts w:hint="eastAsia"/>
                <w:sz w:val="24"/>
              </w:rPr>
              <w:t>0</w:t>
            </w:r>
            <w:r>
              <w:rPr>
                <w:sz w:val="24"/>
              </w:rPr>
              <w:t>5km</w:t>
            </w:r>
            <w:r>
              <w:rPr>
                <w:sz w:val="24"/>
                <w:vertAlign w:val="superscript"/>
              </w:rPr>
              <w:t>2</w:t>
            </w:r>
            <w:r>
              <w:rPr>
                <w:rFonts w:hint="eastAsia"/>
                <w:sz w:val="24"/>
              </w:rPr>
              <w:t>，</w:t>
            </w:r>
            <w:r>
              <w:rPr>
                <w:sz w:val="24"/>
              </w:rPr>
              <w:t>第二区块由</w:t>
            </w:r>
            <w:r>
              <w:rPr>
                <w:rFonts w:hint="eastAsia"/>
                <w:sz w:val="24"/>
              </w:rPr>
              <w:t>12</w:t>
            </w:r>
            <w:r>
              <w:rPr>
                <w:sz w:val="24"/>
              </w:rPr>
              <w:t>个拐点坐标圈定，面积为0.</w:t>
            </w:r>
            <w:r>
              <w:rPr>
                <w:rFonts w:hint="eastAsia"/>
                <w:sz w:val="24"/>
              </w:rPr>
              <w:t>405</w:t>
            </w:r>
            <w:r>
              <w:rPr>
                <w:sz w:val="24"/>
              </w:rPr>
              <w:t>km</w:t>
            </w:r>
            <w:r>
              <w:rPr>
                <w:sz w:val="24"/>
                <w:vertAlign w:val="superscript"/>
              </w:rPr>
              <w:t>2</w:t>
            </w:r>
            <w:r>
              <w:rPr>
                <w:rFonts w:hint="eastAsia"/>
                <w:sz w:val="24"/>
              </w:rPr>
              <w:t>，</w:t>
            </w:r>
            <w:r>
              <w:rPr>
                <w:sz w:val="24"/>
              </w:rPr>
              <w:t>第</w:t>
            </w:r>
            <w:r>
              <w:rPr>
                <w:rFonts w:hint="eastAsia"/>
                <w:sz w:val="24"/>
              </w:rPr>
              <w:t>三</w:t>
            </w:r>
            <w:r>
              <w:rPr>
                <w:sz w:val="24"/>
              </w:rPr>
              <w:t>区块由</w:t>
            </w:r>
            <w:r>
              <w:rPr>
                <w:rFonts w:hint="eastAsia"/>
                <w:sz w:val="24"/>
              </w:rPr>
              <w:t>14</w:t>
            </w:r>
            <w:r>
              <w:rPr>
                <w:sz w:val="24"/>
              </w:rPr>
              <w:t>个拐点坐标圈定，面积为0.</w:t>
            </w:r>
            <w:r>
              <w:rPr>
                <w:rFonts w:hint="eastAsia"/>
                <w:sz w:val="24"/>
              </w:rPr>
              <w:t>113</w:t>
            </w:r>
            <w:r>
              <w:rPr>
                <w:sz w:val="24"/>
              </w:rPr>
              <w:t>km</w:t>
            </w:r>
            <w:r>
              <w:rPr>
                <w:sz w:val="24"/>
                <w:vertAlign w:val="superscript"/>
              </w:rPr>
              <w:t>2</w:t>
            </w:r>
            <w:r>
              <w:rPr>
                <w:rFonts w:hint="eastAsia"/>
                <w:sz w:val="24"/>
              </w:rPr>
              <w:t>，</w:t>
            </w:r>
            <w:r>
              <w:rPr>
                <w:sz w:val="24"/>
              </w:rPr>
              <w:t>第</w:t>
            </w:r>
            <w:r>
              <w:rPr>
                <w:rFonts w:hint="eastAsia"/>
                <w:sz w:val="24"/>
              </w:rPr>
              <w:t>四</w:t>
            </w:r>
            <w:r>
              <w:rPr>
                <w:sz w:val="24"/>
              </w:rPr>
              <w:t>区块由</w:t>
            </w:r>
            <w:r>
              <w:rPr>
                <w:rFonts w:hint="eastAsia"/>
                <w:sz w:val="24"/>
              </w:rPr>
              <w:t>15</w:t>
            </w:r>
            <w:r>
              <w:rPr>
                <w:sz w:val="24"/>
              </w:rPr>
              <w:t>个拐点坐标圈定，面积为0.</w:t>
            </w:r>
            <w:r>
              <w:rPr>
                <w:rFonts w:hint="eastAsia"/>
                <w:sz w:val="24"/>
              </w:rPr>
              <w:t>213</w:t>
            </w:r>
            <w:r>
              <w:rPr>
                <w:sz w:val="24"/>
              </w:rPr>
              <w:t>km</w:t>
            </w:r>
            <w:r>
              <w:rPr>
                <w:sz w:val="24"/>
                <w:vertAlign w:val="superscript"/>
              </w:rPr>
              <w:t>2</w:t>
            </w:r>
            <w:r>
              <w:rPr>
                <w:sz w:val="24"/>
              </w:rPr>
              <w:t>。地理位置详见附图 1</w:t>
            </w:r>
            <w:r>
              <w:rPr>
                <w:rFonts w:hint="eastAsia"/>
                <w:sz w:val="24"/>
              </w:rPr>
              <w:t>。</w:t>
            </w:r>
          </w:p>
          <w:p>
            <w:pPr>
              <w:snapToGrid w:val="0"/>
              <w:spacing w:line="360" w:lineRule="auto"/>
              <w:ind w:firstLine="472" w:firstLineChars="197"/>
              <w:rPr>
                <w:sz w:val="24"/>
              </w:rPr>
            </w:pPr>
            <w:r>
              <w:rPr>
                <w:sz w:val="24"/>
              </w:rPr>
              <w:t>矿区西距G105国道约14.5km，济徐高速公路汶上西出入口处约23km，南距S333省道约4.5km，城乡公路四通八达，交通方便。矿区周围环境较为简单，距离村庄均较远，矿区南侧紧邻为水牛山文物保护区，北部约600m处为“村村通”水泥铺路，矿区外围为农田及林木</w:t>
            </w:r>
            <w:r>
              <w:rPr>
                <w:rFonts w:hint="eastAsia"/>
                <w:sz w:val="24"/>
              </w:rPr>
              <w:t>周边环境状况见附图2</w:t>
            </w:r>
            <w:r>
              <w:rPr>
                <w:sz w:val="24"/>
              </w:rPr>
              <w:t>。</w:t>
            </w:r>
          </w:p>
          <w:p>
            <w:pPr>
              <w:spacing w:line="360" w:lineRule="auto"/>
              <w:ind w:firstLine="472" w:firstLineChars="196"/>
              <w:rPr>
                <w:b/>
                <w:sz w:val="24"/>
              </w:rPr>
            </w:pPr>
            <w:r>
              <w:rPr>
                <w:b/>
                <w:sz w:val="24"/>
              </w:rPr>
              <w:t>三、总平面布置</w:t>
            </w:r>
            <w:r>
              <w:rPr>
                <w:rFonts w:hint="eastAsia"/>
                <w:b/>
                <w:sz w:val="24"/>
              </w:rPr>
              <w:t>及合理性分析</w:t>
            </w:r>
          </w:p>
          <w:p>
            <w:pPr>
              <w:suppressAutoHyphens/>
              <w:spacing w:line="360" w:lineRule="auto"/>
              <w:ind w:firstLine="480" w:firstLineChars="200"/>
              <w:rPr>
                <w:sz w:val="24"/>
              </w:rPr>
            </w:pPr>
            <w:r>
              <w:rPr>
                <w:sz w:val="24"/>
              </w:rPr>
              <w:t>设计矿山只进行开采运输作业，不需要选矿，所以不建选矿设施和尾矿设施</w:t>
            </w:r>
            <w:r>
              <w:rPr>
                <w:rFonts w:hint="eastAsia"/>
                <w:sz w:val="24"/>
              </w:rPr>
              <w:t>。</w:t>
            </w:r>
            <w:r>
              <w:rPr>
                <w:sz w:val="24"/>
              </w:rPr>
              <w:t>矿山采场附近只设置简单值班室、变电室、空压机房及高位水池等设施，</w:t>
            </w:r>
            <w:r>
              <w:rPr>
                <w:rFonts w:hint="eastAsia"/>
                <w:sz w:val="24"/>
              </w:rPr>
              <w:t>位于项目区东侧，</w:t>
            </w:r>
            <w:r>
              <w:rPr>
                <w:sz w:val="24"/>
              </w:rPr>
              <w:t>距离采场边界50m</w:t>
            </w:r>
            <w:r>
              <w:rPr>
                <w:rFonts w:hint="eastAsia"/>
                <w:sz w:val="24"/>
              </w:rPr>
              <w:t>，依托原有设施</w:t>
            </w:r>
            <w:r>
              <w:rPr>
                <w:sz w:val="24"/>
              </w:rPr>
              <w:t>；</w:t>
            </w:r>
            <w:r>
              <w:rPr>
                <w:rFonts w:hint="eastAsia"/>
                <w:sz w:val="24"/>
              </w:rPr>
              <w:t>选择平缓地带临时设置临时</w:t>
            </w:r>
            <w:r>
              <w:rPr>
                <w:sz w:val="24"/>
              </w:rPr>
              <w:t>堆放场</w:t>
            </w:r>
            <w:r>
              <w:rPr>
                <w:rFonts w:hint="eastAsia"/>
                <w:sz w:val="24"/>
              </w:rPr>
              <w:t>地。</w:t>
            </w:r>
            <w:r>
              <w:rPr>
                <w:sz w:val="24"/>
              </w:rPr>
              <w:t>具体情况见附图</w:t>
            </w:r>
            <w:r>
              <w:rPr>
                <w:rFonts w:hint="eastAsia"/>
                <w:sz w:val="24"/>
              </w:rPr>
              <w:t>3</w:t>
            </w:r>
            <w:r>
              <w:rPr>
                <w:sz w:val="24"/>
              </w:rPr>
              <w:t>。</w:t>
            </w:r>
          </w:p>
          <w:p>
            <w:pPr>
              <w:spacing w:line="360" w:lineRule="auto"/>
              <w:ind w:firstLine="480" w:firstLineChars="200"/>
              <w:rPr>
                <w:sz w:val="24"/>
              </w:rPr>
            </w:pPr>
            <w:r>
              <w:rPr>
                <w:sz w:val="24"/>
              </w:rPr>
              <w:t>1）值班室、变电室、空压机房及高位水池等设施建于</w:t>
            </w:r>
            <w:r>
              <w:rPr>
                <w:rFonts w:hint="eastAsia"/>
                <w:sz w:val="24"/>
              </w:rPr>
              <w:t>项目区东侧，靠近</w:t>
            </w:r>
            <w:r>
              <w:rPr>
                <w:sz w:val="24"/>
              </w:rPr>
              <w:t>“村村通”水泥铺路，生活、交通较方便，靠近运输公路，方便职工对外联系。</w:t>
            </w:r>
          </w:p>
          <w:p>
            <w:pPr>
              <w:spacing w:line="360" w:lineRule="auto"/>
              <w:ind w:firstLine="480" w:firstLineChars="200"/>
              <w:rPr>
                <w:sz w:val="24"/>
              </w:rPr>
            </w:pPr>
            <w:r>
              <w:rPr>
                <w:sz w:val="24"/>
              </w:rPr>
              <w:t>2）废石场选择在矿山</w:t>
            </w:r>
            <w:r>
              <w:rPr>
                <w:rFonts w:hint="eastAsia"/>
                <w:sz w:val="24"/>
              </w:rPr>
              <w:t>西部</w:t>
            </w:r>
            <w:r>
              <w:rPr>
                <w:sz w:val="24"/>
              </w:rPr>
              <w:t>山谷内，利用天然冲沟，距开采区运输距离较近；废石场上部汇水面积很小，加之地势较低，周边地形、地貌条件简单，堆存时高度小于10m，坡度小于45°，分层压实，防止废渣土滚动、滑移，因此产生渣石流的可能性小。</w:t>
            </w:r>
          </w:p>
          <w:p>
            <w:pPr>
              <w:spacing w:line="360" w:lineRule="auto"/>
              <w:ind w:firstLine="480" w:firstLineChars="200"/>
              <w:rPr>
                <w:sz w:val="24"/>
              </w:rPr>
            </w:pPr>
            <w:r>
              <w:rPr>
                <w:sz w:val="24"/>
              </w:rPr>
              <w:t>3）矿区</w:t>
            </w:r>
            <w:r>
              <w:rPr>
                <w:rFonts w:hint="eastAsia"/>
                <w:sz w:val="24"/>
              </w:rPr>
              <w:t>南</w:t>
            </w:r>
            <w:r>
              <w:rPr>
                <w:sz w:val="24"/>
              </w:rPr>
              <w:t>距S</w:t>
            </w:r>
            <w:r>
              <w:rPr>
                <w:rFonts w:hint="eastAsia"/>
                <w:sz w:val="24"/>
              </w:rPr>
              <w:t>333</w:t>
            </w:r>
            <w:r>
              <w:rPr>
                <w:sz w:val="24"/>
              </w:rPr>
              <w:t>省道约</w:t>
            </w:r>
            <w:r>
              <w:rPr>
                <w:rFonts w:hint="eastAsia"/>
                <w:sz w:val="24"/>
              </w:rPr>
              <w:t>4</w:t>
            </w:r>
            <w:r>
              <w:rPr>
                <w:sz w:val="24"/>
              </w:rPr>
              <w:t>.5km，矿区有简易公路与其相通，交通方便。</w:t>
            </w:r>
          </w:p>
          <w:p>
            <w:pPr>
              <w:spacing w:line="360" w:lineRule="auto"/>
              <w:ind w:firstLine="480" w:firstLineChars="200"/>
              <w:rPr>
                <w:sz w:val="24"/>
              </w:rPr>
            </w:pPr>
            <w:r>
              <w:rPr>
                <w:sz w:val="24"/>
              </w:rPr>
              <w:t>4）堆矿场出口处设置洗车台及三级沉淀池，收集处理洗车废水。</w:t>
            </w:r>
          </w:p>
          <w:p>
            <w:pPr>
              <w:spacing w:line="360" w:lineRule="auto"/>
              <w:ind w:firstLine="480" w:firstLineChars="200"/>
              <w:rPr>
                <w:sz w:val="24"/>
              </w:rPr>
            </w:pPr>
            <w:r>
              <w:rPr>
                <w:sz w:val="24"/>
              </w:rPr>
              <w:t>综上所述，从方便生产、安全管理、交通运输和环境保护等角度考虑，开采矿区选址比较合理，各工业场地的布设也可以满足相关需求</w:t>
            </w:r>
            <w:r>
              <w:rPr>
                <w:rFonts w:hint="eastAsia"/>
                <w:sz w:val="24"/>
              </w:rPr>
              <w:t>。</w:t>
            </w:r>
          </w:p>
          <w:p>
            <w:pPr>
              <w:spacing w:line="360" w:lineRule="auto"/>
              <w:ind w:firstLine="481" w:firstLineChars="200"/>
              <w:rPr>
                <w:b/>
                <w:sz w:val="24"/>
              </w:rPr>
            </w:pPr>
            <w:r>
              <w:rPr>
                <w:b/>
                <w:sz w:val="24"/>
              </w:rPr>
              <w:t>四、</w:t>
            </w:r>
            <w:r>
              <w:rPr>
                <w:rFonts w:hint="eastAsia"/>
                <w:b/>
                <w:sz w:val="24"/>
              </w:rPr>
              <w:t>项目生产规模及产品方案</w:t>
            </w:r>
          </w:p>
          <w:p>
            <w:pPr>
              <w:spacing w:line="360" w:lineRule="auto"/>
              <w:ind w:firstLine="456" w:firstLineChars="200"/>
              <w:rPr>
                <w:spacing w:val="-6"/>
                <w:sz w:val="24"/>
              </w:rPr>
            </w:pPr>
            <w:r>
              <w:rPr>
                <w:rFonts w:hint="eastAsia"/>
                <w:spacing w:val="-6"/>
                <w:sz w:val="24"/>
              </w:rPr>
              <w:t>本项目年产建筑用花岗岩100万 m</w:t>
            </w:r>
            <w:r>
              <w:rPr>
                <w:rFonts w:hint="eastAsia"/>
                <w:spacing w:val="-6"/>
                <w:sz w:val="24"/>
                <w:vertAlign w:val="superscript"/>
              </w:rPr>
              <w:t>3</w:t>
            </w:r>
            <w:r>
              <w:rPr>
                <w:rFonts w:hint="eastAsia"/>
                <w:spacing w:val="-6"/>
                <w:sz w:val="24"/>
              </w:rPr>
              <w:t>。产品方案详见表1-1。</w:t>
            </w:r>
          </w:p>
          <w:p>
            <w:pPr>
              <w:spacing w:line="360" w:lineRule="auto"/>
              <w:jc w:val="center"/>
              <w:rPr>
                <w:b/>
                <w:sz w:val="24"/>
              </w:rPr>
            </w:pPr>
            <w:r>
              <w:rPr>
                <w:b/>
                <w:sz w:val="24"/>
              </w:rPr>
              <w:t>表1-1  产品方案及规模</w:t>
            </w:r>
          </w:p>
          <w:tbl>
            <w:tblPr>
              <w:tblStyle w:val="15"/>
              <w:tblW w:w="7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341"/>
              <w:gridCol w:w="2477"/>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560" w:type="dxa"/>
                  <w:tcBorders>
                    <w:top w:val="single" w:color="auto" w:sz="12" w:space="0"/>
                    <w:left w:val="single" w:color="auto" w:sz="12" w:space="0"/>
                    <w:right w:val="single" w:color="auto" w:sz="2" w:space="0"/>
                  </w:tcBorders>
                  <w:noWrap/>
                  <w:vAlign w:val="center"/>
                </w:tcPr>
                <w:p>
                  <w:pPr>
                    <w:jc w:val="center"/>
                    <w:rPr>
                      <w:b/>
                      <w:szCs w:val="21"/>
                    </w:rPr>
                  </w:pPr>
                  <w:r>
                    <w:rPr>
                      <w:b/>
                      <w:szCs w:val="21"/>
                    </w:rPr>
                    <w:t>序号</w:t>
                  </w:r>
                </w:p>
              </w:tc>
              <w:tc>
                <w:tcPr>
                  <w:tcW w:w="2341" w:type="dxa"/>
                  <w:tcBorders>
                    <w:top w:val="single" w:color="auto" w:sz="12" w:space="0"/>
                    <w:left w:val="single" w:color="auto" w:sz="2" w:space="0"/>
                  </w:tcBorders>
                  <w:noWrap/>
                  <w:vAlign w:val="center"/>
                </w:tcPr>
                <w:p>
                  <w:pPr>
                    <w:jc w:val="center"/>
                    <w:rPr>
                      <w:b/>
                      <w:szCs w:val="21"/>
                    </w:rPr>
                  </w:pPr>
                  <w:r>
                    <w:rPr>
                      <w:b/>
                      <w:szCs w:val="21"/>
                    </w:rPr>
                    <w:t>产品名称</w:t>
                  </w:r>
                </w:p>
              </w:tc>
              <w:tc>
                <w:tcPr>
                  <w:tcW w:w="2477" w:type="dxa"/>
                  <w:tcBorders>
                    <w:top w:val="single" w:color="auto" w:sz="12" w:space="0"/>
                  </w:tcBorders>
                  <w:noWrap/>
                  <w:vAlign w:val="center"/>
                </w:tcPr>
                <w:p>
                  <w:pPr>
                    <w:jc w:val="center"/>
                    <w:rPr>
                      <w:b/>
                      <w:szCs w:val="21"/>
                    </w:rPr>
                  </w:pPr>
                  <w:r>
                    <w:rPr>
                      <w:rFonts w:hint="eastAsia"/>
                      <w:b/>
                      <w:szCs w:val="21"/>
                    </w:rPr>
                    <w:t>数量</w:t>
                  </w:r>
                </w:p>
              </w:tc>
              <w:tc>
                <w:tcPr>
                  <w:tcW w:w="1382" w:type="dxa"/>
                  <w:tcBorders>
                    <w:top w:val="single" w:color="auto" w:sz="12" w:space="0"/>
                    <w:right w:val="single" w:color="auto" w:sz="12" w:space="0"/>
                  </w:tcBorders>
                  <w:noWrap/>
                  <w:vAlign w:val="center"/>
                </w:tcPr>
                <w:p>
                  <w:pPr>
                    <w:jc w:val="center"/>
                    <w:rPr>
                      <w:b/>
                      <w:szCs w:val="21"/>
                    </w:rPr>
                  </w:pPr>
                  <w:r>
                    <w:rPr>
                      <w:rFonts w:hint="eastAsia"/>
                      <w:b/>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560" w:type="dxa"/>
                  <w:tcBorders>
                    <w:left w:val="single" w:color="auto" w:sz="12" w:space="0"/>
                    <w:bottom w:val="single" w:color="auto" w:sz="12" w:space="0"/>
                    <w:right w:val="single" w:color="auto" w:sz="2" w:space="0"/>
                  </w:tcBorders>
                  <w:noWrap/>
                  <w:vAlign w:val="center"/>
                </w:tcPr>
                <w:p>
                  <w:pPr>
                    <w:jc w:val="center"/>
                    <w:rPr>
                      <w:bCs/>
                      <w:szCs w:val="21"/>
                    </w:rPr>
                  </w:pPr>
                  <w:r>
                    <w:rPr>
                      <w:rFonts w:hint="eastAsia"/>
                      <w:bCs/>
                      <w:szCs w:val="21"/>
                    </w:rPr>
                    <w:t>1</w:t>
                  </w:r>
                </w:p>
              </w:tc>
              <w:tc>
                <w:tcPr>
                  <w:tcW w:w="2341" w:type="dxa"/>
                  <w:tcBorders>
                    <w:left w:val="single" w:color="auto" w:sz="2" w:space="0"/>
                    <w:bottom w:val="single" w:color="auto" w:sz="12" w:space="0"/>
                  </w:tcBorders>
                  <w:noWrap/>
                  <w:vAlign w:val="center"/>
                </w:tcPr>
                <w:p>
                  <w:pPr>
                    <w:spacing w:line="360" w:lineRule="auto"/>
                    <w:jc w:val="center"/>
                  </w:pPr>
                  <w:r>
                    <w:rPr>
                      <w:rFonts w:hint="eastAsia"/>
                    </w:rPr>
                    <w:t>建筑石料、石材</w:t>
                  </w:r>
                </w:p>
              </w:tc>
              <w:tc>
                <w:tcPr>
                  <w:tcW w:w="2477" w:type="dxa"/>
                  <w:tcBorders>
                    <w:bottom w:val="single" w:color="auto" w:sz="12" w:space="0"/>
                  </w:tcBorders>
                  <w:noWrap/>
                  <w:vAlign w:val="center"/>
                </w:tcPr>
                <w:p>
                  <w:pPr>
                    <w:jc w:val="center"/>
                    <w:rPr>
                      <w:szCs w:val="21"/>
                    </w:rPr>
                  </w:pPr>
                  <w:r>
                    <w:rPr>
                      <w:rFonts w:hint="eastAsia"/>
                      <w:szCs w:val="21"/>
                    </w:rPr>
                    <w:t>100</w:t>
                  </w:r>
                </w:p>
              </w:tc>
              <w:tc>
                <w:tcPr>
                  <w:tcW w:w="1382" w:type="dxa"/>
                  <w:tcBorders>
                    <w:bottom w:val="single" w:color="auto" w:sz="12" w:space="0"/>
                    <w:right w:val="single" w:color="auto" w:sz="12" w:space="0"/>
                  </w:tcBorders>
                  <w:noWrap/>
                  <w:vAlign w:val="center"/>
                </w:tcPr>
                <w:p>
                  <w:pPr>
                    <w:jc w:val="center"/>
                    <w:rPr>
                      <w:szCs w:val="21"/>
                    </w:rPr>
                  </w:pPr>
                  <w:r>
                    <w:rPr>
                      <w:rFonts w:hint="eastAsia"/>
                      <w:szCs w:val="21"/>
                    </w:rPr>
                    <w:t>万m</w:t>
                  </w:r>
                  <w:r>
                    <w:rPr>
                      <w:rFonts w:hint="eastAsia"/>
                      <w:szCs w:val="21"/>
                      <w:vertAlign w:val="superscript"/>
                    </w:rPr>
                    <w:t>3</w:t>
                  </w:r>
                  <w:r>
                    <w:rPr>
                      <w:rFonts w:hint="eastAsia"/>
                      <w:szCs w:val="21"/>
                    </w:rPr>
                    <w:t>/年</w:t>
                  </w:r>
                </w:p>
              </w:tc>
            </w:tr>
          </w:tbl>
          <w:p>
            <w:pPr>
              <w:spacing w:line="360" w:lineRule="auto"/>
              <w:ind w:firstLine="480" w:firstLineChars="200"/>
              <w:rPr>
                <w:b/>
                <w:sz w:val="24"/>
              </w:rPr>
            </w:pPr>
            <w:r>
              <w:rPr>
                <w:rFonts w:hint="eastAsia"/>
                <w:sz w:val="24"/>
              </w:rPr>
              <w:t>产品用途：</w:t>
            </w:r>
            <w:r>
              <w:rPr>
                <w:sz w:val="24"/>
              </w:rPr>
              <w:t>矿石</w:t>
            </w:r>
            <w:r>
              <w:rPr>
                <w:rFonts w:hint="eastAsia"/>
                <w:sz w:val="24"/>
              </w:rPr>
              <w:t>可</w:t>
            </w:r>
            <w:r>
              <w:rPr>
                <w:sz w:val="24"/>
              </w:rPr>
              <w:t>加工成为建筑石料及毛石、路牙石等。废石块做蘑菇石、台阶石、路牙石等建筑石料，也可以经破碎处理后做成建筑石子，用于建筑混凝土和公路、铁路建设</w:t>
            </w:r>
            <w:r>
              <w:rPr>
                <w:rFonts w:hint="eastAsia"/>
                <w:sz w:val="24"/>
              </w:rPr>
              <w:t>。</w:t>
            </w:r>
          </w:p>
          <w:p>
            <w:pPr>
              <w:spacing w:line="360" w:lineRule="auto"/>
              <w:ind w:firstLine="481" w:firstLineChars="200"/>
              <w:rPr>
                <w:b/>
                <w:sz w:val="24"/>
              </w:rPr>
            </w:pPr>
            <w:r>
              <w:rPr>
                <w:b/>
                <w:sz w:val="24"/>
              </w:rPr>
              <w:t>五、项目建设内容</w:t>
            </w:r>
          </w:p>
          <w:p>
            <w:pPr>
              <w:spacing w:line="360" w:lineRule="auto"/>
              <w:ind w:firstLine="480" w:firstLineChars="200"/>
              <w:rPr>
                <w:sz w:val="24"/>
              </w:rPr>
            </w:pPr>
            <w:r>
              <w:rPr>
                <w:sz w:val="24"/>
              </w:rPr>
              <w:t>1、工程组成</w:t>
            </w:r>
            <w:r>
              <w:rPr>
                <w:rFonts w:hint="eastAsia"/>
                <w:sz w:val="24"/>
              </w:rPr>
              <w:t>内容</w:t>
            </w:r>
            <w:r>
              <w:rPr>
                <w:sz w:val="24"/>
              </w:rPr>
              <w:t>见</w:t>
            </w:r>
            <w:r>
              <w:rPr>
                <w:rFonts w:hint="eastAsia"/>
                <w:sz w:val="24"/>
              </w:rPr>
              <w:t>下</w:t>
            </w:r>
            <w:r>
              <w:rPr>
                <w:sz w:val="24"/>
              </w:rPr>
              <w:t>表</w:t>
            </w:r>
            <w:r>
              <w:rPr>
                <w:rFonts w:hint="eastAsia"/>
                <w:sz w:val="24"/>
              </w:rPr>
              <w:t>：</w:t>
            </w:r>
          </w:p>
          <w:p>
            <w:pPr>
              <w:spacing w:line="360" w:lineRule="auto"/>
              <w:ind w:firstLine="481" w:firstLineChars="200"/>
              <w:jc w:val="center"/>
              <w:rPr>
                <w:b/>
                <w:bCs/>
                <w:sz w:val="24"/>
                <w:szCs w:val="21"/>
              </w:rPr>
            </w:pPr>
            <w:r>
              <w:rPr>
                <w:b/>
                <w:bCs/>
                <w:sz w:val="24"/>
                <w:szCs w:val="21"/>
              </w:rPr>
              <w:t>表</w:t>
            </w:r>
            <w:r>
              <w:rPr>
                <w:rFonts w:hint="eastAsia"/>
                <w:b/>
                <w:bCs/>
                <w:sz w:val="24"/>
                <w:szCs w:val="21"/>
              </w:rPr>
              <w:t>1-2 工程</w:t>
            </w:r>
            <w:r>
              <w:rPr>
                <w:b/>
                <w:bCs/>
                <w:sz w:val="24"/>
                <w:szCs w:val="21"/>
              </w:rPr>
              <w:t>组成一览表</w:t>
            </w:r>
          </w:p>
          <w:tbl>
            <w:tblPr>
              <w:tblStyle w:val="15"/>
              <w:tblW w:w="850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81"/>
              <w:gridCol w:w="930"/>
              <w:gridCol w:w="1425"/>
              <w:gridCol w:w="52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881" w:type="dxa"/>
                  <w:noWrap/>
                  <w:vAlign w:val="center"/>
                </w:tcPr>
                <w:p>
                  <w:pPr>
                    <w:adjustRightInd w:val="0"/>
                    <w:snapToGrid w:val="0"/>
                    <w:jc w:val="center"/>
                    <w:rPr>
                      <w:b/>
                      <w:szCs w:val="21"/>
                    </w:rPr>
                  </w:pPr>
                  <w:r>
                    <w:rPr>
                      <w:b/>
                      <w:szCs w:val="21"/>
                    </w:rPr>
                    <w:t>序号</w:t>
                  </w:r>
                </w:p>
              </w:tc>
              <w:tc>
                <w:tcPr>
                  <w:tcW w:w="2355" w:type="dxa"/>
                  <w:gridSpan w:val="2"/>
                  <w:noWrap/>
                  <w:vAlign w:val="center"/>
                </w:tcPr>
                <w:p>
                  <w:pPr>
                    <w:adjustRightInd w:val="0"/>
                    <w:snapToGrid w:val="0"/>
                    <w:jc w:val="center"/>
                    <w:rPr>
                      <w:b/>
                      <w:szCs w:val="21"/>
                    </w:rPr>
                  </w:pPr>
                  <w:r>
                    <w:rPr>
                      <w:b/>
                      <w:szCs w:val="21"/>
                    </w:rPr>
                    <w:t>工程组成</w:t>
                  </w:r>
                </w:p>
              </w:tc>
              <w:tc>
                <w:tcPr>
                  <w:tcW w:w="5269" w:type="dxa"/>
                  <w:noWrap/>
                  <w:vAlign w:val="center"/>
                </w:tcPr>
                <w:p>
                  <w:pPr>
                    <w:adjustRightInd w:val="0"/>
                    <w:snapToGrid w:val="0"/>
                    <w:jc w:val="center"/>
                    <w:rPr>
                      <w:b/>
                      <w:szCs w:val="21"/>
                    </w:rPr>
                  </w:pPr>
                  <w:r>
                    <w:rPr>
                      <w:b/>
                      <w:szCs w:val="21"/>
                    </w:rPr>
                    <w:t>工程内容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881" w:type="dxa"/>
                  <w:vMerge w:val="restart"/>
                  <w:noWrap/>
                  <w:vAlign w:val="center"/>
                </w:tcPr>
                <w:p>
                  <w:pPr>
                    <w:adjustRightInd w:val="0"/>
                    <w:snapToGrid w:val="0"/>
                    <w:jc w:val="center"/>
                    <w:rPr>
                      <w:szCs w:val="21"/>
                    </w:rPr>
                  </w:pPr>
                  <w:r>
                    <w:rPr>
                      <w:szCs w:val="21"/>
                    </w:rPr>
                    <w:t>1</w:t>
                  </w:r>
                </w:p>
              </w:tc>
              <w:tc>
                <w:tcPr>
                  <w:tcW w:w="930" w:type="dxa"/>
                  <w:vMerge w:val="restart"/>
                  <w:noWrap/>
                  <w:vAlign w:val="center"/>
                </w:tcPr>
                <w:p>
                  <w:pPr>
                    <w:adjustRightInd w:val="0"/>
                    <w:snapToGrid w:val="0"/>
                    <w:jc w:val="center"/>
                    <w:rPr>
                      <w:szCs w:val="21"/>
                    </w:rPr>
                  </w:pPr>
                  <w:r>
                    <w:rPr>
                      <w:szCs w:val="21"/>
                    </w:rPr>
                    <w:t>主体工程</w:t>
                  </w:r>
                </w:p>
              </w:tc>
              <w:tc>
                <w:tcPr>
                  <w:tcW w:w="1425" w:type="dxa"/>
                  <w:noWrap/>
                  <w:vAlign w:val="center"/>
                </w:tcPr>
                <w:p>
                  <w:pPr>
                    <w:adjustRightInd w:val="0"/>
                    <w:snapToGrid w:val="0"/>
                    <w:jc w:val="center"/>
                    <w:rPr>
                      <w:szCs w:val="21"/>
                    </w:rPr>
                  </w:pPr>
                  <w:r>
                    <w:rPr>
                      <w:szCs w:val="21"/>
                    </w:rPr>
                    <w:t>Ⅰ矿段</w:t>
                  </w:r>
                </w:p>
              </w:tc>
              <w:tc>
                <w:tcPr>
                  <w:tcW w:w="5269" w:type="dxa"/>
                  <w:noWrap/>
                  <w:vAlign w:val="center"/>
                </w:tcPr>
                <w:p>
                  <w:pPr>
                    <w:adjustRightInd w:val="0"/>
                    <w:snapToGrid w:val="0"/>
                    <w:jc w:val="center"/>
                    <w:rPr>
                      <w:szCs w:val="21"/>
                    </w:rPr>
                  </w:pPr>
                  <w:r>
                    <w:rPr>
                      <w:szCs w:val="21"/>
                    </w:rPr>
                    <w:t>矿体长约340m，宽约120m，面积0.05km</w:t>
                  </w:r>
                  <w:r>
                    <w:rPr>
                      <w:szCs w:val="21"/>
                      <w:vertAlign w:val="superscript"/>
                    </w:rPr>
                    <w:t>2</w:t>
                  </w:r>
                  <w:r>
                    <w:rPr>
                      <w:szCs w:val="21"/>
                    </w:rPr>
                    <w:t>，开采标高+75.62m~+16m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881" w:type="dxa"/>
                  <w:vMerge w:val="continue"/>
                  <w:noWrap/>
                  <w:vAlign w:val="center"/>
                </w:tcPr>
                <w:p>
                  <w:pPr>
                    <w:adjustRightInd w:val="0"/>
                    <w:snapToGrid w:val="0"/>
                    <w:jc w:val="center"/>
                    <w:rPr>
                      <w:szCs w:val="21"/>
                    </w:rPr>
                  </w:pPr>
                </w:p>
              </w:tc>
              <w:tc>
                <w:tcPr>
                  <w:tcW w:w="930" w:type="dxa"/>
                  <w:vMerge w:val="continue"/>
                  <w:noWrap/>
                  <w:vAlign w:val="center"/>
                </w:tcPr>
                <w:p>
                  <w:pPr>
                    <w:adjustRightInd w:val="0"/>
                    <w:snapToGrid w:val="0"/>
                    <w:jc w:val="center"/>
                    <w:rPr>
                      <w:szCs w:val="21"/>
                    </w:rPr>
                  </w:pPr>
                </w:p>
              </w:tc>
              <w:tc>
                <w:tcPr>
                  <w:tcW w:w="1425" w:type="dxa"/>
                  <w:noWrap/>
                  <w:vAlign w:val="center"/>
                </w:tcPr>
                <w:p>
                  <w:pPr>
                    <w:adjustRightInd w:val="0"/>
                    <w:snapToGrid w:val="0"/>
                    <w:jc w:val="center"/>
                    <w:rPr>
                      <w:szCs w:val="21"/>
                    </w:rPr>
                  </w:pPr>
                  <w:r>
                    <w:rPr>
                      <w:szCs w:val="21"/>
                    </w:rPr>
                    <w:t>Ⅱ矿段</w:t>
                  </w:r>
                </w:p>
              </w:tc>
              <w:tc>
                <w:tcPr>
                  <w:tcW w:w="5269" w:type="dxa"/>
                  <w:noWrap/>
                  <w:vAlign w:val="center"/>
                </w:tcPr>
                <w:p>
                  <w:pPr>
                    <w:adjustRightInd w:val="0"/>
                    <w:snapToGrid w:val="0"/>
                    <w:jc w:val="center"/>
                    <w:rPr>
                      <w:szCs w:val="21"/>
                    </w:rPr>
                  </w:pPr>
                  <w:r>
                    <w:rPr>
                      <w:szCs w:val="21"/>
                    </w:rPr>
                    <w:t>矿体长约1000m，宽约530m，面积0.405km</w:t>
                  </w:r>
                  <w:r>
                    <w:rPr>
                      <w:szCs w:val="21"/>
                      <w:vertAlign w:val="superscript"/>
                    </w:rPr>
                    <w:t>2</w:t>
                  </w:r>
                  <w:r>
                    <w:rPr>
                      <w:szCs w:val="21"/>
                    </w:rPr>
                    <w:t>，开采标高+75.62m~+20.0m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881" w:type="dxa"/>
                  <w:vMerge w:val="continue"/>
                  <w:noWrap/>
                  <w:vAlign w:val="center"/>
                </w:tcPr>
                <w:p>
                  <w:pPr>
                    <w:adjustRightInd w:val="0"/>
                    <w:snapToGrid w:val="0"/>
                    <w:jc w:val="center"/>
                    <w:rPr>
                      <w:szCs w:val="21"/>
                    </w:rPr>
                  </w:pPr>
                </w:p>
              </w:tc>
              <w:tc>
                <w:tcPr>
                  <w:tcW w:w="930" w:type="dxa"/>
                  <w:vMerge w:val="continue"/>
                  <w:noWrap/>
                  <w:vAlign w:val="center"/>
                </w:tcPr>
                <w:p>
                  <w:pPr>
                    <w:adjustRightInd w:val="0"/>
                    <w:snapToGrid w:val="0"/>
                    <w:jc w:val="center"/>
                    <w:rPr>
                      <w:szCs w:val="21"/>
                    </w:rPr>
                  </w:pPr>
                </w:p>
              </w:tc>
              <w:tc>
                <w:tcPr>
                  <w:tcW w:w="1425" w:type="dxa"/>
                  <w:noWrap/>
                  <w:vAlign w:val="center"/>
                </w:tcPr>
                <w:p>
                  <w:pPr>
                    <w:adjustRightInd w:val="0"/>
                    <w:snapToGrid w:val="0"/>
                    <w:jc w:val="center"/>
                    <w:rPr>
                      <w:szCs w:val="21"/>
                    </w:rPr>
                  </w:pPr>
                  <w:r>
                    <w:rPr>
                      <w:szCs w:val="21"/>
                    </w:rPr>
                    <w:t>Ⅲ矿段</w:t>
                  </w:r>
                </w:p>
              </w:tc>
              <w:tc>
                <w:tcPr>
                  <w:tcW w:w="5269" w:type="dxa"/>
                  <w:noWrap/>
                  <w:vAlign w:val="center"/>
                </w:tcPr>
                <w:p>
                  <w:pPr>
                    <w:adjustRightInd w:val="0"/>
                    <w:snapToGrid w:val="0"/>
                    <w:jc w:val="center"/>
                    <w:rPr>
                      <w:szCs w:val="21"/>
                    </w:rPr>
                  </w:pPr>
                  <w:r>
                    <w:rPr>
                      <w:szCs w:val="21"/>
                    </w:rPr>
                    <w:t>矿体长约570m，宽约160m，面积0.113km</w:t>
                  </w:r>
                  <w:r>
                    <w:rPr>
                      <w:szCs w:val="21"/>
                      <w:vertAlign w:val="superscript"/>
                    </w:rPr>
                    <w:t>2</w:t>
                  </w:r>
                  <w:r>
                    <w:rPr>
                      <w:szCs w:val="21"/>
                    </w:rPr>
                    <w:t>，开采标高+63.47m~+20m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881" w:type="dxa"/>
                  <w:vMerge w:val="continue"/>
                  <w:noWrap/>
                  <w:vAlign w:val="center"/>
                </w:tcPr>
                <w:p>
                  <w:pPr>
                    <w:adjustRightInd w:val="0"/>
                    <w:snapToGrid w:val="0"/>
                    <w:jc w:val="center"/>
                    <w:rPr>
                      <w:szCs w:val="21"/>
                    </w:rPr>
                  </w:pPr>
                </w:p>
              </w:tc>
              <w:tc>
                <w:tcPr>
                  <w:tcW w:w="930" w:type="dxa"/>
                  <w:vMerge w:val="continue"/>
                  <w:noWrap/>
                  <w:vAlign w:val="center"/>
                </w:tcPr>
                <w:p>
                  <w:pPr>
                    <w:adjustRightInd w:val="0"/>
                    <w:snapToGrid w:val="0"/>
                    <w:jc w:val="center"/>
                    <w:rPr>
                      <w:szCs w:val="21"/>
                    </w:rPr>
                  </w:pPr>
                </w:p>
              </w:tc>
              <w:tc>
                <w:tcPr>
                  <w:tcW w:w="1425" w:type="dxa"/>
                  <w:noWrap/>
                  <w:vAlign w:val="center"/>
                </w:tcPr>
                <w:p>
                  <w:pPr>
                    <w:adjustRightInd w:val="0"/>
                    <w:snapToGrid w:val="0"/>
                    <w:jc w:val="center"/>
                    <w:rPr>
                      <w:szCs w:val="21"/>
                    </w:rPr>
                  </w:pPr>
                  <w:r>
                    <w:rPr>
                      <w:szCs w:val="21"/>
                    </w:rPr>
                    <w:fldChar w:fldCharType="begin"/>
                  </w:r>
                  <w:r>
                    <w:rPr>
                      <w:szCs w:val="21"/>
                    </w:rPr>
                    <w:instrText xml:space="preserve"> = 4 \* ROMAN \* MERGEFORMAT </w:instrText>
                  </w:r>
                  <w:r>
                    <w:rPr>
                      <w:szCs w:val="21"/>
                    </w:rPr>
                    <w:fldChar w:fldCharType="separate"/>
                  </w:r>
                  <w:r>
                    <w:rPr>
                      <w:szCs w:val="21"/>
                    </w:rPr>
                    <w:t>IV</w:t>
                  </w:r>
                  <w:r>
                    <w:rPr>
                      <w:szCs w:val="21"/>
                    </w:rPr>
                    <w:fldChar w:fldCharType="end"/>
                  </w:r>
                  <w:r>
                    <w:rPr>
                      <w:szCs w:val="21"/>
                    </w:rPr>
                    <w:t>矿段</w:t>
                  </w:r>
                </w:p>
              </w:tc>
              <w:tc>
                <w:tcPr>
                  <w:tcW w:w="5269" w:type="dxa"/>
                  <w:noWrap/>
                  <w:vAlign w:val="center"/>
                </w:tcPr>
                <w:p>
                  <w:pPr>
                    <w:adjustRightInd w:val="0"/>
                    <w:snapToGrid w:val="0"/>
                    <w:jc w:val="center"/>
                    <w:rPr>
                      <w:szCs w:val="21"/>
                    </w:rPr>
                  </w:pPr>
                  <w:r>
                    <w:rPr>
                      <w:szCs w:val="21"/>
                    </w:rPr>
                    <w:t>矿体长约570m，宽约370m，面积0.213km</w:t>
                  </w:r>
                  <w:r>
                    <w:rPr>
                      <w:szCs w:val="21"/>
                      <w:vertAlign w:val="superscript"/>
                    </w:rPr>
                    <w:t>2</w:t>
                  </w:r>
                  <w:r>
                    <w:rPr>
                      <w:szCs w:val="21"/>
                    </w:rPr>
                    <w:t>，开采标高+76.27m~+45m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8" w:hRule="atLeast"/>
                <w:jc w:val="center"/>
              </w:trPr>
              <w:tc>
                <w:tcPr>
                  <w:tcW w:w="881" w:type="dxa"/>
                  <w:noWrap/>
                  <w:vAlign w:val="center"/>
                </w:tcPr>
                <w:p>
                  <w:pPr>
                    <w:adjustRightInd w:val="0"/>
                    <w:snapToGrid w:val="0"/>
                    <w:jc w:val="center"/>
                    <w:rPr>
                      <w:szCs w:val="21"/>
                    </w:rPr>
                  </w:pPr>
                  <w:r>
                    <w:rPr>
                      <w:szCs w:val="21"/>
                    </w:rPr>
                    <w:t>2</w:t>
                  </w:r>
                </w:p>
              </w:tc>
              <w:tc>
                <w:tcPr>
                  <w:tcW w:w="930" w:type="dxa"/>
                  <w:noWrap/>
                  <w:vAlign w:val="center"/>
                </w:tcPr>
                <w:p>
                  <w:pPr>
                    <w:adjustRightInd w:val="0"/>
                    <w:snapToGrid w:val="0"/>
                    <w:jc w:val="center"/>
                    <w:rPr>
                      <w:szCs w:val="21"/>
                    </w:rPr>
                  </w:pPr>
                  <w:r>
                    <w:rPr>
                      <w:szCs w:val="21"/>
                    </w:rPr>
                    <w:t>辅助工程</w:t>
                  </w:r>
                </w:p>
              </w:tc>
              <w:tc>
                <w:tcPr>
                  <w:tcW w:w="1425" w:type="dxa"/>
                  <w:noWrap/>
                  <w:vAlign w:val="center"/>
                </w:tcPr>
                <w:p>
                  <w:pPr>
                    <w:adjustRightInd w:val="0"/>
                    <w:snapToGrid w:val="0"/>
                    <w:jc w:val="center"/>
                    <w:rPr>
                      <w:szCs w:val="21"/>
                    </w:rPr>
                  </w:pPr>
                  <w:r>
                    <w:rPr>
                      <w:rFonts w:hint="eastAsia"/>
                      <w:szCs w:val="21"/>
                    </w:rPr>
                    <w:t>办公室</w:t>
                  </w:r>
                </w:p>
              </w:tc>
              <w:tc>
                <w:tcPr>
                  <w:tcW w:w="5269" w:type="dxa"/>
                  <w:noWrap/>
                  <w:vAlign w:val="center"/>
                </w:tcPr>
                <w:p>
                  <w:pPr>
                    <w:adjustRightInd w:val="0"/>
                    <w:snapToGrid w:val="0"/>
                    <w:jc w:val="center"/>
                    <w:rPr>
                      <w:szCs w:val="21"/>
                      <w:highlight w:val="yellow"/>
                    </w:rPr>
                  </w:pPr>
                  <w:r>
                    <w:rPr>
                      <w:szCs w:val="21"/>
                    </w:rPr>
                    <w:t>依托现有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881" w:type="dxa"/>
                  <w:noWrap/>
                  <w:vAlign w:val="center"/>
                </w:tcPr>
                <w:p>
                  <w:pPr>
                    <w:adjustRightInd w:val="0"/>
                    <w:snapToGrid w:val="0"/>
                    <w:jc w:val="center"/>
                    <w:rPr>
                      <w:szCs w:val="21"/>
                    </w:rPr>
                  </w:pPr>
                  <w:r>
                    <w:rPr>
                      <w:rFonts w:hint="eastAsia"/>
                      <w:szCs w:val="21"/>
                    </w:rPr>
                    <w:t>3</w:t>
                  </w:r>
                </w:p>
              </w:tc>
              <w:tc>
                <w:tcPr>
                  <w:tcW w:w="930" w:type="dxa"/>
                  <w:noWrap/>
                  <w:vAlign w:val="center"/>
                </w:tcPr>
                <w:p>
                  <w:pPr>
                    <w:adjustRightInd w:val="0"/>
                    <w:snapToGrid w:val="0"/>
                    <w:jc w:val="center"/>
                    <w:rPr>
                      <w:szCs w:val="21"/>
                    </w:rPr>
                  </w:pPr>
                  <w:r>
                    <w:rPr>
                      <w:rFonts w:hint="eastAsia"/>
                      <w:szCs w:val="21"/>
                    </w:rPr>
                    <w:t>储运工程</w:t>
                  </w:r>
                </w:p>
              </w:tc>
              <w:tc>
                <w:tcPr>
                  <w:tcW w:w="1425" w:type="dxa"/>
                  <w:noWrap/>
                  <w:vAlign w:val="center"/>
                </w:tcPr>
                <w:p>
                  <w:pPr>
                    <w:adjustRightInd w:val="0"/>
                    <w:snapToGrid w:val="0"/>
                    <w:jc w:val="center"/>
                    <w:rPr>
                      <w:szCs w:val="21"/>
                    </w:rPr>
                  </w:pPr>
                  <w:r>
                    <w:rPr>
                      <w:rFonts w:hint="eastAsia"/>
                      <w:szCs w:val="21"/>
                    </w:rPr>
                    <w:t>堆矿场</w:t>
                  </w:r>
                </w:p>
              </w:tc>
              <w:tc>
                <w:tcPr>
                  <w:tcW w:w="5269" w:type="dxa"/>
                  <w:noWrap/>
                  <w:vAlign w:val="center"/>
                </w:tcPr>
                <w:p>
                  <w:pPr>
                    <w:adjustRightInd w:val="0"/>
                    <w:snapToGrid w:val="0"/>
                    <w:jc w:val="center"/>
                    <w:rPr>
                      <w:szCs w:val="21"/>
                    </w:rPr>
                  </w:pPr>
                  <w:r>
                    <w:rPr>
                      <w:szCs w:val="21"/>
                    </w:rPr>
                    <w:t>依托现有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881" w:type="dxa"/>
                  <w:vMerge w:val="restart"/>
                  <w:noWrap/>
                  <w:vAlign w:val="center"/>
                </w:tcPr>
                <w:p>
                  <w:pPr>
                    <w:adjustRightInd w:val="0"/>
                    <w:snapToGrid w:val="0"/>
                    <w:jc w:val="center"/>
                    <w:rPr>
                      <w:szCs w:val="21"/>
                    </w:rPr>
                  </w:pPr>
                  <w:r>
                    <w:rPr>
                      <w:rFonts w:hint="eastAsia"/>
                      <w:szCs w:val="21"/>
                    </w:rPr>
                    <w:t>4</w:t>
                  </w:r>
                </w:p>
              </w:tc>
              <w:tc>
                <w:tcPr>
                  <w:tcW w:w="930" w:type="dxa"/>
                  <w:vMerge w:val="restart"/>
                  <w:noWrap/>
                  <w:vAlign w:val="center"/>
                </w:tcPr>
                <w:p>
                  <w:pPr>
                    <w:adjustRightInd w:val="0"/>
                    <w:snapToGrid w:val="0"/>
                    <w:jc w:val="center"/>
                    <w:rPr>
                      <w:szCs w:val="21"/>
                    </w:rPr>
                  </w:pPr>
                  <w:r>
                    <w:rPr>
                      <w:szCs w:val="21"/>
                    </w:rPr>
                    <w:t>公用工程</w:t>
                  </w:r>
                </w:p>
              </w:tc>
              <w:tc>
                <w:tcPr>
                  <w:tcW w:w="1425" w:type="dxa"/>
                  <w:noWrap/>
                  <w:vAlign w:val="center"/>
                </w:tcPr>
                <w:p>
                  <w:pPr>
                    <w:jc w:val="center"/>
                    <w:rPr>
                      <w:szCs w:val="21"/>
                    </w:rPr>
                  </w:pPr>
                  <w:r>
                    <w:rPr>
                      <w:szCs w:val="21"/>
                    </w:rPr>
                    <w:t>给排水</w:t>
                  </w:r>
                </w:p>
              </w:tc>
              <w:tc>
                <w:tcPr>
                  <w:tcW w:w="5269" w:type="dxa"/>
                  <w:noWrap/>
                  <w:vAlign w:val="center"/>
                </w:tcPr>
                <w:p>
                  <w:pPr>
                    <w:jc w:val="center"/>
                    <w:rPr>
                      <w:szCs w:val="21"/>
                    </w:rPr>
                  </w:pPr>
                  <w:r>
                    <w:rPr>
                      <w:szCs w:val="21"/>
                    </w:rPr>
                    <w:t>给水管网、排水管网、雨水管网</w:t>
                  </w:r>
                  <w:r>
                    <w:rPr>
                      <w:rStyle w:val="19"/>
                    </w:rPr>
                    <w:t>等，排水通过雨污分流方式，生活污水进入化粪池收集，</w:t>
                  </w:r>
                  <w:r>
                    <w:rPr>
                      <w:rStyle w:val="19"/>
                      <w:rFonts w:hint="eastAsia"/>
                    </w:rPr>
                    <w:t>委托环卫部门清运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881" w:type="dxa"/>
                  <w:vMerge w:val="continue"/>
                  <w:noWrap/>
                  <w:vAlign w:val="center"/>
                </w:tcPr>
                <w:p>
                  <w:pPr>
                    <w:adjustRightInd w:val="0"/>
                    <w:snapToGrid w:val="0"/>
                    <w:jc w:val="center"/>
                    <w:rPr>
                      <w:szCs w:val="21"/>
                    </w:rPr>
                  </w:pPr>
                </w:p>
              </w:tc>
              <w:tc>
                <w:tcPr>
                  <w:tcW w:w="930" w:type="dxa"/>
                  <w:vMerge w:val="continue"/>
                  <w:noWrap/>
                  <w:vAlign w:val="center"/>
                </w:tcPr>
                <w:p>
                  <w:pPr>
                    <w:adjustRightInd w:val="0"/>
                    <w:snapToGrid w:val="0"/>
                    <w:jc w:val="center"/>
                    <w:rPr>
                      <w:szCs w:val="21"/>
                    </w:rPr>
                  </w:pPr>
                </w:p>
              </w:tc>
              <w:tc>
                <w:tcPr>
                  <w:tcW w:w="1425" w:type="dxa"/>
                  <w:noWrap/>
                  <w:vAlign w:val="center"/>
                </w:tcPr>
                <w:p>
                  <w:pPr>
                    <w:jc w:val="center"/>
                    <w:rPr>
                      <w:szCs w:val="21"/>
                    </w:rPr>
                  </w:pPr>
                  <w:r>
                    <w:rPr>
                      <w:szCs w:val="21"/>
                    </w:rPr>
                    <w:t>供暖</w:t>
                  </w:r>
                </w:p>
              </w:tc>
              <w:tc>
                <w:tcPr>
                  <w:tcW w:w="5269" w:type="dxa"/>
                  <w:noWrap/>
                  <w:vAlign w:val="center"/>
                </w:tcPr>
                <w:p>
                  <w:pPr>
                    <w:jc w:val="center"/>
                    <w:rPr>
                      <w:szCs w:val="21"/>
                    </w:rPr>
                  </w:pPr>
                  <w:r>
                    <w:rPr>
                      <w:szCs w:val="21"/>
                    </w:rPr>
                    <w:t>办公室采暖采用空调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881" w:type="dxa"/>
                  <w:vMerge w:val="continue"/>
                  <w:noWrap/>
                  <w:vAlign w:val="center"/>
                </w:tcPr>
                <w:p>
                  <w:pPr>
                    <w:adjustRightInd w:val="0"/>
                    <w:snapToGrid w:val="0"/>
                    <w:jc w:val="center"/>
                    <w:rPr>
                      <w:szCs w:val="21"/>
                    </w:rPr>
                  </w:pPr>
                </w:p>
              </w:tc>
              <w:tc>
                <w:tcPr>
                  <w:tcW w:w="930" w:type="dxa"/>
                  <w:vMerge w:val="continue"/>
                  <w:noWrap/>
                  <w:vAlign w:val="center"/>
                </w:tcPr>
                <w:p>
                  <w:pPr>
                    <w:adjustRightInd w:val="0"/>
                    <w:snapToGrid w:val="0"/>
                    <w:jc w:val="center"/>
                    <w:rPr>
                      <w:szCs w:val="21"/>
                    </w:rPr>
                  </w:pPr>
                </w:p>
              </w:tc>
              <w:tc>
                <w:tcPr>
                  <w:tcW w:w="1425" w:type="dxa"/>
                  <w:noWrap/>
                  <w:vAlign w:val="center"/>
                </w:tcPr>
                <w:p>
                  <w:pPr>
                    <w:jc w:val="center"/>
                    <w:rPr>
                      <w:szCs w:val="21"/>
                    </w:rPr>
                  </w:pPr>
                  <w:r>
                    <w:rPr>
                      <w:szCs w:val="21"/>
                    </w:rPr>
                    <w:t>供电</w:t>
                  </w:r>
                </w:p>
              </w:tc>
              <w:tc>
                <w:tcPr>
                  <w:tcW w:w="5269" w:type="dxa"/>
                  <w:noWrap/>
                  <w:vAlign w:val="center"/>
                </w:tcPr>
                <w:p>
                  <w:pPr>
                    <w:jc w:val="center"/>
                    <w:rPr>
                      <w:szCs w:val="21"/>
                    </w:rPr>
                  </w:pPr>
                  <w:r>
                    <w:rPr>
                      <w:szCs w:val="21"/>
                    </w:rPr>
                    <w:t>由附近电网接入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881" w:type="dxa"/>
                  <w:vMerge w:val="restart"/>
                  <w:noWrap/>
                  <w:vAlign w:val="center"/>
                </w:tcPr>
                <w:p>
                  <w:pPr>
                    <w:adjustRightInd w:val="0"/>
                    <w:snapToGrid w:val="0"/>
                    <w:jc w:val="center"/>
                    <w:rPr>
                      <w:szCs w:val="21"/>
                    </w:rPr>
                  </w:pPr>
                  <w:r>
                    <w:rPr>
                      <w:rFonts w:hint="eastAsia"/>
                      <w:szCs w:val="21"/>
                    </w:rPr>
                    <w:t>5</w:t>
                  </w:r>
                </w:p>
              </w:tc>
              <w:tc>
                <w:tcPr>
                  <w:tcW w:w="930" w:type="dxa"/>
                  <w:vMerge w:val="restart"/>
                  <w:noWrap/>
                  <w:vAlign w:val="center"/>
                </w:tcPr>
                <w:p>
                  <w:pPr>
                    <w:adjustRightInd w:val="0"/>
                    <w:snapToGrid w:val="0"/>
                    <w:jc w:val="center"/>
                    <w:rPr>
                      <w:szCs w:val="21"/>
                    </w:rPr>
                  </w:pPr>
                  <w:r>
                    <w:rPr>
                      <w:szCs w:val="21"/>
                    </w:rPr>
                    <w:t>环保工程</w:t>
                  </w:r>
                </w:p>
              </w:tc>
              <w:tc>
                <w:tcPr>
                  <w:tcW w:w="1425" w:type="dxa"/>
                  <w:noWrap/>
                  <w:vAlign w:val="center"/>
                </w:tcPr>
                <w:p>
                  <w:pPr>
                    <w:adjustRightInd w:val="0"/>
                    <w:snapToGrid w:val="0"/>
                    <w:jc w:val="center"/>
                    <w:rPr>
                      <w:szCs w:val="21"/>
                    </w:rPr>
                  </w:pPr>
                  <w:r>
                    <w:rPr>
                      <w:szCs w:val="21"/>
                    </w:rPr>
                    <w:t>废</w:t>
                  </w:r>
                  <w:r>
                    <w:rPr>
                      <w:rFonts w:hint="eastAsia"/>
                      <w:szCs w:val="21"/>
                    </w:rPr>
                    <w:t>气</w:t>
                  </w:r>
                </w:p>
              </w:tc>
              <w:tc>
                <w:tcPr>
                  <w:tcW w:w="5269" w:type="dxa"/>
                  <w:noWrap/>
                  <w:vAlign w:val="center"/>
                </w:tcPr>
                <w:p>
                  <w:pPr>
                    <w:jc w:val="left"/>
                    <w:rPr>
                      <w:szCs w:val="21"/>
                    </w:rPr>
                  </w:pPr>
                  <w:r>
                    <w:rPr>
                      <w:rFonts w:hint="eastAsia"/>
                      <w:szCs w:val="21"/>
                    </w:rPr>
                    <w:t>喷淋系统、防风抑尘网、高空雾炮、洒水车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881" w:type="dxa"/>
                  <w:vMerge w:val="continue"/>
                  <w:noWrap/>
                  <w:vAlign w:val="center"/>
                </w:tcPr>
                <w:p>
                  <w:pPr>
                    <w:adjustRightInd w:val="0"/>
                    <w:snapToGrid w:val="0"/>
                    <w:jc w:val="center"/>
                    <w:rPr>
                      <w:szCs w:val="21"/>
                    </w:rPr>
                  </w:pPr>
                </w:p>
              </w:tc>
              <w:tc>
                <w:tcPr>
                  <w:tcW w:w="930" w:type="dxa"/>
                  <w:vMerge w:val="continue"/>
                  <w:noWrap/>
                  <w:vAlign w:val="center"/>
                </w:tcPr>
                <w:p>
                  <w:pPr>
                    <w:adjustRightInd w:val="0"/>
                    <w:snapToGrid w:val="0"/>
                    <w:jc w:val="center"/>
                    <w:rPr>
                      <w:szCs w:val="21"/>
                    </w:rPr>
                  </w:pPr>
                </w:p>
              </w:tc>
              <w:tc>
                <w:tcPr>
                  <w:tcW w:w="1425" w:type="dxa"/>
                  <w:noWrap/>
                  <w:vAlign w:val="center"/>
                </w:tcPr>
                <w:p>
                  <w:pPr>
                    <w:adjustRightInd w:val="0"/>
                    <w:snapToGrid w:val="0"/>
                    <w:jc w:val="center"/>
                    <w:rPr>
                      <w:szCs w:val="21"/>
                    </w:rPr>
                  </w:pPr>
                  <w:r>
                    <w:rPr>
                      <w:szCs w:val="21"/>
                    </w:rPr>
                    <w:t>废</w:t>
                  </w:r>
                  <w:r>
                    <w:rPr>
                      <w:rFonts w:hint="eastAsia"/>
                      <w:szCs w:val="21"/>
                    </w:rPr>
                    <w:t>水</w:t>
                  </w:r>
                </w:p>
              </w:tc>
              <w:tc>
                <w:tcPr>
                  <w:tcW w:w="5269" w:type="dxa"/>
                  <w:noWrap/>
                  <w:vAlign w:val="center"/>
                </w:tcPr>
                <w:p>
                  <w:pPr>
                    <w:jc w:val="left"/>
                    <w:rPr>
                      <w:szCs w:val="21"/>
                    </w:rPr>
                  </w:pPr>
                  <w:r>
                    <w:rPr>
                      <w:bCs/>
                      <w:szCs w:val="21"/>
                    </w:rPr>
                    <w:t>生活污水经化粪池处理外运堆肥；</w:t>
                  </w:r>
                  <w:r>
                    <w:rPr>
                      <w:rFonts w:hint="eastAsia"/>
                      <w:bCs/>
                      <w:szCs w:val="21"/>
                    </w:rPr>
                    <w:t>每个矿区出入口设洗车台和三级沉淀循环水池，收集流淌的废水回用于生产；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1" w:hRule="atLeast"/>
                <w:jc w:val="center"/>
              </w:trPr>
              <w:tc>
                <w:tcPr>
                  <w:tcW w:w="881" w:type="dxa"/>
                  <w:vMerge w:val="continue"/>
                  <w:noWrap/>
                  <w:vAlign w:val="center"/>
                </w:tcPr>
                <w:p>
                  <w:pPr>
                    <w:adjustRightInd w:val="0"/>
                    <w:snapToGrid w:val="0"/>
                    <w:jc w:val="center"/>
                    <w:rPr>
                      <w:szCs w:val="21"/>
                    </w:rPr>
                  </w:pPr>
                </w:p>
              </w:tc>
              <w:tc>
                <w:tcPr>
                  <w:tcW w:w="930" w:type="dxa"/>
                  <w:vMerge w:val="continue"/>
                  <w:noWrap/>
                  <w:vAlign w:val="center"/>
                </w:tcPr>
                <w:p>
                  <w:pPr>
                    <w:adjustRightInd w:val="0"/>
                    <w:snapToGrid w:val="0"/>
                    <w:jc w:val="center"/>
                    <w:rPr>
                      <w:szCs w:val="21"/>
                    </w:rPr>
                  </w:pPr>
                </w:p>
              </w:tc>
              <w:tc>
                <w:tcPr>
                  <w:tcW w:w="1425" w:type="dxa"/>
                  <w:noWrap/>
                  <w:vAlign w:val="center"/>
                </w:tcPr>
                <w:p>
                  <w:pPr>
                    <w:adjustRightInd w:val="0"/>
                    <w:snapToGrid w:val="0"/>
                    <w:jc w:val="center"/>
                    <w:rPr>
                      <w:szCs w:val="21"/>
                    </w:rPr>
                  </w:pPr>
                  <w:r>
                    <w:rPr>
                      <w:rFonts w:hint="eastAsia"/>
                      <w:szCs w:val="21"/>
                    </w:rPr>
                    <w:t>固废</w:t>
                  </w:r>
                </w:p>
              </w:tc>
              <w:tc>
                <w:tcPr>
                  <w:tcW w:w="5269" w:type="dxa"/>
                  <w:noWrap/>
                  <w:vAlign w:val="center"/>
                </w:tcPr>
                <w:p>
                  <w:pPr>
                    <w:jc w:val="left"/>
                    <w:rPr>
                      <w:szCs w:val="21"/>
                      <w:highlight w:val="yellow"/>
                    </w:rPr>
                  </w:pPr>
                  <w:r>
                    <w:rPr>
                      <w:rFonts w:hint="eastAsia"/>
                      <w:szCs w:val="21"/>
                    </w:rPr>
                    <w:t>生活垃圾由环卫部门清运；石渣矿场回填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881" w:type="dxa"/>
                  <w:vMerge w:val="continue"/>
                  <w:noWrap/>
                  <w:vAlign w:val="center"/>
                </w:tcPr>
                <w:p>
                  <w:pPr>
                    <w:adjustRightInd w:val="0"/>
                    <w:snapToGrid w:val="0"/>
                    <w:jc w:val="center"/>
                    <w:rPr>
                      <w:szCs w:val="21"/>
                    </w:rPr>
                  </w:pPr>
                </w:p>
              </w:tc>
              <w:tc>
                <w:tcPr>
                  <w:tcW w:w="930" w:type="dxa"/>
                  <w:vMerge w:val="continue"/>
                  <w:noWrap/>
                  <w:vAlign w:val="center"/>
                </w:tcPr>
                <w:p>
                  <w:pPr>
                    <w:adjustRightInd w:val="0"/>
                    <w:snapToGrid w:val="0"/>
                    <w:jc w:val="center"/>
                    <w:rPr>
                      <w:szCs w:val="21"/>
                    </w:rPr>
                  </w:pPr>
                </w:p>
              </w:tc>
              <w:tc>
                <w:tcPr>
                  <w:tcW w:w="1425" w:type="dxa"/>
                  <w:noWrap/>
                  <w:vAlign w:val="center"/>
                </w:tcPr>
                <w:p>
                  <w:pPr>
                    <w:adjustRightInd w:val="0"/>
                    <w:snapToGrid w:val="0"/>
                    <w:jc w:val="center"/>
                    <w:rPr>
                      <w:szCs w:val="21"/>
                    </w:rPr>
                  </w:pPr>
                  <w:r>
                    <w:rPr>
                      <w:rFonts w:hint="eastAsia"/>
                      <w:szCs w:val="21"/>
                    </w:rPr>
                    <w:t>噪声</w:t>
                  </w:r>
                </w:p>
              </w:tc>
              <w:tc>
                <w:tcPr>
                  <w:tcW w:w="5269" w:type="dxa"/>
                  <w:noWrap/>
                  <w:vAlign w:val="center"/>
                </w:tcPr>
                <w:p>
                  <w:pPr>
                    <w:jc w:val="left"/>
                    <w:rPr>
                      <w:szCs w:val="21"/>
                      <w:highlight w:val="yellow"/>
                    </w:rPr>
                  </w:pPr>
                  <w:r>
                    <w:rPr>
                      <w:rFonts w:hint="eastAsia"/>
                      <w:bCs/>
                      <w:szCs w:val="21"/>
                    </w:rPr>
                    <w:t>选用低噪声设备、</w:t>
                  </w:r>
                  <w:r>
                    <w:rPr>
                      <w:bCs/>
                      <w:szCs w:val="21"/>
                    </w:rPr>
                    <w:t>基础减震</w:t>
                  </w:r>
                  <w:r>
                    <w:rPr>
                      <w:rFonts w:hint="eastAsia"/>
                      <w:bCs/>
                      <w:szCs w:val="21"/>
                    </w:rPr>
                    <w:t>、厂房隔声等</w:t>
                  </w:r>
                  <w:r>
                    <w:rPr>
                      <w:bCs/>
                      <w:szCs w:val="21"/>
                    </w:rPr>
                    <w:t>；</w:t>
                  </w:r>
                </w:p>
              </w:tc>
            </w:tr>
          </w:tbl>
          <w:p>
            <w:pPr>
              <w:pStyle w:val="8"/>
              <w:ind w:firstLine="120" w:firstLineChars="50"/>
              <w:rPr>
                <w:sz w:val="24"/>
              </w:rPr>
            </w:pPr>
            <w:r>
              <w:rPr>
                <w:sz w:val="24"/>
              </w:rPr>
              <w:t>2、主要设备</w:t>
            </w:r>
          </w:p>
          <w:p>
            <w:pPr>
              <w:pStyle w:val="8"/>
              <w:rPr>
                <w:spacing w:val="-6"/>
                <w:sz w:val="24"/>
              </w:rPr>
            </w:pPr>
            <w:r>
              <w:rPr>
                <w:spacing w:val="-6"/>
                <w:sz w:val="24"/>
              </w:rPr>
              <w:t>项目运营后，项目生产主要设备见</w:t>
            </w:r>
            <w:r>
              <w:rPr>
                <w:rFonts w:hint="eastAsia"/>
                <w:spacing w:val="-6"/>
                <w:sz w:val="24"/>
              </w:rPr>
              <w:t>下</w:t>
            </w:r>
            <w:r>
              <w:rPr>
                <w:spacing w:val="-6"/>
                <w:sz w:val="24"/>
              </w:rPr>
              <w:t>表。</w:t>
            </w:r>
          </w:p>
          <w:p>
            <w:pPr>
              <w:pStyle w:val="8"/>
              <w:spacing w:line="360" w:lineRule="auto"/>
              <w:jc w:val="center"/>
              <w:rPr>
                <w:b/>
                <w:sz w:val="24"/>
              </w:rPr>
            </w:pPr>
            <w:r>
              <w:rPr>
                <w:b/>
                <w:sz w:val="24"/>
              </w:rPr>
              <w:t>表</w:t>
            </w:r>
            <w:r>
              <w:rPr>
                <w:rFonts w:hint="eastAsia"/>
                <w:b/>
                <w:sz w:val="24"/>
              </w:rPr>
              <w:t>1-3</w:t>
            </w:r>
            <w:r>
              <w:rPr>
                <w:b/>
                <w:sz w:val="24"/>
              </w:rPr>
              <w:t xml:space="preserve"> 项目主要生产设备一览表</w:t>
            </w:r>
          </w:p>
          <w:tbl>
            <w:tblPr>
              <w:tblStyle w:val="15"/>
              <w:tblW w:w="8490"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735"/>
              <w:gridCol w:w="2545"/>
              <w:gridCol w:w="1297"/>
              <w:gridCol w:w="938"/>
              <w:gridCol w:w="126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5" w:type="dxa"/>
                  <w:tcBorders>
                    <w:left w:val="single" w:color="auto" w:sz="12" w:space="0"/>
                    <w:right w:val="single" w:color="auto" w:sz="4" w:space="0"/>
                  </w:tcBorders>
                  <w:noWrap/>
                  <w:vAlign w:val="center"/>
                </w:tcPr>
                <w:p>
                  <w:pPr>
                    <w:ind w:right="-113"/>
                    <w:jc w:val="center"/>
                    <w:rPr>
                      <w:b/>
                    </w:rPr>
                  </w:pPr>
                  <w:r>
                    <w:rPr>
                      <w:b/>
                    </w:rPr>
                    <w:t>序号</w:t>
                  </w:r>
                </w:p>
              </w:tc>
              <w:tc>
                <w:tcPr>
                  <w:tcW w:w="1735" w:type="dxa"/>
                  <w:tcBorders>
                    <w:left w:val="single" w:color="auto" w:sz="4" w:space="0"/>
                    <w:right w:val="single" w:color="auto" w:sz="4" w:space="0"/>
                  </w:tcBorders>
                  <w:noWrap/>
                  <w:vAlign w:val="center"/>
                </w:tcPr>
                <w:p>
                  <w:pPr>
                    <w:ind w:right="-113"/>
                    <w:jc w:val="center"/>
                    <w:rPr>
                      <w:b/>
                    </w:rPr>
                  </w:pPr>
                  <w:r>
                    <w:rPr>
                      <w:b/>
                    </w:rPr>
                    <w:t>设备名称</w:t>
                  </w:r>
                </w:p>
              </w:tc>
              <w:tc>
                <w:tcPr>
                  <w:tcW w:w="2545" w:type="dxa"/>
                  <w:tcBorders>
                    <w:left w:val="single" w:color="auto" w:sz="4" w:space="0"/>
                    <w:right w:val="single" w:color="auto" w:sz="4" w:space="0"/>
                  </w:tcBorders>
                  <w:noWrap/>
                  <w:vAlign w:val="center"/>
                </w:tcPr>
                <w:p>
                  <w:pPr>
                    <w:ind w:right="-113"/>
                    <w:jc w:val="center"/>
                    <w:rPr>
                      <w:b/>
                    </w:rPr>
                  </w:pPr>
                  <w:r>
                    <w:rPr>
                      <w:rFonts w:hint="eastAsia"/>
                      <w:b/>
                    </w:rPr>
                    <w:t>型号</w:t>
                  </w:r>
                </w:p>
              </w:tc>
              <w:tc>
                <w:tcPr>
                  <w:tcW w:w="1297" w:type="dxa"/>
                  <w:tcBorders>
                    <w:left w:val="single" w:color="auto" w:sz="4" w:space="0"/>
                    <w:right w:val="single" w:color="auto" w:sz="4" w:space="0"/>
                  </w:tcBorders>
                  <w:noWrap/>
                  <w:vAlign w:val="center"/>
                </w:tcPr>
                <w:p>
                  <w:pPr>
                    <w:ind w:right="-113"/>
                    <w:jc w:val="center"/>
                    <w:rPr>
                      <w:b/>
                    </w:rPr>
                  </w:pPr>
                  <w:r>
                    <w:rPr>
                      <w:rFonts w:hint="eastAsia"/>
                      <w:b/>
                    </w:rPr>
                    <w:t>数量</w:t>
                  </w:r>
                </w:p>
              </w:tc>
              <w:tc>
                <w:tcPr>
                  <w:tcW w:w="938" w:type="dxa"/>
                  <w:tcBorders>
                    <w:left w:val="single" w:color="auto" w:sz="4" w:space="0"/>
                    <w:right w:val="single" w:color="auto" w:sz="2" w:space="0"/>
                  </w:tcBorders>
                  <w:noWrap/>
                  <w:vAlign w:val="center"/>
                </w:tcPr>
                <w:p>
                  <w:pPr>
                    <w:ind w:right="-113"/>
                    <w:jc w:val="center"/>
                    <w:rPr>
                      <w:b/>
                    </w:rPr>
                  </w:pPr>
                  <w:r>
                    <w:rPr>
                      <w:rFonts w:hint="eastAsia"/>
                      <w:b/>
                    </w:rPr>
                    <w:t>单位</w:t>
                  </w:r>
                </w:p>
              </w:tc>
              <w:tc>
                <w:tcPr>
                  <w:tcW w:w="1260" w:type="dxa"/>
                  <w:tcBorders>
                    <w:left w:val="single" w:color="auto" w:sz="2" w:space="0"/>
                    <w:right w:val="single" w:color="auto" w:sz="12" w:space="0"/>
                  </w:tcBorders>
                  <w:noWrap/>
                  <w:vAlign w:val="center"/>
                </w:tcPr>
                <w:p>
                  <w:pPr>
                    <w:ind w:right="-113"/>
                    <w:jc w:val="center"/>
                    <w:rPr>
                      <w:b/>
                    </w:rPr>
                  </w:pPr>
                  <w:r>
                    <w:rPr>
                      <w:rFonts w:hint="eastAsia"/>
                      <w:b/>
                    </w:rPr>
                    <w:t>备注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5" w:type="dxa"/>
                  <w:tcBorders>
                    <w:left w:val="single" w:color="auto" w:sz="12" w:space="0"/>
                    <w:right w:val="single" w:color="auto" w:sz="4" w:space="0"/>
                  </w:tcBorders>
                  <w:noWrap/>
                  <w:vAlign w:val="center"/>
                </w:tcPr>
                <w:p>
                  <w:pPr>
                    <w:pStyle w:val="4"/>
                    <w:ind w:firstLine="0" w:firstLineChars="0"/>
                    <w:jc w:val="center"/>
                    <w:rPr>
                      <w:szCs w:val="21"/>
                    </w:rPr>
                  </w:pPr>
                  <w:r>
                    <w:rPr>
                      <w:rFonts w:hint="eastAsia"/>
                      <w:szCs w:val="21"/>
                    </w:rPr>
                    <w:t>1</w:t>
                  </w:r>
                </w:p>
              </w:tc>
              <w:tc>
                <w:tcPr>
                  <w:tcW w:w="1735" w:type="dxa"/>
                  <w:tcBorders>
                    <w:left w:val="single" w:color="auto" w:sz="4" w:space="0"/>
                    <w:right w:val="single" w:color="auto" w:sz="4" w:space="0"/>
                  </w:tcBorders>
                  <w:noWrap/>
                  <w:vAlign w:val="center"/>
                </w:tcPr>
                <w:p>
                  <w:pPr>
                    <w:spacing w:line="360" w:lineRule="auto"/>
                    <w:jc w:val="center"/>
                  </w:pPr>
                  <w:r>
                    <w:rPr>
                      <w:rFonts w:hAnsi="宋体"/>
                    </w:rPr>
                    <w:t>风钻</w:t>
                  </w:r>
                </w:p>
              </w:tc>
              <w:tc>
                <w:tcPr>
                  <w:tcW w:w="2545" w:type="dxa"/>
                  <w:tcBorders>
                    <w:left w:val="single" w:color="auto" w:sz="4" w:space="0"/>
                    <w:right w:val="single" w:color="auto" w:sz="4" w:space="0"/>
                  </w:tcBorders>
                  <w:noWrap/>
                  <w:vAlign w:val="center"/>
                </w:tcPr>
                <w:p>
                  <w:pPr>
                    <w:tabs>
                      <w:tab w:val="left" w:pos="4560"/>
                    </w:tabs>
                    <w:spacing w:line="360" w:lineRule="auto"/>
                    <w:jc w:val="center"/>
                  </w:pPr>
                  <w:r>
                    <w:t>Y26</w:t>
                  </w:r>
                </w:p>
              </w:tc>
              <w:tc>
                <w:tcPr>
                  <w:tcW w:w="1297" w:type="dxa"/>
                  <w:tcBorders>
                    <w:left w:val="single" w:color="auto" w:sz="4" w:space="0"/>
                    <w:right w:val="single" w:color="auto" w:sz="4" w:space="0"/>
                  </w:tcBorders>
                  <w:noWrap/>
                  <w:vAlign w:val="center"/>
                </w:tcPr>
                <w:p>
                  <w:pPr>
                    <w:tabs>
                      <w:tab w:val="left" w:pos="4560"/>
                    </w:tabs>
                    <w:spacing w:line="360" w:lineRule="auto"/>
                    <w:jc w:val="center"/>
                    <w:rPr>
                      <w:bCs/>
                    </w:rPr>
                  </w:pPr>
                  <w:r>
                    <w:rPr>
                      <w:rFonts w:hint="eastAsia"/>
                      <w:bCs/>
                    </w:rPr>
                    <w:t>42</w:t>
                  </w:r>
                </w:p>
              </w:tc>
              <w:tc>
                <w:tcPr>
                  <w:tcW w:w="938" w:type="dxa"/>
                  <w:tcBorders>
                    <w:left w:val="single" w:color="auto" w:sz="4" w:space="0"/>
                    <w:right w:val="single" w:color="auto" w:sz="2" w:space="0"/>
                  </w:tcBorders>
                  <w:noWrap/>
                  <w:vAlign w:val="center"/>
                </w:tcPr>
                <w:p>
                  <w:pPr>
                    <w:tabs>
                      <w:tab w:val="left" w:pos="4560"/>
                    </w:tabs>
                    <w:spacing w:line="360" w:lineRule="auto"/>
                    <w:jc w:val="center"/>
                  </w:pPr>
                  <w:r>
                    <w:rPr>
                      <w:rFonts w:hAnsi="宋体"/>
                    </w:rPr>
                    <w:t>台</w:t>
                  </w:r>
                </w:p>
              </w:tc>
              <w:tc>
                <w:tcPr>
                  <w:tcW w:w="1260" w:type="dxa"/>
                  <w:tcBorders>
                    <w:left w:val="single" w:color="auto" w:sz="2" w:space="0"/>
                    <w:right w:val="single" w:color="auto" w:sz="12" w:space="0"/>
                  </w:tcBorders>
                  <w:noWrap/>
                  <w:vAlign w:val="center"/>
                </w:tcPr>
                <w:p>
                  <w:pPr>
                    <w:tabs>
                      <w:tab w:val="left" w:pos="4560"/>
                    </w:tabs>
                    <w:spacing w:line="360" w:lineRule="auto"/>
                    <w:jc w:val="center"/>
                    <w:rPr>
                      <w:rFonts w:hAnsi="宋体"/>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5" w:type="dxa"/>
                  <w:tcBorders>
                    <w:left w:val="single" w:color="auto" w:sz="12" w:space="0"/>
                    <w:right w:val="single" w:color="auto" w:sz="4" w:space="0"/>
                  </w:tcBorders>
                  <w:noWrap/>
                  <w:vAlign w:val="center"/>
                </w:tcPr>
                <w:p>
                  <w:pPr>
                    <w:pStyle w:val="4"/>
                    <w:ind w:firstLine="0" w:firstLineChars="0"/>
                    <w:jc w:val="center"/>
                    <w:rPr>
                      <w:szCs w:val="21"/>
                    </w:rPr>
                  </w:pPr>
                  <w:r>
                    <w:rPr>
                      <w:rFonts w:hint="eastAsia"/>
                      <w:szCs w:val="21"/>
                    </w:rPr>
                    <w:t>2</w:t>
                  </w:r>
                </w:p>
              </w:tc>
              <w:tc>
                <w:tcPr>
                  <w:tcW w:w="1735" w:type="dxa"/>
                  <w:tcBorders>
                    <w:left w:val="single" w:color="auto" w:sz="4" w:space="0"/>
                    <w:right w:val="single" w:color="auto" w:sz="4" w:space="0"/>
                  </w:tcBorders>
                  <w:noWrap/>
                  <w:vAlign w:val="center"/>
                </w:tcPr>
                <w:p>
                  <w:pPr>
                    <w:spacing w:line="360" w:lineRule="auto"/>
                    <w:jc w:val="center"/>
                  </w:pPr>
                  <w:r>
                    <w:t>空压机</w:t>
                  </w:r>
                </w:p>
              </w:tc>
              <w:tc>
                <w:tcPr>
                  <w:tcW w:w="2545" w:type="dxa"/>
                  <w:tcBorders>
                    <w:left w:val="single" w:color="auto" w:sz="4" w:space="0"/>
                    <w:right w:val="single" w:color="auto" w:sz="4" w:space="0"/>
                  </w:tcBorders>
                  <w:noWrap/>
                  <w:vAlign w:val="center"/>
                </w:tcPr>
                <w:p>
                  <w:pPr>
                    <w:spacing w:line="360" w:lineRule="auto"/>
                    <w:jc w:val="center"/>
                  </w:pPr>
                  <w:r>
                    <w:t>LGFYD-12/7</w:t>
                  </w:r>
                </w:p>
              </w:tc>
              <w:tc>
                <w:tcPr>
                  <w:tcW w:w="1297" w:type="dxa"/>
                  <w:tcBorders>
                    <w:left w:val="single" w:color="auto" w:sz="4" w:space="0"/>
                    <w:right w:val="single" w:color="auto" w:sz="4" w:space="0"/>
                  </w:tcBorders>
                  <w:noWrap/>
                  <w:vAlign w:val="center"/>
                </w:tcPr>
                <w:p>
                  <w:pPr>
                    <w:spacing w:line="360" w:lineRule="auto"/>
                    <w:jc w:val="center"/>
                  </w:pPr>
                  <w:r>
                    <w:rPr>
                      <w:rFonts w:hint="eastAsia"/>
                    </w:rPr>
                    <w:t>14</w:t>
                  </w:r>
                </w:p>
              </w:tc>
              <w:tc>
                <w:tcPr>
                  <w:tcW w:w="938" w:type="dxa"/>
                  <w:tcBorders>
                    <w:left w:val="single" w:color="auto" w:sz="4" w:space="0"/>
                    <w:right w:val="single" w:color="auto" w:sz="2" w:space="0"/>
                  </w:tcBorders>
                  <w:noWrap/>
                  <w:vAlign w:val="center"/>
                </w:tcPr>
                <w:p>
                  <w:pPr>
                    <w:tabs>
                      <w:tab w:val="left" w:pos="4560"/>
                    </w:tabs>
                    <w:spacing w:line="360" w:lineRule="auto"/>
                    <w:jc w:val="center"/>
                  </w:pPr>
                  <w:r>
                    <w:rPr>
                      <w:rFonts w:hAnsi="宋体"/>
                    </w:rPr>
                    <w:t>台</w:t>
                  </w:r>
                </w:p>
              </w:tc>
              <w:tc>
                <w:tcPr>
                  <w:tcW w:w="1260" w:type="dxa"/>
                  <w:tcBorders>
                    <w:left w:val="single" w:color="auto" w:sz="2" w:space="0"/>
                    <w:right w:val="single" w:color="auto" w:sz="12" w:space="0"/>
                  </w:tcBorders>
                  <w:noWrap/>
                  <w:vAlign w:val="center"/>
                </w:tcPr>
                <w:p>
                  <w:pPr>
                    <w:tabs>
                      <w:tab w:val="left" w:pos="4560"/>
                    </w:tabs>
                    <w:spacing w:line="360" w:lineRule="auto"/>
                    <w:jc w:val="center"/>
                    <w:rPr>
                      <w:rFonts w:hAnsi="宋体"/>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5" w:type="dxa"/>
                  <w:tcBorders>
                    <w:left w:val="single" w:color="auto" w:sz="12" w:space="0"/>
                    <w:right w:val="single" w:color="auto" w:sz="4" w:space="0"/>
                  </w:tcBorders>
                  <w:noWrap/>
                  <w:vAlign w:val="center"/>
                </w:tcPr>
                <w:p>
                  <w:pPr>
                    <w:pStyle w:val="4"/>
                    <w:ind w:firstLine="0" w:firstLineChars="0"/>
                    <w:jc w:val="center"/>
                    <w:rPr>
                      <w:szCs w:val="21"/>
                    </w:rPr>
                  </w:pPr>
                  <w:r>
                    <w:rPr>
                      <w:rFonts w:hint="eastAsia"/>
                      <w:szCs w:val="21"/>
                    </w:rPr>
                    <w:t>3</w:t>
                  </w:r>
                </w:p>
              </w:tc>
              <w:tc>
                <w:tcPr>
                  <w:tcW w:w="1735" w:type="dxa"/>
                  <w:tcBorders>
                    <w:left w:val="single" w:color="auto" w:sz="4" w:space="0"/>
                    <w:right w:val="single" w:color="auto" w:sz="4" w:space="0"/>
                  </w:tcBorders>
                  <w:noWrap/>
                  <w:vAlign w:val="center"/>
                </w:tcPr>
                <w:p>
                  <w:pPr>
                    <w:spacing w:line="360" w:lineRule="auto"/>
                    <w:jc w:val="center"/>
                  </w:pPr>
                  <w:r>
                    <w:rPr>
                      <w:rFonts w:hint="eastAsia"/>
                    </w:rPr>
                    <w:t>圆</w:t>
                  </w:r>
                  <w:r>
                    <w:t>盘锯</w:t>
                  </w:r>
                </w:p>
              </w:tc>
              <w:tc>
                <w:tcPr>
                  <w:tcW w:w="2545" w:type="dxa"/>
                  <w:tcBorders>
                    <w:left w:val="single" w:color="auto" w:sz="4" w:space="0"/>
                    <w:right w:val="single" w:color="auto" w:sz="4" w:space="0"/>
                  </w:tcBorders>
                  <w:noWrap/>
                  <w:vAlign w:val="center"/>
                </w:tcPr>
                <w:p>
                  <w:pPr>
                    <w:spacing w:line="360" w:lineRule="auto"/>
                    <w:jc w:val="center"/>
                  </w:pPr>
                  <w:r>
                    <w:t>YXJX-3000</w:t>
                  </w:r>
                  <w:r>
                    <w:rPr>
                      <w:rFonts w:hint="eastAsia"/>
                    </w:rPr>
                    <w:t>双片锯石机</w:t>
                  </w:r>
                </w:p>
              </w:tc>
              <w:tc>
                <w:tcPr>
                  <w:tcW w:w="1297" w:type="dxa"/>
                  <w:tcBorders>
                    <w:left w:val="single" w:color="auto" w:sz="4" w:space="0"/>
                    <w:right w:val="single" w:color="auto" w:sz="4" w:space="0"/>
                  </w:tcBorders>
                  <w:noWrap/>
                  <w:vAlign w:val="center"/>
                </w:tcPr>
                <w:p>
                  <w:pPr>
                    <w:spacing w:line="360" w:lineRule="auto"/>
                    <w:jc w:val="center"/>
                  </w:pPr>
                  <w:r>
                    <w:rPr>
                      <w:rFonts w:hint="eastAsia"/>
                    </w:rPr>
                    <w:t>37</w:t>
                  </w:r>
                </w:p>
              </w:tc>
              <w:tc>
                <w:tcPr>
                  <w:tcW w:w="938" w:type="dxa"/>
                  <w:tcBorders>
                    <w:left w:val="single" w:color="auto" w:sz="4" w:space="0"/>
                    <w:right w:val="single" w:color="auto" w:sz="2" w:space="0"/>
                  </w:tcBorders>
                  <w:noWrap/>
                  <w:vAlign w:val="center"/>
                </w:tcPr>
                <w:p>
                  <w:pPr>
                    <w:tabs>
                      <w:tab w:val="left" w:pos="4560"/>
                    </w:tabs>
                    <w:spacing w:line="360" w:lineRule="auto"/>
                    <w:jc w:val="center"/>
                  </w:pPr>
                  <w:r>
                    <w:rPr>
                      <w:rFonts w:hAnsi="宋体"/>
                    </w:rPr>
                    <w:t>台</w:t>
                  </w:r>
                </w:p>
              </w:tc>
              <w:tc>
                <w:tcPr>
                  <w:tcW w:w="1260" w:type="dxa"/>
                  <w:tcBorders>
                    <w:left w:val="single" w:color="auto" w:sz="2" w:space="0"/>
                    <w:right w:val="single" w:color="auto" w:sz="12" w:space="0"/>
                  </w:tcBorders>
                  <w:noWrap/>
                  <w:vAlign w:val="center"/>
                </w:tcPr>
                <w:p>
                  <w:pPr>
                    <w:tabs>
                      <w:tab w:val="left" w:pos="4560"/>
                    </w:tabs>
                    <w:spacing w:line="360" w:lineRule="auto"/>
                    <w:jc w:val="center"/>
                    <w:rPr>
                      <w:rFonts w:hAnsi="宋体"/>
                    </w:rPr>
                  </w:pPr>
                  <w:r>
                    <w:rPr>
                      <w:rFonts w:hint="eastAsia" w:hAnsi="宋体"/>
                    </w:rPr>
                    <w:t>备用2台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5" w:type="dxa"/>
                  <w:tcBorders>
                    <w:left w:val="single" w:color="auto" w:sz="12" w:space="0"/>
                    <w:right w:val="single" w:color="auto" w:sz="4" w:space="0"/>
                  </w:tcBorders>
                  <w:noWrap/>
                  <w:vAlign w:val="center"/>
                </w:tcPr>
                <w:p>
                  <w:pPr>
                    <w:pStyle w:val="4"/>
                    <w:ind w:firstLine="0" w:firstLineChars="0"/>
                    <w:jc w:val="center"/>
                    <w:rPr>
                      <w:szCs w:val="21"/>
                    </w:rPr>
                  </w:pPr>
                  <w:r>
                    <w:rPr>
                      <w:rFonts w:hint="eastAsia"/>
                      <w:szCs w:val="21"/>
                    </w:rPr>
                    <w:t>4</w:t>
                  </w:r>
                </w:p>
              </w:tc>
              <w:tc>
                <w:tcPr>
                  <w:tcW w:w="1735" w:type="dxa"/>
                  <w:tcBorders>
                    <w:left w:val="single" w:color="auto" w:sz="4" w:space="0"/>
                    <w:right w:val="single" w:color="auto" w:sz="4" w:space="0"/>
                  </w:tcBorders>
                  <w:noWrap/>
                  <w:vAlign w:val="center"/>
                </w:tcPr>
                <w:p>
                  <w:pPr>
                    <w:spacing w:line="360" w:lineRule="auto"/>
                    <w:jc w:val="center"/>
                  </w:pPr>
                  <w:r>
                    <w:t>水平钻</w:t>
                  </w:r>
                </w:p>
              </w:tc>
              <w:tc>
                <w:tcPr>
                  <w:tcW w:w="2545" w:type="dxa"/>
                  <w:tcBorders>
                    <w:left w:val="single" w:color="auto" w:sz="4" w:space="0"/>
                    <w:right w:val="single" w:color="auto" w:sz="4" w:space="0"/>
                  </w:tcBorders>
                  <w:noWrap/>
                  <w:vAlign w:val="center"/>
                </w:tcPr>
                <w:p>
                  <w:pPr>
                    <w:spacing w:line="360" w:lineRule="auto"/>
                    <w:jc w:val="center"/>
                  </w:pPr>
                  <w:r>
                    <w:t>/</w:t>
                  </w:r>
                </w:p>
              </w:tc>
              <w:tc>
                <w:tcPr>
                  <w:tcW w:w="1297" w:type="dxa"/>
                  <w:tcBorders>
                    <w:left w:val="single" w:color="auto" w:sz="4" w:space="0"/>
                    <w:right w:val="single" w:color="auto" w:sz="4" w:space="0"/>
                  </w:tcBorders>
                  <w:noWrap/>
                  <w:vAlign w:val="center"/>
                </w:tcPr>
                <w:p>
                  <w:pPr>
                    <w:spacing w:line="360" w:lineRule="auto"/>
                    <w:jc w:val="center"/>
                  </w:pPr>
                  <w:r>
                    <w:rPr>
                      <w:rFonts w:hint="eastAsia"/>
                    </w:rPr>
                    <w:t>42</w:t>
                  </w:r>
                </w:p>
              </w:tc>
              <w:tc>
                <w:tcPr>
                  <w:tcW w:w="938" w:type="dxa"/>
                  <w:tcBorders>
                    <w:left w:val="single" w:color="auto" w:sz="4" w:space="0"/>
                    <w:right w:val="single" w:color="auto" w:sz="2" w:space="0"/>
                  </w:tcBorders>
                  <w:noWrap/>
                  <w:vAlign w:val="center"/>
                </w:tcPr>
                <w:p>
                  <w:pPr>
                    <w:tabs>
                      <w:tab w:val="left" w:pos="4560"/>
                    </w:tabs>
                    <w:spacing w:line="360" w:lineRule="auto"/>
                    <w:jc w:val="center"/>
                  </w:pPr>
                  <w:r>
                    <w:rPr>
                      <w:rFonts w:hAnsi="宋体"/>
                    </w:rPr>
                    <w:t>台</w:t>
                  </w:r>
                </w:p>
              </w:tc>
              <w:tc>
                <w:tcPr>
                  <w:tcW w:w="1260" w:type="dxa"/>
                  <w:tcBorders>
                    <w:left w:val="single" w:color="auto" w:sz="2" w:space="0"/>
                    <w:right w:val="single" w:color="auto" w:sz="12" w:space="0"/>
                  </w:tcBorders>
                  <w:noWrap/>
                  <w:vAlign w:val="center"/>
                </w:tcPr>
                <w:p>
                  <w:pPr>
                    <w:tabs>
                      <w:tab w:val="left" w:pos="4560"/>
                    </w:tabs>
                    <w:spacing w:line="360" w:lineRule="auto"/>
                    <w:jc w:val="center"/>
                    <w:rPr>
                      <w:rFonts w:hAnsi="宋体"/>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5" w:type="dxa"/>
                  <w:tcBorders>
                    <w:left w:val="single" w:color="auto" w:sz="12" w:space="0"/>
                    <w:right w:val="single" w:color="auto" w:sz="4" w:space="0"/>
                  </w:tcBorders>
                  <w:noWrap/>
                  <w:vAlign w:val="center"/>
                </w:tcPr>
                <w:p>
                  <w:pPr>
                    <w:pStyle w:val="4"/>
                    <w:ind w:firstLine="0" w:firstLineChars="0"/>
                    <w:jc w:val="center"/>
                    <w:rPr>
                      <w:szCs w:val="21"/>
                    </w:rPr>
                  </w:pPr>
                  <w:r>
                    <w:rPr>
                      <w:rFonts w:hint="eastAsia"/>
                      <w:szCs w:val="21"/>
                    </w:rPr>
                    <w:t>5</w:t>
                  </w:r>
                </w:p>
              </w:tc>
              <w:tc>
                <w:tcPr>
                  <w:tcW w:w="1735" w:type="dxa"/>
                  <w:tcBorders>
                    <w:left w:val="single" w:color="auto" w:sz="4" w:space="0"/>
                    <w:right w:val="single" w:color="auto" w:sz="4" w:space="0"/>
                  </w:tcBorders>
                  <w:noWrap/>
                  <w:vAlign w:val="center"/>
                </w:tcPr>
                <w:p>
                  <w:pPr>
                    <w:spacing w:line="360" w:lineRule="auto"/>
                    <w:jc w:val="center"/>
                  </w:pPr>
                  <w:r>
                    <w:rPr>
                      <w:rFonts w:hAnsi="宋体"/>
                    </w:rPr>
                    <w:t>装载机</w:t>
                  </w:r>
                </w:p>
              </w:tc>
              <w:tc>
                <w:tcPr>
                  <w:tcW w:w="2545" w:type="dxa"/>
                  <w:tcBorders>
                    <w:left w:val="single" w:color="auto" w:sz="4" w:space="0"/>
                    <w:right w:val="single" w:color="auto" w:sz="4" w:space="0"/>
                  </w:tcBorders>
                  <w:noWrap/>
                  <w:vAlign w:val="center"/>
                </w:tcPr>
                <w:p>
                  <w:pPr>
                    <w:tabs>
                      <w:tab w:val="left" w:pos="4560"/>
                    </w:tabs>
                    <w:spacing w:line="360" w:lineRule="auto"/>
                    <w:jc w:val="center"/>
                  </w:pPr>
                  <w:r>
                    <w:t>ZL60E</w:t>
                  </w:r>
                </w:p>
              </w:tc>
              <w:tc>
                <w:tcPr>
                  <w:tcW w:w="1297" w:type="dxa"/>
                  <w:tcBorders>
                    <w:left w:val="single" w:color="auto" w:sz="4" w:space="0"/>
                    <w:right w:val="single" w:color="auto" w:sz="4" w:space="0"/>
                  </w:tcBorders>
                  <w:noWrap/>
                  <w:vAlign w:val="center"/>
                </w:tcPr>
                <w:p>
                  <w:pPr>
                    <w:tabs>
                      <w:tab w:val="left" w:pos="4560"/>
                    </w:tabs>
                    <w:spacing w:line="360" w:lineRule="auto"/>
                    <w:jc w:val="center"/>
                    <w:rPr>
                      <w:bCs/>
                    </w:rPr>
                  </w:pPr>
                  <w:r>
                    <w:rPr>
                      <w:rFonts w:hint="eastAsia"/>
                      <w:bCs/>
                    </w:rPr>
                    <w:t>23</w:t>
                  </w:r>
                </w:p>
              </w:tc>
              <w:tc>
                <w:tcPr>
                  <w:tcW w:w="938" w:type="dxa"/>
                  <w:tcBorders>
                    <w:left w:val="single" w:color="auto" w:sz="4" w:space="0"/>
                    <w:right w:val="single" w:color="auto" w:sz="2" w:space="0"/>
                  </w:tcBorders>
                  <w:noWrap/>
                  <w:vAlign w:val="center"/>
                </w:tcPr>
                <w:p>
                  <w:pPr>
                    <w:tabs>
                      <w:tab w:val="left" w:pos="4560"/>
                    </w:tabs>
                    <w:spacing w:line="360" w:lineRule="auto"/>
                    <w:jc w:val="center"/>
                  </w:pPr>
                  <w:r>
                    <w:rPr>
                      <w:rFonts w:hAnsi="宋体"/>
                    </w:rPr>
                    <w:t>台</w:t>
                  </w:r>
                </w:p>
              </w:tc>
              <w:tc>
                <w:tcPr>
                  <w:tcW w:w="1260" w:type="dxa"/>
                  <w:tcBorders>
                    <w:left w:val="single" w:color="auto" w:sz="2" w:space="0"/>
                    <w:right w:val="single" w:color="auto" w:sz="12" w:space="0"/>
                  </w:tcBorders>
                  <w:noWrap/>
                  <w:vAlign w:val="center"/>
                </w:tcPr>
                <w:p>
                  <w:pPr>
                    <w:tabs>
                      <w:tab w:val="left" w:pos="4560"/>
                    </w:tabs>
                    <w:spacing w:line="360" w:lineRule="auto"/>
                    <w:jc w:val="center"/>
                    <w:rPr>
                      <w:rFonts w:hAnsi="宋体"/>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5" w:type="dxa"/>
                  <w:tcBorders>
                    <w:left w:val="single" w:color="auto" w:sz="12" w:space="0"/>
                    <w:right w:val="single" w:color="auto" w:sz="4" w:space="0"/>
                  </w:tcBorders>
                  <w:noWrap/>
                  <w:vAlign w:val="center"/>
                </w:tcPr>
                <w:p>
                  <w:pPr>
                    <w:pStyle w:val="4"/>
                    <w:ind w:firstLine="0" w:firstLineChars="0"/>
                    <w:jc w:val="center"/>
                    <w:rPr>
                      <w:szCs w:val="21"/>
                    </w:rPr>
                  </w:pPr>
                  <w:r>
                    <w:rPr>
                      <w:rFonts w:hint="eastAsia"/>
                      <w:szCs w:val="21"/>
                    </w:rPr>
                    <w:t>6</w:t>
                  </w:r>
                </w:p>
              </w:tc>
              <w:tc>
                <w:tcPr>
                  <w:tcW w:w="1735" w:type="dxa"/>
                  <w:tcBorders>
                    <w:left w:val="single" w:color="auto" w:sz="4" w:space="0"/>
                    <w:right w:val="single" w:color="auto" w:sz="4" w:space="0"/>
                  </w:tcBorders>
                  <w:noWrap/>
                  <w:vAlign w:val="center"/>
                </w:tcPr>
                <w:p>
                  <w:pPr>
                    <w:spacing w:line="360" w:lineRule="auto"/>
                    <w:jc w:val="center"/>
                  </w:pPr>
                  <w:r>
                    <w:rPr>
                      <w:rFonts w:hAnsi="宋体"/>
                    </w:rPr>
                    <w:t>桅杆吊</w:t>
                  </w:r>
                </w:p>
              </w:tc>
              <w:tc>
                <w:tcPr>
                  <w:tcW w:w="2545" w:type="dxa"/>
                  <w:tcBorders>
                    <w:left w:val="single" w:color="auto" w:sz="4" w:space="0"/>
                    <w:right w:val="single" w:color="auto" w:sz="4" w:space="0"/>
                  </w:tcBorders>
                  <w:noWrap/>
                  <w:vAlign w:val="center"/>
                </w:tcPr>
                <w:p>
                  <w:pPr>
                    <w:tabs>
                      <w:tab w:val="left" w:pos="4560"/>
                    </w:tabs>
                    <w:spacing w:line="360" w:lineRule="auto"/>
                    <w:jc w:val="center"/>
                  </w:pPr>
                  <w:r>
                    <w:t xml:space="preserve">DS-30t/40m </w:t>
                  </w:r>
                  <w:r>
                    <w:rPr>
                      <w:rFonts w:hAnsi="宋体"/>
                    </w:rPr>
                    <w:t>桅杆式</w:t>
                  </w:r>
                  <w:r>
                    <w:rPr>
                      <w:rFonts w:hint="eastAsia" w:hAnsi="宋体"/>
                    </w:rPr>
                    <w:t>起重机</w:t>
                  </w:r>
                </w:p>
              </w:tc>
              <w:tc>
                <w:tcPr>
                  <w:tcW w:w="1297" w:type="dxa"/>
                  <w:tcBorders>
                    <w:left w:val="single" w:color="auto" w:sz="4" w:space="0"/>
                    <w:right w:val="single" w:color="auto" w:sz="4" w:space="0"/>
                  </w:tcBorders>
                  <w:noWrap/>
                  <w:vAlign w:val="center"/>
                </w:tcPr>
                <w:p>
                  <w:pPr>
                    <w:tabs>
                      <w:tab w:val="left" w:pos="4560"/>
                    </w:tabs>
                    <w:spacing w:line="360" w:lineRule="auto"/>
                    <w:jc w:val="center"/>
                    <w:rPr>
                      <w:bCs/>
                    </w:rPr>
                  </w:pPr>
                  <w:r>
                    <w:rPr>
                      <w:rFonts w:hint="eastAsia"/>
                      <w:bCs/>
                    </w:rPr>
                    <w:t>23</w:t>
                  </w:r>
                </w:p>
              </w:tc>
              <w:tc>
                <w:tcPr>
                  <w:tcW w:w="938" w:type="dxa"/>
                  <w:tcBorders>
                    <w:left w:val="single" w:color="auto" w:sz="4" w:space="0"/>
                    <w:right w:val="single" w:color="auto" w:sz="2" w:space="0"/>
                  </w:tcBorders>
                  <w:noWrap/>
                  <w:vAlign w:val="center"/>
                </w:tcPr>
                <w:p>
                  <w:pPr>
                    <w:tabs>
                      <w:tab w:val="left" w:pos="4560"/>
                    </w:tabs>
                    <w:spacing w:line="360" w:lineRule="auto"/>
                    <w:jc w:val="center"/>
                  </w:pPr>
                  <w:r>
                    <w:rPr>
                      <w:rFonts w:hAnsi="宋体"/>
                    </w:rPr>
                    <w:t>个</w:t>
                  </w:r>
                </w:p>
              </w:tc>
              <w:tc>
                <w:tcPr>
                  <w:tcW w:w="1260" w:type="dxa"/>
                  <w:tcBorders>
                    <w:left w:val="single" w:color="auto" w:sz="2" w:space="0"/>
                    <w:right w:val="single" w:color="auto" w:sz="12" w:space="0"/>
                  </w:tcBorders>
                  <w:noWrap/>
                  <w:vAlign w:val="center"/>
                </w:tcPr>
                <w:p>
                  <w:pPr>
                    <w:tabs>
                      <w:tab w:val="left" w:pos="4560"/>
                    </w:tabs>
                    <w:spacing w:line="360" w:lineRule="auto"/>
                    <w:jc w:val="center"/>
                    <w:rPr>
                      <w:rFonts w:hAnsi="宋体"/>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5" w:type="dxa"/>
                  <w:tcBorders>
                    <w:left w:val="single" w:color="auto" w:sz="12" w:space="0"/>
                    <w:right w:val="single" w:color="auto" w:sz="4" w:space="0"/>
                  </w:tcBorders>
                  <w:noWrap/>
                  <w:vAlign w:val="center"/>
                </w:tcPr>
                <w:p>
                  <w:pPr>
                    <w:pStyle w:val="4"/>
                    <w:ind w:firstLine="0" w:firstLineChars="0"/>
                    <w:jc w:val="center"/>
                    <w:rPr>
                      <w:szCs w:val="21"/>
                    </w:rPr>
                  </w:pPr>
                  <w:r>
                    <w:rPr>
                      <w:rFonts w:hint="eastAsia"/>
                      <w:szCs w:val="21"/>
                    </w:rPr>
                    <w:t>7</w:t>
                  </w:r>
                </w:p>
              </w:tc>
              <w:tc>
                <w:tcPr>
                  <w:tcW w:w="1735" w:type="dxa"/>
                  <w:tcBorders>
                    <w:left w:val="single" w:color="auto" w:sz="4" w:space="0"/>
                    <w:right w:val="single" w:color="auto" w:sz="4" w:space="0"/>
                  </w:tcBorders>
                  <w:noWrap/>
                  <w:vAlign w:val="center"/>
                </w:tcPr>
                <w:p>
                  <w:pPr>
                    <w:spacing w:line="360" w:lineRule="auto"/>
                    <w:jc w:val="center"/>
                  </w:pPr>
                  <w:r>
                    <w:rPr>
                      <w:rFonts w:hAnsi="宋体"/>
                    </w:rPr>
                    <w:t>绳锯</w:t>
                  </w:r>
                </w:p>
              </w:tc>
              <w:tc>
                <w:tcPr>
                  <w:tcW w:w="2545" w:type="dxa"/>
                  <w:tcBorders>
                    <w:left w:val="single" w:color="auto" w:sz="4" w:space="0"/>
                    <w:right w:val="single" w:color="auto" w:sz="4" w:space="0"/>
                  </w:tcBorders>
                  <w:noWrap/>
                  <w:vAlign w:val="center"/>
                </w:tcPr>
                <w:p>
                  <w:pPr>
                    <w:tabs>
                      <w:tab w:val="left" w:pos="4560"/>
                    </w:tabs>
                    <w:spacing w:line="360" w:lineRule="auto"/>
                    <w:jc w:val="center"/>
                  </w:pPr>
                  <w:r>
                    <w:t>JLX-374</w:t>
                  </w:r>
                </w:p>
              </w:tc>
              <w:tc>
                <w:tcPr>
                  <w:tcW w:w="1297" w:type="dxa"/>
                  <w:tcBorders>
                    <w:left w:val="single" w:color="auto" w:sz="4" w:space="0"/>
                    <w:right w:val="single" w:color="auto" w:sz="4" w:space="0"/>
                  </w:tcBorders>
                  <w:noWrap/>
                  <w:vAlign w:val="center"/>
                </w:tcPr>
                <w:p>
                  <w:pPr>
                    <w:tabs>
                      <w:tab w:val="left" w:pos="4560"/>
                    </w:tabs>
                    <w:spacing w:line="360" w:lineRule="auto"/>
                    <w:jc w:val="center"/>
                    <w:rPr>
                      <w:bCs/>
                    </w:rPr>
                  </w:pPr>
                  <w:r>
                    <w:rPr>
                      <w:rFonts w:hint="eastAsia"/>
                      <w:bCs/>
                    </w:rPr>
                    <w:t>40</w:t>
                  </w:r>
                </w:p>
              </w:tc>
              <w:tc>
                <w:tcPr>
                  <w:tcW w:w="938" w:type="dxa"/>
                  <w:tcBorders>
                    <w:left w:val="single" w:color="auto" w:sz="4" w:space="0"/>
                    <w:right w:val="single" w:color="auto" w:sz="2" w:space="0"/>
                  </w:tcBorders>
                  <w:noWrap/>
                  <w:vAlign w:val="center"/>
                </w:tcPr>
                <w:p>
                  <w:pPr>
                    <w:tabs>
                      <w:tab w:val="left" w:pos="4560"/>
                    </w:tabs>
                    <w:spacing w:line="360" w:lineRule="auto"/>
                    <w:jc w:val="center"/>
                  </w:pPr>
                  <w:r>
                    <w:rPr>
                      <w:rFonts w:hAnsi="宋体"/>
                    </w:rPr>
                    <w:t>台</w:t>
                  </w:r>
                </w:p>
              </w:tc>
              <w:tc>
                <w:tcPr>
                  <w:tcW w:w="1260" w:type="dxa"/>
                  <w:tcBorders>
                    <w:left w:val="single" w:color="auto" w:sz="2" w:space="0"/>
                    <w:right w:val="single" w:color="auto" w:sz="12" w:space="0"/>
                  </w:tcBorders>
                  <w:noWrap/>
                  <w:vAlign w:val="center"/>
                </w:tcPr>
                <w:p>
                  <w:pPr>
                    <w:tabs>
                      <w:tab w:val="left" w:pos="4560"/>
                    </w:tabs>
                    <w:spacing w:line="360" w:lineRule="auto"/>
                    <w:jc w:val="center"/>
                    <w:rPr>
                      <w:rFonts w:hAnsi="宋体"/>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5" w:type="dxa"/>
                  <w:tcBorders>
                    <w:left w:val="single" w:color="auto" w:sz="12" w:space="0"/>
                    <w:right w:val="single" w:color="auto" w:sz="4" w:space="0"/>
                  </w:tcBorders>
                  <w:noWrap/>
                  <w:vAlign w:val="center"/>
                </w:tcPr>
                <w:p>
                  <w:pPr>
                    <w:pStyle w:val="4"/>
                    <w:ind w:firstLine="0" w:firstLineChars="0"/>
                    <w:jc w:val="center"/>
                    <w:rPr>
                      <w:szCs w:val="21"/>
                    </w:rPr>
                  </w:pPr>
                  <w:r>
                    <w:rPr>
                      <w:rFonts w:hint="eastAsia"/>
                      <w:szCs w:val="21"/>
                    </w:rPr>
                    <w:t>8</w:t>
                  </w:r>
                </w:p>
              </w:tc>
              <w:tc>
                <w:tcPr>
                  <w:tcW w:w="1735" w:type="dxa"/>
                  <w:tcBorders>
                    <w:left w:val="single" w:color="auto" w:sz="4" w:space="0"/>
                    <w:right w:val="single" w:color="auto" w:sz="4" w:space="0"/>
                  </w:tcBorders>
                  <w:noWrap/>
                  <w:vAlign w:val="center"/>
                </w:tcPr>
                <w:p>
                  <w:pPr>
                    <w:spacing w:line="360" w:lineRule="auto"/>
                    <w:jc w:val="center"/>
                  </w:pPr>
                  <w:r>
                    <w:rPr>
                      <w:rFonts w:hAnsi="宋体"/>
                    </w:rPr>
                    <w:t>自卸车</w:t>
                  </w:r>
                </w:p>
              </w:tc>
              <w:tc>
                <w:tcPr>
                  <w:tcW w:w="2545" w:type="dxa"/>
                  <w:tcBorders>
                    <w:left w:val="single" w:color="auto" w:sz="4" w:space="0"/>
                    <w:right w:val="single" w:color="auto" w:sz="4" w:space="0"/>
                  </w:tcBorders>
                  <w:noWrap/>
                  <w:vAlign w:val="center"/>
                </w:tcPr>
                <w:p>
                  <w:pPr>
                    <w:tabs>
                      <w:tab w:val="left" w:pos="4560"/>
                    </w:tabs>
                    <w:spacing w:line="360" w:lineRule="auto"/>
                    <w:jc w:val="center"/>
                  </w:pPr>
                  <w:r>
                    <w:t>12T</w:t>
                  </w:r>
                </w:p>
              </w:tc>
              <w:tc>
                <w:tcPr>
                  <w:tcW w:w="1297" w:type="dxa"/>
                  <w:tcBorders>
                    <w:left w:val="single" w:color="auto" w:sz="4" w:space="0"/>
                    <w:right w:val="single" w:color="auto" w:sz="4" w:space="0"/>
                  </w:tcBorders>
                  <w:noWrap/>
                  <w:vAlign w:val="center"/>
                </w:tcPr>
                <w:p>
                  <w:pPr>
                    <w:tabs>
                      <w:tab w:val="left" w:pos="4560"/>
                    </w:tabs>
                    <w:spacing w:line="360" w:lineRule="auto"/>
                    <w:jc w:val="center"/>
                    <w:rPr>
                      <w:bCs/>
                    </w:rPr>
                  </w:pPr>
                  <w:r>
                    <w:rPr>
                      <w:rFonts w:hint="eastAsia"/>
                      <w:bCs/>
                    </w:rPr>
                    <w:t>78</w:t>
                  </w:r>
                </w:p>
              </w:tc>
              <w:tc>
                <w:tcPr>
                  <w:tcW w:w="938" w:type="dxa"/>
                  <w:tcBorders>
                    <w:left w:val="single" w:color="auto" w:sz="4" w:space="0"/>
                    <w:right w:val="single" w:color="auto" w:sz="2" w:space="0"/>
                  </w:tcBorders>
                  <w:noWrap/>
                  <w:vAlign w:val="center"/>
                </w:tcPr>
                <w:p>
                  <w:pPr>
                    <w:tabs>
                      <w:tab w:val="left" w:pos="4560"/>
                    </w:tabs>
                    <w:spacing w:line="360" w:lineRule="auto"/>
                    <w:jc w:val="center"/>
                  </w:pPr>
                  <w:r>
                    <w:rPr>
                      <w:rFonts w:hAnsi="宋体"/>
                    </w:rPr>
                    <w:t>部</w:t>
                  </w:r>
                </w:p>
              </w:tc>
              <w:tc>
                <w:tcPr>
                  <w:tcW w:w="1260" w:type="dxa"/>
                  <w:tcBorders>
                    <w:left w:val="single" w:color="auto" w:sz="2" w:space="0"/>
                    <w:right w:val="single" w:color="auto" w:sz="12" w:space="0"/>
                  </w:tcBorders>
                  <w:noWrap/>
                  <w:vAlign w:val="center"/>
                </w:tcPr>
                <w:p>
                  <w:pPr>
                    <w:tabs>
                      <w:tab w:val="left" w:pos="4560"/>
                    </w:tabs>
                    <w:spacing w:line="360" w:lineRule="auto"/>
                    <w:jc w:val="center"/>
                    <w:rPr>
                      <w:rFonts w:hAnsi="宋体"/>
                    </w:rPr>
                  </w:pPr>
                  <w:r>
                    <w:rPr>
                      <w:rFonts w:hint="eastAsia" w:hAnsi="宋体"/>
                    </w:rPr>
                    <w:t>备用2台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5" w:type="dxa"/>
                  <w:tcBorders>
                    <w:left w:val="single" w:color="auto" w:sz="12" w:space="0"/>
                    <w:right w:val="single" w:color="auto" w:sz="4" w:space="0"/>
                  </w:tcBorders>
                  <w:noWrap/>
                  <w:vAlign w:val="center"/>
                </w:tcPr>
                <w:p>
                  <w:pPr>
                    <w:pStyle w:val="4"/>
                    <w:ind w:firstLine="0" w:firstLineChars="0"/>
                    <w:jc w:val="center"/>
                    <w:rPr>
                      <w:szCs w:val="21"/>
                    </w:rPr>
                  </w:pPr>
                  <w:r>
                    <w:rPr>
                      <w:rFonts w:hint="eastAsia"/>
                      <w:szCs w:val="21"/>
                    </w:rPr>
                    <w:t>9</w:t>
                  </w:r>
                </w:p>
              </w:tc>
              <w:tc>
                <w:tcPr>
                  <w:tcW w:w="1735" w:type="dxa"/>
                  <w:tcBorders>
                    <w:left w:val="single" w:color="auto" w:sz="4" w:space="0"/>
                    <w:right w:val="single" w:color="auto" w:sz="4" w:space="0"/>
                  </w:tcBorders>
                  <w:noWrap/>
                  <w:vAlign w:val="center"/>
                </w:tcPr>
                <w:p>
                  <w:pPr>
                    <w:spacing w:line="360" w:lineRule="auto"/>
                    <w:jc w:val="center"/>
                  </w:pPr>
                  <w:r>
                    <w:rPr>
                      <w:rFonts w:hAnsi="宋体"/>
                    </w:rPr>
                    <w:t>水泵</w:t>
                  </w:r>
                </w:p>
              </w:tc>
              <w:tc>
                <w:tcPr>
                  <w:tcW w:w="2545" w:type="dxa"/>
                  <w:tcBorders>
                    <w:left w:val="single" w:color="auto" w:sz="4" w:space="0"/>
                    <w:right w:val="single" w:color="auto" w:sz="4" w:space="0"/>
                  </w:tcBorders>
                  <w:noWrap/>
                  <w:vAlign w:val="center"/>
                </w:tcPr>
                <w:p>
                  <w:pPr>
                    <w:tabs>
                      <w:tab w:val="left" w:pos="4560"/>
                    </w:tabs>
                    <w:spacing w:line="360" w:lineRule="auto"/>
                    <w:jc w:val="center"/>
                  </w:pPr>
                  <w:r>
                    <w:rPr>
                      <w:rFonts w:hint="eastAsia"/>
                    </w:rPr>
                    <w:t>潜水泵</w:t>
                  </w:r>
                </w:p>
              </w:tc>
              <w:tc>
                <w:tcPr>
                  <w:tcW w:w="1297" w:type="dxa"/>
                  <w:tcBorders>
                    <w:left w:val="single" w:color="auto" w:sz="4" w:space="0"/>
                    <w:right w:val="single" w:color="auto" w:sz="4" w:space="0"/>
                  </w:tcBorders>
                  <w:noWrap/>
                  <w:vAlign w:val="center"/>
                </w:tcPr>
                <w:p>
                  <w:pPr>
                    <w:tabs>
                      <w:tab w:val="left" w:pos="4560"/>
                    </w:tabs>
                    <w:spacing w:line="360" w:lineRule="auto"/>
                    <w:jc w:val="center"/>
                    <w:rPr>
                      <w:bCs/>
                    </w:rPr>
                  </w:pPr>
                  <w:r>
                    <w:rPr>
                      <w:rFonts w:hint="eastAsia"/>
                      <w:bCs/>
                    </w:rPr>
                    <w:t>10</w:t>
                  </w:r>
                </w:p>
              </w:tc>
              <w:tc>
                <w:tcPr>
                  <w:tcW w:w="938" w:type="dxa"/>
                  <w:tcBorders>
                    <w:left w:val="single" w:color="auto" w:sz="4" w:space="0"/>
                    <w:right w:val="single" w:color="auto" w:sz="2" w:space="0"/>
                  </w:tcBorders>
                  <w:noWrap/>
                  <w:vAlign w:val="center"/>
                </w:tcPr>
                <w:p>
                  <w:pPr>
                    <w:tabs>
                      <w:tab w:val="left" w:pos="4560"/>
                    </w:tabs>
                    <w:spacing w:line="360" w:lineRule="auto"/>
                    <w:jc w:val="center"/>
                  </w:pPr>
                  <w:r>
                    <w:rPr>
                      <w:rFonts w:hAnsi="宋体"/>
                    </w:rPr>
                    <w:t>台</w:t>
                  </w:r>
                </w:p>
              </w:tc>
              <w:tc>
                <w:tcPr>
                  <w:tcW w:w="1260" w:type="dxa"/>
                  <w:tcBorders>
                    <w:left w:val="single" w:color="auto" w:sz="2" w:space="0"/>
                    <w:right w:val="single" w:color="auto" w:sz="12" w:space="0"/>
                  </w:tcBorders>
                  <w:noWrap/>
                  <w:vAlign w:val="center"/>
                </w:tcPr>
                <w:p>
                  <w:pPr>
                    <w:tabs>
                      <w:tab w:val="left" w:pos="4560"/>
                    </w:tabs>
                    <w:spacing w:line="360" w:lineRule="auto"/>
                    <w:jc w:val="center"/>
                    <w:rPr>
                      <w:rFonts w:hAnsi="宋体"/>
                    </w:rPr>
                  </w:pPr>
                  <w:r>
                    <w:rPr>
                      <w:rFonts w:hint="eastAsia" w:hAnsi="宋体"/>
                    </w:rPr>
                    <w:t>备用6台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5" w:type="dxa"/>
                  <w:tcBorders>
                    <w:left w:val="single" w:color="auto" w:sz="12" w:space="0"/>
                    <w:right w:val="single" w:color="auto" w:sz="4" w:space="0"/>
                  </w:tcBorders>
                  <w:noWrap/>
                  <w:vAlign w:val="center"/>
                </w:tcPr>
                <w:p>
                  <w:pPr>
                    <w:pStyle w:val="4"/>
                    <w:ind w:firstLine="0" w:firstLineChars="0"/>
                    <w:jc w:val="center"/>
                    <w:rPr>
                      <w:szCs w:val="21"/>
                    </w:rPr>
                  </w:pPr>
                  <w:r>
                    <w:rPr>
                      <w:rFonts w:hint="eastAsia"/>
                      <w:szCs w:val="21"/>
                    </w:rPr>
                    <w:t>10</w:t>
                  </w:r>
                </w:p>
              </w:tc>
              <w:tc>
                <w:tcPr>
                  <w:tcW w:w="1735" w:type="dxa"/>
                  <w:tcBorders>
                    <w:left w:val="single" w:color="auto" w:sz="4" w:space="0"/>
                    <w:right w:val="single" w:color="auto" w:sz="4" w:space="0"/>
                  </w:tcBorders>
                  <w:noWrap/>
                  <w:vAlign w:val="center"/>
                </w:tcPr>
                <w:p>
                  <w:pPr>
                    <w:spacing w:line="360" w:lineRule="auto"/>
                    <w:jc w:val="center"/>
                  </w:pPr>
                  <w:r>
                    <w:rPr>
                      <w:rFonts w:hint="eastAsia" w:hAnsi="宋体"/>
                    </w:rPr>
                    <w:t>洒水车</w:t>
                  </w:r>
                </w:p>
              </w:tc>
              <w:tc>
                <w:tcPr>
                  <w:tcW w:w="2545" w:type="dxa"/>
                  <w:tcBorders>
                    <w:left w:val="single" w:color="auto" w:sz="4" w:space="0"/>
                    <w:right w:val="single" w:color="auto" w:sz="4" w:space="0"/>
                  </w:tcBorders>
                  <w:noWrap/>
                  <w:vAlign w:val="center"/>
                </w:tcPr>
                <w:p>
                  <w:pPr>
                    <w:tabs>
                      <w:tab w:val="left" w:pos="4560"/>
                    </w:tabs>
                    <w:spacing w:line="360" w:lineRule="auto"/>
                    <w:jc w:val="center"/>
                  </w:pPr>
                </w:p>
              </w:tc>
              <w:tc>
                <w:tcPr>
                  <w:tcW w:w="1297" w:type="dxa"/>
                  <w:tcBorders>
                    <w:left w:val="single" w:color="auto" w:sz="4" w:space="0"/>
                    <w:right w:val="single" w:color="auto" w:sz="4" w:space="0"/>
                  </w:tcBorders>
                  <w:noWrap/>
                  <w:vAlign w:val="center"/>
                </w:tcPr>
                <w:p>
                  <w:pPr>
                    <w:tabs>
                      <w:tab w:val="left" w:pos="4560"/>
                    </w:tabs>
                    <w:spacing w:line="360" w:lineRule="auto"/>
                    <w:jc w:val="center"/>
                    <w:rPr>
                      <w:bCs/>
                    </w:rPr>
                  </w:pPr>
                  <w:r>
                    <w:rPr>
                      <w:rFonts w:hint="eastAsia"/>
                      <w:bCs/>
                    </w:rPr>
                    <w:t>2</w:t>
                  </w:r>
                </w:p>
              </w:tc>
              <w:tc>
                <w:tcPr>
                  <w:tcW w:w="938" w:type="dxa"/>
                  <w:tcBorders>
                    <w:left w:val="single" w:color="auto" w:sz="4" w:space="0"/>
                    <w:right w:val="single" w:color="auto" w:sz="2" w:space="0"/>
                  </w:tcBorders>
                  <w:noWrap/>
                  <w:vAlign w:val="center"/>
                </w:tcPr>
                <w:p>
                  <w:pPr>
                    <w:tabs>
                      <w:tab w:val="left" w:pos="4560"/>
                    </w:tabs>
                    <w:spacing w:line="360" w:lineRule="auto"/>
                    <w:jc w:val="center"/>
                  </w:pPr>
                  <w:r>
                    <w:rPr>
                      <w:rFonts w:hint="eastAsia" w:hAnsi="宋体"/>
                    </w:rPr>
                    <w:t>辆</w:t>
                  </w:r>
                </w:p>
              </w:tc>
              <w:tc>
                <w:tcPr>
                  <w:tcW w:w="1260" w:type="dxa"/>
                  <w:tcBorders>
                    <w:left w:val="single" w:color="auto" w:sz="2" w:space="0"/>
                    <w:right w:val="single" w:color="auto" w:sz="12" w:space="0"/>
                  </w:tcBorders>
                  <w:noWrap/>
                  <w:vAlign w:val="center"/>
                </w:tcPr>
                <w:p>
                  <w:pPr>
                    <w:tabs>
                      <w:tab w:val="left" w:pos="4560"/>
                    </w:tabs>
                    <w:spacing w:line="360" w:lineRule="auto"/>
                    <w:jc w:val="center"/>
                    <w:rPr>
                      <w:rFonts w:hAnsi="宋体"/>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15" w:type="dxa"/>
                  <w:tcBorders>
                    <w:left w:val="single" w:color="auto" w:sz="12" w:space="0"/>
                    <w:right w:val="single" w:color="auto" w:sz="4" w:space="0"/>
                  </w:tcBorders>
                  <w:noWrap/>
                  <w:vAlign w:val="center"/>
                </w:tcPr>
                <w:p>
                  <w:pPr>
                    <w:pStyle w:val="4"/>
                    <w:ind w:firstLine="0" w:firstLineChars="0"/>
                    <w:jc w:val="center"/>
                    <w:rPr>
                      <w:szCs w:val="21"/>
                    </w:rPr>
                  </w:pPr>
                  <w:r>
                    <w:rPr>
                      <w:rFonts w:hint="eastAsia"/>
                      <w:szCs w:val="21"/>
                    </w:rPr>
                    <w:t>11</w:t>
                  </w:r>
                </w:p>
              </w:tc>
              <w:tc>
                <w:tcPr>
                  <w:tcW w:w="1735" w:type="dxa"/>
                  <w:tcBorders>
                    <w:left w:val="single" w:color="auto" w:sz="4" w:space="0"/>
                    <w:right w:val="single" w:color="auto" w:sz="4" w:space="0"/>
                  </w:tcBorders>
                  <w:noWrap/>
                  <w:vAlign w:val="center"/>
                </w:tcPr>
                <w:p>
                  <w:pPr>
                    <w:spacing w:line="360" w:lineRule="auto"/>
                    <w:jc w:val="center"/>
                    <w:rPr>
                      <w:rFonts w:hAnsi="宋体"/>
                    </w:rPr>
                  </w:pPr>
                  <w:r>
                    <w:rPr>
                      <w:rFonts w:hint="eastAsia" w:hAnsi="宋体"/>
                    </w:rPr>
                    <w:t>供配电</w:t>
                  </w:r>
                </w:p>
              </w:tc>
              <w:tc>
                <w:tcPr>
                  <w:tcW w:w="2545" w:type="dxa"/>
                  <w:tcBorders>
                    <w:left w:val="single" w:color="auto" w:sz="4" w:space="0"/>
                    <w:right w:val="single" w:color="auto" w:sz="4" w:space="0"/>
                  </w:tcBorders>
                  <w:noWrap/>
                  <w:vAlign w:val="center"/>
                </w:tcPr>
                <w:p>
                  <w:pPr>
                    <w:tabs>
                      <w:tab w:val="left" w:pos="4560"/>
                    </w:tabs>
                    <w:spacing w:line="360" w:lineRule="auto"/>
                    <w:jc w:val="center"/>
                  </w:pPr>
                </w:p>
              </w:tc>
              <w:tc>
                <w:tcPr>
                  <w:tcW w:w="1297" w:type="dxa"/>
                  <w:tcBorders>
                    <w:left w:val="single" w:color="auto" w:sz="4" w:space="0"/>
                    <w:right w:val="single" w:color="auto" w:sz="4" w:space="0"/>
                  </w:tcBorders>
                  <w:noWrap/>
                  <w:vAlign w:val="center"/>
                </w:tcPr>
                <w:p>
                  <w:pPr>
                    <w:tabs>
                      <w:tab w:val="left" w:pos="4560"/>
                    </w:tabs>
                    <w:spacing w:line="360" w:lineRule="auto"/>
                    <w:jc w:val="center"/>
                    <w:rPr>
                      <w:bCs/>
                    </w:rPr>
                  </w:pPr>
                  <w:r>
                    <w:rPr>
                      <w:rFonts w:hint="eastAsia"/>
                      <w:bCs/>
                    </w:rPr>
                    <w:t>6</w:t>
                  </w:r>
                </w:p>
              </w:tc>
              <w:tc>
                <w:tcPr>
                  <w:tcW w:w="938" w:type="dxa"/>
                  <w:tcBorders>
                    <w:left w:val="single" w:color="auto" w:sz="4" w:space="0"/>
                    <w:right w:val="single" w:color="auto" w:sz="2" w:space="0"/>
                  </w:tcBorders>
                  <w:noWrap/>
                  <w:vAlign w:val="center"/>
                </w:tcPr>
                <w:p>
                  <w:pPr>
                    <w:tabs>
                      <w:tab w:val="left" w:pos="4560"/>
                    </w:tabs>
                    <w:spacing w:line="360" w:lineRule="auto"/>
                    <w:jc w:val="center"/>
                    <w:rPr>
                      <w:rFonts w:hAnsi="宋体"/>
                    </w:rPr>
                  </w:pPr>
                  <w:r>
                    <w:rPr>
                      <w:rFonts w:hint="eastAsia" w:hAnsi="宋体"/>
                    </w:rPr>
                    <w:t>套</w:t>
                  </w:r>
                </w:p>
              </w:tc>
              <w:tc>
                <w:tcPr>
                  <w:tcW w:w="1260" w:type="dxa"/>
                  <w:tcBorders>
                    <w:left w:val="single" w:color="auto" w:sz="2" w:space="0"/>
                    <w:right w:val="single" w:color="auto" w:sz="12" w:space="0"/>
                  </w:tcBorders>
                  <w:noWrap/>
                  <w:vAlign w:val="center"/>
                </w:tcPr>
                <w:p>
                  <w:pPr>
                    <w:tabs>
                      <w:tab w:val="left" w:pos="4560"/>
                    </w:tabs>
                    <w:spacing w:line="360" w:lineRule="auto"/>
                    <w:jc w:val="center"/>
                    <w:rPr>
                      <w:rFonts w:hAnsi="宋体"/>
                    </w:rPr>
                  </w:pPr>
                </w:p>
              </w:tc>
            </w:tr>
          </w:tbl>
          <w:p>
            <w:pPr>
              <w:spacing w:line="360" w:lineRule="auto"/>
              <w:ind w:firstLine="481" w:firstLineChars="200"/>
              <w:rPr>
                <w:rFonts w:hAnsi="宋体"/>
                <w:b/>
                <w:bCs/>
                <w:sz w:val="24"/>
              </w:rPr>
            </w:pPr>
            <w:r>
              <w:rPr>
                <w:rFonts w:hint="eastAsia" w:hAnsi="宋体"/>
                <w:b/>
                <w:bCs/>
                <w:sz w:val="24"/>
              </w:rPr>
              <w:t>六、矿区资源条件</w:t>
            </w:r>
          </w:p>
          <w:p>
            <w:pPr>
              <w:spacing w:line="360" w:lineRule="auto"/>
              <w:ind w:firstLine="480" w:firstLineChars="200"/>
              <w:rPr>
                <w:rFonts w:hAnsi="宋体"/>
                <w:bCs/>
                <w:sz w:val="24"/>
              </w:rPr>
            </w:pPr>
            <w:r>
              <w:rPr>
                <w:rFonts w:hint="eastAsia" w:hAnsi="宋体"/>
                <w:bCs/>
                <w:sz w:val="24"/>
              </w:rPr>
              <w:t>1、矿区范围</w:t>
            </w:r>
          </w:p>
          <w:p>
            <w:pPr>
              <w:spacing w:line="360" w:lineRule="auto"/>
              <w:ind w:firstLine="480" w:firstLineChars="200"/>
              <w:rPr>
                <w:rFonts w:hAnsi="宋体"/>
                <w:bCs/>
                <w:sz w:val="24"/>
              </w:rPr>
            </w:pPr>
            <w:r>
              <w:rPr>
                <w:rFonts w:hint="eastAsia"/>
                <w:color w:val="0000FF"/>
                <w:sz w:val="24"/>
              </w:rPr>
              <w:t>根据汶上县自然资源和规划局《关于划定汶上县白石镇东老塘矿区建筑用花岗岩矿矿区范围的批复》（汶自资规字[2019]1号）文件，</w:t>
            </w:r>
            <w:r>
              <w:rPr>
                <w:rFonts w:hint="eastAsia"/>
                <w:sz w:val="24"/>
              </w:rPr>
              <w:t>经划定</w:t>
            </w:r>
            <w:r>
              <w:rPr>
                <w:sz w:val="24"/>
              </w:rPr>
              <w:t>东老塘矿区范围分</w:t>
            </w:r>
            <w:r>
              <w:rPr>
                <w:rFonts w:hint="eastAsia"/>
                <w:sz w:val="24"/>
              </w:rPr>
              <w:t>为四</w:t>
            </w:r>
            <w:r>
              <w:rPr>
                <w:sz w:val="24"/>
              </w:rPr>
              <w:t>个区块，其中第一区块由</w:t>
            </w:r>
            <w:r>
              <w:rPr>
                <w:rFonts w:hint="eastAsia"/>
                <w:sz w:val="24"/>
              </w:rPr>
              <w:t>7</w:t>
            </w:r>
            <w:r>
              <w:rPr>
                <w:sz w:val="24"/>
              </w:rPr>
              <w:t>个拐点坐标圈定（表1-</w:t>
            </w:r>
            <w:r>
              <w:rPr>
                <w:rFonts w:hint="eastAsia"/>
                <w:sz w:val="24"/>
              </w:rPr>
              <w:t>4</w:t>
            </w:r>
            <w:r>
              <w:rPr>
                <w:sz w:val="24"/>
              </w:rPr>
              <w:t>）；矿区面积为0.05km</w:t>
            </w:r>
            <w:r>
              <w:rPr>
                <w:sz w:val="24"/>
                <w:vertAlign w:val="superscript"/>
              </w:rPr>
              <w:t xml:space="preserve">2 </w:t>
            </w:r>
            <w:r>
              <w:rPr>
                <w:rFonts w:hint="eastAsia"/>
                <w:sz w:val="24"/>
              </w:rPr>
              <w:t>，</w:t>
            </w:r>
            <w:r>
              <w:rPr>
                <w:sz w:val="24"/>
              </w:rPr>
              <w:t>开采标高：+75.62m～+16.0m。第二区块由</w:t>
            </w:r>
            <w:r>
              <w:rPr>
                <w:rFonts w:hint="eastAsia"/>
                <w:sz w:val="24"/>
              </w:rPr>
              <w:t>12</w:t>
            </w:r>
            <w:r>
              <w:rPr>
                <w:sz w:val="24"/>
              </w:rPr>
              <w:t>个拐点坐标圈定（表1-</w:t>
            </w:r>
            <w:r>
              <w:rPr>
                <w:rFonts w:hint="eastAsia"/>
                <w:sz w:val="24"/>
              </w:rPr>
              <w:t>4</w:t>
            </w:r>
            <w:r>
              <w:rPr>
                <w:sz w:val="24"/>
              </w:rPr>
              <w:t>）；矿区面积为0.405km</w:t>
            </w:r>
            <w:r>
              <w:rPr>
                <w:sz w:val="24"/>
                <w:vertAlign w:val="superscript"/>
              </w:rPr>
              <w:t>2</w:t>
            </w:r>
            <w:r>
              <w:rPr>
                <w:sz w:val="24"/>
              </w:rPr>
              <w:t>；开采标高为+75.62m～+20.0m。第</w:t>
            </w:r>
            <w:r>
              <w:rPr>
                <w:rFonts w:hint="eastAsia"/>
                <w:sz w:val="24"/>
              </w:rPr>
              <w:t>三</w:t>
            </w:r>
            <w:r>
              <w:rPr>
                <w:sz w:val="24"/>
              </w:rPr>
              <w:t>区块由</w:t>
            </w:r>
            <w:r>
              <w:rPr>
                <w:rFonts w:hint="eastAsia"/>
                <w:sz w:val="24"/>
              </w:rPr>
              <w:t>14</w:t>
            </w:r>
            <w:r>
              <w:rPr>
                <w:sz w:val="24"/>
              </w:rPr>
              <w:t>个拐点坐标圈定（表1-</w:t>
            </w:r>
            <w:r>
              <w:rPr>
                <w:rFonts w:hint="eastAsia"/>
                <w:sz w:val="24"/>
              </w:rPr>
              <w:t>4</w:t>
            </w:r>
            <w:r>
              <w:rPr>
                <w:sz w:val="24"/>
              </w:rPr>
              <w:t>）；矿区面积为0.113km</w:t>
            </w:r>
            <w:r>
              <w:rPr>
                <w:sz w:val="24"/>
                <w:vertAlign w:val="superscript"/>
              </w:rPr>
              <w:t xml:space="preserve">2 </w:t>
            </w:r>
            <w:r>
              <w:rPr>
                <w:rFonts w:hint="eastAsia"/>
                <w:sz w:val="24"/>
              </w:rPr>
              <w:t>，</w:t>
            </w:r>
            <w:r>
              <w:rPr>
                <w:sz w:val="24"/>
              </w:rPr>
              <w:t>开采标高：+63.47m～+20.0m。第</w:t>
            </w:r>
            <w:r>
              <w:rPr>
                <w:rFonts w:hint="eastAsia"/>
                <w:sz w:val="24"/>
              </w:rPr>
              <w:t>四</w:t>
            </w:r>
            <w:r>
              <w:rPr>
                <w:sz w:val="24"/>
              </w:rPr>
              <w:t>区块由</w:t>
            </w:r>
            <w:r>
              <w:rPr>
                <w:rFonts w:hint="eastAsia"/>
                <w:sz w:val="24"/>
              </w:rPr>
              <w:t>15</w:t>
            </w:r>
            <w:r>
              <w:rPr>
                <w:sz w:val="24"/>
              </w:rPr>
              <w:t>个拐点坐标圈定（表1-</w:t>
            </w:r>
            <w:r>
              <w:rPr>
                <w:rFonts w:hint="eastAsia"/>
                <w:sz w:val="24"/>
              </w:rPr>
              <w:t>4</w:t>
            </w:r>
            <w:r>
              <w:rPr>
                <w:sz w:val="24"/>
              </w:rPr>
              <w:t>）；矿区面积为0.</w:t>
            </w:r>
            <w:r>
              <w:rPr>
                <w:rFonts w:hint="eastAsia"/>
                <w:sz w:val="24"/>
              </w:rPr>
              <w:t>213</w:t>
            </w:r>
            <w:r>
              <w:rPr>
                <w:sz w:val="24"/>
              </w:rPr>
              <w:t>km</w:t>
            </w:r>
            <w:r>
              <w:rPr>
                <w:sz w:val="24"/>
                <w:vertAlign w:val="superscript"/>
              </w:rPr>
              <w:t>2</w:t>
            </w:r>
            <w:r>
              <w:rPr>
                <w:sz w:val="24"/>
              </w:rPr>
              <w:t>；开采标高为+76.27m～+45.0m。开采矿种为建筑用花岗岩；开采方式为露天凹陷式开采；</w:t>
            </w:r>
            <w:r>
              <w:rPr>
                <w:rFonts w:hint="eastAsia" w:hAnsi="宋体"/>
                <w:bCs/>
                <w:sz w:val="24"/>
              </w:rPr>
              <w:t>见表1-4。</w:t>
            </w:r>
          </w:p>
          <w:p>
            <w:pPr>
              <w:spacing w:line="360" w:lineRule="auto"/>
              <w:jc w:val="center"/>
              <w:rPr>
                <w:rFonts w:hAnsi="宋体"/>
                <w:b/>
                <w:bCs/>
                <w:sz w:val="24"/>
              </w:rPr>
            </w:pPr>
            <w:r>
              <w:rPr>
                <w:rFonts w:hint="eastAsia" w:hAnsi="宋体"/>
                <w:b/>
                <w:bCs/>
                <w:sz w:val="24"/>
              </w:rPr>
              <w:t>表 1-4 矿区范围拐点坐标</w:t>
            </w:r>
          </w:p>
          <w:tbl>
            <w:tblPr>
              <w:tblStyle w:val="15"/>
              <w:tblW w:w="90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
              <w:gridCol w:w="1575"/>
              <w:gridCol w:w="126"/>
              <w:gridCol w:w="1867"/>
              <w:gridCol w:w="36"/>
              <w:gridCol w:w="857"/>
              <w:gridCol w:w="43"/>
              <w:gridCol w:w="1798"/>
              <w:gridCol w:w="58"/>
              <w:gridCol w:w="1825"/>
              <w:gridCol w:w="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3" w:type="dxa"/>
                <w:trHeight w:val="389" w:hRule="atLeast"/>
                <w:jc w:val="center"/>
              </w:trPr>
              <w:tc>
                <w:tcPr>
                  <w:tcW w:w="9016" w:type="dxa"/>
                  <w:gridSpan w:val="11"/>
                  <w:noWrap/>
                  <w:vAlign w:val="center"/>
                </w:tcPr>
                <w:p>
                  <w:pPr>
                    <w:jc w:val="center"/>
                    <w:rPr>
                      <w:szCs w:val="21"/>
                    </w:rPr>
                  </w:pPr>
                  <w:r>
                    <w:rPr>
                      <w:szCs w:val="21"/>
                    </w:rPr>
                    <w:t>第一区块</w:t>
                  </w:r>
                  <w:r>
                    <w:rPr>
                      <w:rFonts w:hint="eastAsia"/>
                      <w:szCs w:val="21"/>
                    </w:rPr>
                    <w:t>（</w:t>
                  </w:r>
                  <w:r>
                    <w:rPr>
                      <w:rFonts w:hint="eastAsia" w:ascii="宋体" w:hAnsi="宋体" w:cs="宋体"/>
                      <w:szCs w:val="21"/>
                    </w:rPr>
                    <w:t>Ⅰ</w:t>
                  </w:r>
                  <w:r>
                    <w:rPr>
                      <w:szCs w:val="21"/>
                    </w:rPr>
                    <w:t>矿段</w:t>
                  </w:r>
                  <w:r>
                    <w:rPr>
                      <w:rFonts w:hint="eastAsia"/>
                      <w:szCs w:val="21"/>
                    </w:rPr>
                    <w:t>）：</w:t>
                  </w:r>
                  <w:r>
                    <w:rPr>
                      <w:szCs w:val="21"/>
                    </w:rPr>
                    <w:t>面积：0.05km</w:t>
                  </w:r>
                  <w:r>
                    <w:rPr>
                      <w:szCs w:val="21"/>
                      <w:vertAlign w:val="superscript"/>
                    </w:rPr>
                    <w:t xml:space="preserve">2 </w:t>
                  </w:r>
                  <w:r>
                    <w:rPr>
                      <w:szCs w:val="21"/>
                    </w:rPr>
                    <w:t xml:space="preserve">    开采标高：+75.62m～+16.0m；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3" w:type="dxa"/>
                <w:trHeight w:val="219" w:hRule="atLeast"/>
                <w:jc w:val="center"/>
              </w:trPr>
              <w:tc>
                <w:tcPr>
                  <w:tcW w:w="823" w:type="dxa"/>
                  <w:vMerge w:val="restart"/>
                  <w:noWrap/>
                  <w:vAlign w:val="center"/>
                </w:tcPr>
                <w:p>
                  <w:pPr>
                    <w:spacing w:line="460" w:lineRule="exact"/>
                    <w:jc w:val="center"/>
                    <w:rPr>
                      <w:szCs w:val="21"/>
                    </w:rPr>
                  </w:pPr>
                  <w:r>
                    <w:rPr>
                      <w:rFonts w:hint="eastAsia"/>
                      <w:szCs w:val="21"/>
                    </w:rPr>
                    <w:t>矿段</w:t>
                  </w:r>
                  <w:r>
                    <w:rPr>
                      <w:szCs w:val="21"/>
                    </w:rPr>
                    <w:t>拐点</w:t>
                  </w:r>
                </w:p>
              </w:tc>
              <w:tc>
                <w:tcPr>
                  <w:tcW w:w="3576" w:type="dxa"/>
                  <w:gridSpan w:val="4"/>
                  <w:noWrap/>
                  <w:vAlign w:val="center"/>
                </w:tcPr>
                <w:p>
                  <w:pPr>
                    <w:jc w:val="center"/>
                    <w:rPr>
                      <w:szCs w:val="21"/>
                    </w:rPr>
                  </w:pPr>
                  <w:r>
                    <w:rPr>
                      <w:szCs w:val="21"/>
                    </w:rPr>
                    <w:t>直角坐标（国家2000坐标系）</w:t>
                  </w:r>
                </w:p>
              </w:tc>
              <w:tc>
                <w:tcPr>
                  <w:tcW w:w="893" w:type="dxa"/>
                  <w:gridSpan w:val="2"/>
                  <w:vMerge w:val="restart"/>
                  <w:noWrap/>
                  <w:vAlign w:val="center"/>
                </w:tcPr>
                <w:p>
                  <w:pPr>
                    <w:jc w:val="center"/>
                    <w:rPr>
                      <w:szCs w:val="21"/>
                    </w:rPr>
                  </w:pPr>
                  <w:r>
                    <w:rPr>
                      <w:rFonts w:hint="eastAsia"/>
                      <w:szCs w:val="21"/>
                    </w:rPr>
                    <w:t>矿段</w:t>
                  </w:r>
                  <w:r>
                    <w:rPr>
                      <w:szCs w:val="21"/>
                    </w:rPr>
                    <w:t>拐点</w:t>
                  </w:r>
                </w:p>
              </w:tc>
              <w:tc>
                <w:tcPr>
                  <w:tcW w:w="3724" w:type="dxa"/>
                  <w:gridSpan w:val="4"/>
                  <w:noWrap/>
                  <w:vAlign w:val="center"/>
                </w:tcPr>
                <w:p>
                  <w:pPr>
                    <w:jc w:val="center"/>
                    <w:rPr>
                      <w:szCs w:val="21"/>
                    </w:rPr>
                  </w:pPr>
                  <w:r>
                    <w:rPr>
                      <w:szCs w:val="21"/>
                    </w:rPr>
                    <w:t>直角坐标（国家2000坐标系）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3" w:type="dxa"/>
                <w:trHeight w:val="219" w:hRule="atLeast"/>
                <w:jc w:val="center"/>
              </w:trPr>
              <w:tc>
                <w:tcPr>
                  <w:tcW w:w="823" w:type="dxa"/>
                  <w:vMerge w:val="continue"/>
                  <w:noWrap/>
                  <w:vAlign w:val="center"/>
                </w:tcPr>
                <w:p>
                  <w:pPr>
                    <w:spacing w:line="460" w:lineRule="exact"/>
                    <w:ind w:firstLine="482"/>
                    <w:jc w:val="center"/>
                    <w:rPr>
                      <w:szCs w:val="21"/>
                    </w:rPr>
                  </w:pPr>
                </w:p>
              </w:tc>
              <w:tc>
                <w:tcPr>
                  <w:tcW w:w="1583" w:type="dxa"/>
                  <w:gridSpan w:val="2"/>
                  <w:noWrap/>
                  <w:vAlign w:val="center"/>
                </w:tcPr>
                <w:p>
                  <w:pPr>
                    <w:ind w:firstLine="482"/>
                    <w:jc w:val="center"/>
                    <w:rPr>
                      <w:szCs w:val="21"/>
                    </w:rPr>
                  </w:pPr>
                  <w:r>
                    <w:rPr>
                      <w:szCs w:val="21"/>
                    </w:rPr>
                    <w:t>X</w:t>
                  </w:r>
                </w:p>
              </w:tc>
              <w:tc>
                <w:tcPr>
                  <w:tcW w:w="1993" w:type="dxa"/>
                  <w:gridSpan w:val="2"/>
                  <w:noWrap/>
                  <w:vAlign w:val="center"/>
                </w:tcPr>
                <w:p>
                  <w:pPr>
                    <w:ind w:firstLine="482"/>
                    <w:jc w:val="center"/>
                    <w:rPr>
                      <w:szCs w:val="21"/>
                    </w:rPr>
                  </w:pPr>
                  <w:r>
                    <w:rPr>
                      <w:szCs w:val="21"/>
                    </w:rPr>
                    <w:t>X</w:t>
                  </w:r>
                </w:p>
              </w:tc>
              <w:tc>
                <w:tcPr>
                  <w:tcW w:w="893" w:type="dxa"/>
                  <w:gridSpan w:val="2"/>
                  <w:vMerge w:val="continue"/>
                  <w:noWrap/>
                  <w:vAlign w:val="center"/>
                </w:tcPr>
                <w:p>
                  <w:pPr>
                    <w:ind w:firstLine="482"/>
                    <w:jc w:val="center"/>
                    <w:rPr>
                      <w:szCs w:val="21"/>
                    </w:rPr>
                  </w:pPr>
                </w:p>
              </w:tc>
              <w:tc>
                <w:tcPr>
                  <w:tcW w:w="1841" w:type="dxa"/>
                  <w:gridSpan w:val="2"/>
                  <w:noWrap/>
                  <w:vAlign w:val="center"/>
                </w:tcPr>
                <w:p>
                  <w:pPr>
                    <w:ind w:firstLine="482"/>
                    <w:jc w:val="center"/>
                    <w:rPr>
                      <w:szCs w:val="21"/>
                    </w:rPr>
                  </w:pPr>
                  <w:r>
                    <w:rPr>
                      <w:szCs w:val="21"/>
                    </w:rPr>
                    <w:t>X</w:t>
                  </w:r>
                </w:p>
              </w:tc>
              <w:tc>
                <w:tcPr>
                  <w:tcW w:w="1883" w:type="dxa"/>
                  <w:gridSpan w:val="2"/>
                  <w:noWrap/>
                  <w:vAlign w:val="center"/>
                </w:tcPr>
                <w:p>
                  <w:pPr>
                    <w:jc w:val="center"/>
                    <w:rPr>
                      <w:szCs w:val="21"/>
                    </w:rPr>
                  </w:pPr>
                  <w:r>
                    <w:rPr>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3" w:type="dxa"/>
                <w:trHeight w:val="488" w:hRule="atLeast"/>
                <w:jc w:val="center"/>
              </w:trPr>
              <w:tc>
                <w:tcPr>
                  <w:tcW w:w="823" w:type="dxa"/>
                  <w:noWrap/>
                  <w:vAlign w:val="center"/>
                </w:tcPr>
                <w:p>
                  <w:pPr>
                    <w:jc w:val="center"/>
                    <w:rPr>
                      <w:szCs w:val="21"/>
                    </w:rPr>
                  </w:pPr>
                  <w:r>
                    <w:rPr>
                      <w:rFonts w:hint="eastAsia"/>
                      <w:szCs w:val="21"/>
                    </w:rPr>
                    <w:t>D</w:t>
                  </w:r>
                  <w:r>
                    <w:rPr>
                      <w:szCs w:val="21"/>
                    </w:rPr>
                    <w:t>1</w:t>
                  </w:r>
                </w:p>
              </w:tc>
              <w:tc>
                <w:tcPr>
                  <w:tcW w:w="1583" w:type="dxa"/>
                  <w:gridSpan w:val="2"/>
                  <w:noWrap/>
                  <w:vAlign w:val="center"/>
                </w:tcPr>
                <w:p>
                  <w:pPr>
                    <w:widowControl/>
                    <w:jc w:val="center"/>
                    <w:rPr>
                      <w:kern w:val="0"/>
                      <w:szCs w:val="21"/>
                    </w:rPr>
                  </w:pPr>
                  <w:r>
                    <w:rPr>
                      <w:kern w:val="0"/>
                      <w:szCs w:val="21"/>
                    </w:rPr>
                    <w:t>3961099.96</w:t>
                  </w:r>
                </w:p>
              </w:tc>
              <w:tc>
                <w:tcPr>
                  <w:tcW w:w="1993" w:type="dxa"/>
                  <w:gridSpan w:val="2"/>
                  <w:noWrap/>
                  <w:vAlign w:val="center"/>
                </w:tcPr>
                <w:p>
                  <w:pPr>
                    <w:widowControl/>
                    <w:jc w:val="center"/>
                    <w:rPr>
                      <w:kern w:val="0"/>
                      <w:szCs w:val="21"/>
                    </w:rPr>
                  </w:pPr>
                  <w:r>
                    <w:rPr>
                      <w:kern w:val="0"/>
                      <w:szCs w:val="21"/>
                    </w:rPr>
                    <w:t>39469020.07</w:t>
                  </w:r>
                </w:p>
              </w:tc>
              <w:tc>
                <w:tcPr>
                  <w:tcW w:w="893" w:type="dxa"/>
                  <w:gridSpan w:val="2"/>
                  <w:noWrap/>
                  <w:vAlign w:val="center"/>
                </w:tcPr>
                <w:p>
                  <w:pPr>
                    <w:jc w:val="center"/>
                    <w:rPr>
                      <w:szCs w:val="21"/>
                    </w:rPr>
                  </w:pPr>
                  <w:r>
                    <w:rPr>
                      <w:rFonts w:hint="eastAsia"/>
                      <w:szCs w:val="21"/>
                    </w:rPr>
                    <w:t>D</w:t>
                  </w:r>
                  <w:r>
                    <w:rPr>
                      <w:szCs w:val="21"/>
                    </w:rPr>
                    <w:t>5</w:t>
                  </w:r>
                </w:p>
              </w:tc>
              <w:tc>
                <w:tcPr>
                  <w:tcW w:w="1841" w:type="dxa"/>
                  <w:gridSpan w:val="2"/>
                  <w:noWrap/>
                  <w:vAlign w:val="center"/>
                </w:tcPr>
                <w:p>
                  <w:pPr>
                    <w:widowControl/>
                    <w:jc w:val="center"/>
                    <w:rPr>
                      <w:kern w:val="0"/>
                      <w:szCs w:val="21"/>
                    </w:rPr>
                  </w:pPr>
                  <w:r>
                    <w:rPr>
                      <w:kern w:val="0"/>
                      <w:szCs w:val="21"/>
                    </w:rPr>
                    <w:t>3961369.36</w:t>
                  </w:r>
                </w:p>
              </w:tc>
              <w:tc>
                <w:tcPr>
                  <w:tcW w:w="1883" w:type="dxa"/>
                  <w:gridSpan w:val="2"/>
                  <w:noWrap/>
                  <w:vAlign w:val="center"/>
                </w:tcPr>
                <w:p>
                  <w:pPr>
                    <w:widowControl/>
                    <w:jc w:val="center"/>
                    <w:rPr>
                      <w:kern w:val="0"/>
                      <w:szCs w:val="21"/>
                    </w:rPr>
                  </w:pPr>
                  <w:r>
                    <w:rPr>
                      <w:kern w:val="0"/>
                      <w:szCs w:val="21"/>
                    </w:rPr>
                    <w:t>39469100.12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3" w:type="dxa"/>
                <w:trHeight w:val="488" w:hRule="atLeast"/>
                <w:jc w:val="center"/>
              </w:trPr>
              <w:tc>
                <w:tcPr>
                  <w:tcW w:w="823" w:type="dxa"/>
                  <w:noWrap/>
                  <w:vAlign w:val="center"/>
                </w:tcPr>
                <w:p>
                  <w:pPr>
                    <w:jc w:val="center"/>
                    <w:rPr>
                      <w:szCs w:val="21"/>
                    </w:rPr>
                  </w:pPr>
                  <w:r>
                    <w:rPr>
                      <w:rFonts w:hint="eastAsia"/>
                      <w:szCs w:val="21"/>
                    </w:rPr>
                    <w:t>D</w:t>
                  </w:r>
                  <w:r>
                    <w:rPr>
                      <w:szCs w:val="21"/>
                    </w:rPr>
                    <w:t>2</w:t>
                  </w:r>
                </w:p>
              </w:tc>
              <w:tc>
                <w:tcPr>
                  <w:tcW w:w="1583" w:type="dxa"/>
                  <w:gridSpan w:val="2"/>
                  <w:noWrap/>
                  <w:vAlign w:val="center"/>
                </w:tcPr>
                <w:p>
                  <w:pPr>
                    <w:widowControl/>
                    <w:jc w:val="center"/>
                    <w:rPr>
                      <w:kern w:val="0"/>
                      <w:szCs w:val="21"/>
                    </w:rPr>
                  </w:pPr>
                  <w:r>
                    <w:rPr>
                      <w:kern w:val="0"/>
                      <w:szCs w:val="21"/>
                    </w:rPr>
                    <w:t>3961249.99</w:t>
                  </w:r>
                </w:p>
              </w:tc>
              <w:tc>
                <w:tcPr>
                  <w:tcW w:w="1993" w:type="dxa"/>
                  <w:gridSpan w:val="2"/>
                  <w:noWrap/>
                  <w:vAlign w:val="center"/>
                </w:tcPr>
                <w:p>
                  <w:pPr>
                    <w:widowControl/>
                    <w:jc w:val="center"/>
                    <w:rPr>
                      <w:kern w:val="0"/>
                      <w:szCs w:val="21"/>
                    </w:rPr>
                  </w:pPr>
                  <w:r>
                    <w:rPr>
                      <w:kern w:val="0"/>
                      <w:szCs w:val="21"/>
                    </w:rPr>
                    <w:t>39469105.13</w:t>
                  </w:r>
                </w:p>
              </w:tc>
              <w:tc>
                <w:tcPr>
                  <w:tcW w:w="893" w:type="dxa"/>
                  <w:gridSpan w:val="2"/>
                  <w:noWrap/>
                  <w:vAlign w:val="center"/>
                </w:tcPr>
                <w:p>
                  <w:pPr>
                    <w:jc w:val="center"/>
                    <w:rPr>
                      <w:szCs w:val="21"/>
                    </w:rPr>
                  </w:pPr>
                  <w:r>
                    <w:rPr>
                      <w:rFonts w:hint="eastAsia"/>
                      <w:szCs w:val="21"/>
                    </w:rPr>
                    <w:t>D</w:t>
                  </w:r>
                  <w:r>
                    <w:rPr>
                      <w:szCs w:val="21"/>
                    </w:rPr>
                    <w:t>6</w:t>
                  </w:r>
                </w:p>
              </w:tc>
              <w:tc>
                <w:tcPr>
                  <w:tcW w:w="1841" w:type="dxa"/>
                  <w:gridSpan w:val="2"/>
                  <w:noWrap/>
                  <w:vAlign w:val="center"/>
                </w:tcPr>
                <w:p>
                  <w:pPr>
                    <w:widowControl/>
                    <w:jc w:val="center"/>
                    <w:rPr>
                      <w:kern w:val="0"/>
                      <w:szCs w:val="21"/>
                    </w:rPr>
                  </w:pPr>
                  <w:r>
                    <w:rPr>
                      <w:kern w:val="0"/>
                      <w:szCs w:val="21"/>
                    </w:rPr>
                    <w:t>3961279.13</w:t>
                  </w:r>
                </w:p>
              </w:tc>
              <w:tc>
                <w:tcPr>
                  <w:tcW w:w="1883" w:type="dxa"/>
                  <w:gridSpan w:val="2"/>
                  <w:noWrap/>
                  <w:vAlign w:val="center"/>
                </w:tcPr>
                <w:p>
                  <w:pPr>
                    <w:widowControl/>
                    <w:jc w:val="center"/>
                    <w:rPr>
                      <w:kern w:val="0"/>
                      <w:szCs w:val="21"/>
                    </w:rPr>
                  </w:pPr>
                  <w:r>
                    <w:rPr>
                      <w:kern w:val="0"/>
                      <w:szCs w:val="21"/>
                    </w:rPr>
                    <w:t>39468934.18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3" w:type="dxa"/>
                <w:trHeight w:val="488" w:hRule="atLeast"/>
                <w:jc w:val="center"/>
              </w:trPr>
              <w:tc>
                <w:tcPr>
                  <w:tcW w:w="823" w:type="dxa"/>
                  <w:noWrap/>
                  <w:vAlign w:val="center"/>
                </w:tcPr>
                <w:p>
                  <w:pPr>
                    <w:jc w:val="center"/>
                    <w:rPr>
                      <w:szCs w:val="21"/>
                    </w:rPr>
                  </w:pPr>
                  <w:r>
                    <w:rPr>
                      <w:rFonts w:hint="eastAsia"/>
                      <w:szCs w:val="21"/>
                    </w:rPr>
                    <w:t>D</w:t>
                  </w:r>
                  <w:r>
                    <w:rPr>
                      <w:szCs w:val="21"/>
                    </w:rPr>
                    <w:t>3</w:t>
                  </w:r>
                </w:p>
              </w:tc>
              <w:tc>
                <w:tcPr>
                  <w:tcW w:w="1583" w:type="dxa"/>
                  <w:gridSpan w:val="2"/>
                  <w:noWrap/>
                  <w:vAlign w:val="center"/>
                </w:tcPr>
                <w:p>
                  <w:pPr>
                    <w:widowControl/>
                    <w:jc w:val="center"/>
                    <w:rPr>
                      <w:kern w:val="0"/>
                      <w:szCs w:val="21"/>
                    </w:rPr>
                  </w:pPr>
                  <w:r>
                    <w:rPr>
                      <w:kern w:val="0"/>
                      <w:szCs w:val="21"/>
                    </w:rPr>
                    <w:t>3961249.80</w:t>
                  </w:r>
                </w:p>
              </w:tc>
              <w:tc>
                <w:tcPr>
                  <w:tcW w:w="1993" w:type="dxa"/>
                  <w:gridSpan w:val="2"/>
                  <w:noWrap/>
                  <w:vAlign w:val="center"/>
                </w:tcPr>
                <w:p>
                  <w:pPr>
                    <w:widowControl/>
                    <w:jc w:val="center"/>
                    <w:rPr>
                      <w:kern w:val="0"/>
                      <w:szCs w:val="21"/>
                    </w:rPr>
                  </w:pPr>
                  <w:r>
                    <w:rPr>
                      <w:kern w:val="0"/>
                      <w:szCs w:val="21"/>
                    </w:rPr>
                    <w:t>39469239.69</w:t>
                  </w:r>
                </w:p>
              </w:tc>
              <w:tc>
                <w:tcPr>
                  <w:tcW w:w="893" w:type="dxa"/>
                  <w:gridSpan w:val="2"/>
                  <w:noWrap/>
                  <w:vAlign w:val="center"/>
                </w:tcPr>
                <w:p>
                  <w:pPr>
                    <w:jc w:val="center"/>
                    <w:rPr>
                      <w:szCs w:val="21"/>
                    </w:rPr>
                  </w:pPr>
                  <w:r>
                    <w:rPr>
                      <w:rFonts w:hint="eastAsia"/>
                      <w:szCs w:val="21"/>
                    </w:rPr>
                    <w:t>D</w:t>
                  </w:r>
                  <w:r>
                    <w:rPr>
                      <w:szCs w:val="21"/>
                    </w:rPr>
                    <w:t>7</w:t>
                  </w:r>
                </w:p>
              </w:tc>
              <w:tc>
                <w:tcPr>
                  <w:tcW w:w="1841" w:type="dxa"/>
                  <w:gridSpan w:val="2"/>
                  <w:noWrap/>
                  <w:vAlign w:val="center"/>
                </w:tcPr>
                <w:p>
                  <w:pPr>
                    <w:widowControl/>
                    <w:jc w:val="center"/>
                    <w:rPr>
                      <w:kern w:val="0"/>
                      <w:szCs w:val="21"/>
                    </w:rPr>
                  </w:pPr>
                  <w:r>
                    <w:rPr>
                      <w:kern w:val="0"/>
                      <w:szCs w:val="21"/>
                    </w:rPr>
                    <w:t>3961099.54</w:t>
                  </w:r>
                </w:p>
              </w:tc>
              <w:tc>
                <w:tcPr>
                  <w:tcW w:w="1883" w:type="dxa"/>
                  <w:gridSpan w:val="2"/>
                  <w:noWrap/>
                  <w:vAlign w:val="center"/>
                </w:tcPr>
                <w:p>
                  <w:pPr>
                    <w:widowControl/>
                    <w:jc w:val="center"/>
                    <w:rPr>
                      <w:kern w:val="0"/>
                      <w:szCs w:val="21"/>
                    </w:rPr>
                  </w:pPr>
                  <w:r>
                    <w:rPr>
                      <w:kern w:val="0"/>
                      <w:szCs w:val="21"/>
                    </w:rPr>
                    <w:t>39468912.85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3" w:type="dxa"/>
                <w:trHeight w:val="488" w:hRule="atLeast"/>
                <w:jc w:val="center"/>
              </w:trPr>
              <w:tc>
                <w:tcPr>
                  <w:tcW w:w="823" w:type="dxa"/>
                  <w:noWrap/>
                  <w:vAlign w:val="center"/>
                </w:tcPr>
                <w:p>
                  <w:pPr>
                    <w:jc w:val="center"/>
                    <w:rPr>
                      <w:szCs w:val="21"/>
                    </w:rPr>
                  </w:pPr>
                  <w:r>
                    <w:rPr>
                      <w:rFonts w:hint="eastAsia"/>
                      <w:szCs w:val="21"/>
                    </w:rPr>
                    <w:t>D</w:t>
                  </w:r>
                  <w:r>
                    <w:rPr>
                      <w:szCs w:val="21"/>
                    </w:rPr>
                    <w:t>4</w:t>
                  </w:r>
                </w:p>
              </w:tc>
              <w:tc>
                <w:tcPr>
                  <w:tcW w:w="1583" w:type="dxa"/>
                  <w:gridSpan w:val="2"/>
                  <w:noWrap/>
                  <w:vAlign w:val="center"/>
                </w:tcPr>
                <w:p>
                  <w:pPr>
                    <w:widowControl/>
                    <w:jc w:val="center"/>
                    <w:rPr>
                      <w:kern w:val="0"/>
                      <w:szCs w:val="21"/>
                    </w:rPr>
                  </w:pPr>
                  <w:r>
                    <w:rPr>
                      <w:kern w:val="0"/>
                      <w:szCs w:val="21"/>
                    </w:rPr>
                    <w:t>3961369.28</w:t>
                  </w:r>
                </w:p>
              </w:tc>
              <w:tc>
                <w:tcPr>
                  <w:tcW w:w="1993" w:type="dxa"/>
                  <w:gridSpan w:val="2"/>
                  <w:noWrap/>
                  <w:vAlign w:val="center"/>
                </w:tcPr>
                <w:p>
                  <w:pPr>
                    <w:widowControl/>
                    <w:jc w:val="center"/>
                    <w:rPr>
                      <w:kern w:val="0"/>
                      <w:szCs w:val="21"/>
                    </w:rPr>
                  </w:pPr>
                  <w:r>
                    <w:rPr>
                      <w:kern w:val="0"/>
                      <w:szCs w:val="21"/>
                    </w:rPr>
                    <w:t>39469239.52</w:t>
                  </w:r>
                </w:p>
              </w:tc>
              <w:tc>
                <w:tcPr>
                  <w:tcW w:w="893" w:type="dxa"/>
                  <w:gridSpan w:val="2"/>
                  <w:noWrap/>
                  <w:vAlign w:val="center"/>
                </w:tcPr>
                <w:p>
                  <w:pPr>
                    <w:jc w:val="center"/>
                    <w:rPr>
                      <w:szCs w:val="21"/>
                    </w:rPr>
                  </w:pPr>
                </w:p>
              </w:tc>
              <w:tc>
                <w:tcPr>
                  <w:tcW w:w="1841" w:type="dxa"/>
                  <w:gridSpan w:val="2"/>
                  <w:noWrap/>
                  <w:vAlign w:val="center"/>
                </w:tcPr>
                <w:p>
                  <w:pPr>
                    <w:jc w:val="center"/>
                    <w:rPr>
                      <w:szCs w:val="21"/>
                    </w:rPr>
                  </w:pPr>
                </w:p>
              </w:tc>
              <w:tc>
                <w:tcPr>
                  <w:tcW w:w="1883" w:type="dxa"/>
                  <w:gridSpan w:val="2"/>
                  <w:noWrap/>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3" w:type="dxa"/>
                <w:trHeight w:val="488" w:hRule="atLeast"/>
                <w:jc w:val="center"/>
              </w:trPr>
              <w:tc>
                <w:tcPr>
                  <w:tcW w:w="9016" w:type="dxa"/>
                  <w:gridSpan w:val="11"/>
                  <w:noWrap/>
                  <w:vAlign w:val="center"/>
                </w:tcPr>
                <w:p>
                  <w:pPr>
                    <w:jc w:val="center"/>
                    <w:rPr>
                      <w:szCs w:val="21"/>
                    </w:rPr>
                  </w:pPr>
                  <w:r>
                    <w:rPr>
                      <w:szCs w:val="21"/>
                    </w:rPr>
                    <w:t>第</w:t>
                  </w:r>
                  <w:r>
                    <w:rPr>
                      <w:rFonts w:hint="eastAsia"/>
                      <w:szCs w:val="21"/>
                    </w:rPr>
                    <w:t>二</w:t>
                  </w:r>
                  <w:r>
                    <w:rPr>
                      <w:szCs w:val="21"/>
                    </w:rPr>
                    <w:t>区块</w:t>
                  </w:r>
                  <w:r>
                    <w:rPr>
                      <w:rFonts w:hint="eastAsia"/>
                      <w:szCs w:val="21"/>
                    </w:rPr>
                    <w:t>（</w:t>
                  </w:r>
                  <w:r>
                    <w:rPr>
                      <w:rFonts w:hint="eastAsia" w:ascii="宋体" w:hAnsi="宋体" w:cs="宋体"/>
                      <w:szCs w:val="21"/>
                    </w:rPr>
                    <w:t>Ⅱ</w:t>
                  </w:r>
                  <w:r>
                    <w:rPr>
                      <w:szCs w:val="21"/>
                    </w:rPr>
                    <w:t>矿段</w:t>
                  </w:r>
                  <w:r>
                    <w:rPr>
                      <w:rFonts w:hint="eastAsia"/>
                      <w:szCs w:val="21"/>
                    </w:rPr>
                    <w:t>）：</w:t>
                  </w:r>
                  <w:r>
                    <w:rPr>
                      <w:szCs w:val="21"/>
                    </w:rPr>
                    <w:t>面积：0.405km</w:t>
                  </w:r>
                  <w:r>
                    <w:rPr>
                      <w:szCs w:val="21"/>
                      <w:vertAlign w:val="superscript"/>
                    </w:rPr>
                    <w:t xml:space="preserve">2 </w:t>
                  </w:r>
                  <w:r>
                    <w:rPr>
                      <w:szCs w:val="21"/>
                    </w:rPr>
                    <w:t xml:space="preserve">    开采标高：+75.62m～+20.0m；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3" w:type="dxa"/>
                <w:trHeight w:val="488" w:hRule="atLeast"/>
                <w:jc w:val="center"/>
              </w:trPr>
              <w:tc>
                <w:tcPr>
                  <w:tcW w:w="823" w:type="dxa"/>
                  <w:noWrap/>
                  <w:vAlign w:val="center"/>
                </w:tcPr>
                <w:p>
                  <w:pPr>
                    <w:jc w:val="center"/>
                    <w:rPr>
                      <w:szCs w:val="21"/>
                    </w:rPr>
                  </w:pPr>
                  <w:r>
                    <w:rPr>
                      <w:rFonts w:hint="eastAsia"/>
                      <w:szCs w:val="21"/>
                    </w:rPr>
                    <w:t>D1</w:t>
                  </w:r>
                </w:p>
              </w:tc>
              <w:tc>
                <w:tcPr>
                  <w:tcW w:w="1583" w:type="dxa"/>
                  <w:gridSpan w:val="2"/>
                  <w:noWrap/>
                  <w:vAlign w:val="center"/>
                </w:tcPr>
                <w:p>
                  <w:pPr>
                    <w:widowControl/>
                    <w:jc w:val="center"/>
                    <w:rPr>
                      <w:kern w:val="0"/>
                      <w:szCs w:val="21"/>
                    </w:rPr>
                  </w:pPr>
                  <w:r>
                    <w:rPr>
                      <w:kern w:val="0"/>
                      <w:szCs w:val="21"/>
                    </w:rPr>
                    <w:t>3960684.20</w:t>
                  </w:r>
                </w:p>
              </w:tc>
              <w:tc>
                <w:tcPr>
                  <w:tcW w:w="1993" w:type="dxa"/>
                  <w:gridSpan w:val="2"/>
                  <w:noWrap/>
                  <w:vAlign w:val="center"/>
                </w:tcPr>
                <w:p>
                  <w:pPr>
                    <w:widowControl/>
                    <w:jc w:val="center"/>
                    <w:rPr>
                      <w:kern w:val="0"/>
                      <w:szCs w:val="21"/>
                    </w:rPr>
                  </w:pPr>
                  <w:r>
                    <w:rPr>
                      <w:kern w:val="0"/>
                      <w:szCs w:val="21"/>
                    </w:rPr>
                    <w:t>39469033.39</w:t>
                  </w:r>
                </w:p>
              </w:tc>
              <w:tc>
                <w:tcPr>
                  <w:tcW w:w="893" w:type="dxa"/>
                  <w:gridSpan w:val="2"/>
                  <w:noWrap/>
                  <w:vAlign w:val="center"/>
                </w:tcPr>
                <w:p>
                  <w:pPr>
                    <w:jc w:val="center"/>
                    <w:rPr>
                      <w:szCs w:val="21"/>
                    </w:rPr>
                  </w:pPr>
                  <w:r>
                    <w:rPr>
                      <w:rFonts w:hint="eastAsia"/>
                      <w:szCs w:val="21"/>
                    </w:rPr>
                    <w:t>D7</w:t>
                  </w:r>
                </w:p>
              </w:tc>
              <w:tc>
                <w:tcPr>
                  <w:tcW w:w="1841" w:type="dxa"/>
                  <w:gridSpan w:val="2"/>
                  <w:noWrap/>
                  <w:vAlign w:val="center"/>
                </w:tcPr>
                <w:p>
                  <w:pPr>
                    <w:widowControl/>
                    <w:jc w:val="center"/>
                    <w:rPr>
                      <w:kern w:val="0"/>
                      <w:szCs w:val="21"/>
                    </w:rPr>
                  </w:pPr>
                  <w:r>
                    <w:rPr>
                      <w:kern w:val="0"/>
                      <w:szCs w:val="21"/>
                    </w:rPr>
                    <w:t>3961346.28</w:t>
                  </w:r>
                </w:p>
              </w:tc>
              <w:tc>
                <w:tcPr>
                  <w:tcW w:w="1883" w:type="dxa"/>
                  <w:gridSpan w:val="2"/>
                  <w:noWrap/>
                  <w:vAlign w:val="center"/>
                </w:tcPr>
                <w:p>
                  <w:pPr>
                    <w:widowControl/>
                    <w:jc w:val="center"/>
                    <w:rPr>
                      <w:kern w:val="0"/>
                      <w:szCs w:val="21"/>
                    </w:rPr>
                  </w:pPr>
                  <w:r>
                    <w:rPr>
                      <w:kern w:val="0"/>
                      <w:szCs w:val="21"/>
                    </w:rPr>
                    <w:t>39469483.97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3" w:type="dxa"/>
                <w:trHeight w:val="488" w:hRule="atLeast"/>
                <w:jc w:val="center"/>
              </w:trPr>
              <w:tc>
                <w:tcPr>
                  <w:tcW w:w="823" w:type="dxa"/>
                  <w:noWrap/>
                  <w:vAlign w:val="center"/>
                </w:tcPr>
                <w:p>
                  <w:pPr>
                    <w:jc w:val="center"/>
                    <w:rPr>
                      <w:szCs w:val="21"/>
                    </w:rPr>
                  </w:pPr>
                  <w:r>
                    <w:rPr>
                      <w:rFonts w:hint="eastAsia"/>
                      <w:szCs w:val="21"/>
                    </w:rPr>
                    <w:t>D</w:t>
                  </w:r>
                  <w:r>
                    <w:rPr>
                      <w:szCs w:val="21"/>
                    </w:rPr>
                    <w:t>2</w:t>
                  </w:r>
                </w:p>
              </w:tc>
              <w:tc>
                <w:tcPr>
                  <w:tcW w:w="1583" w:type="dxa"/>
                  <w:gridSpan w:val="2"/>
                  <w:noWrap/>
                  <w:vAlign w:val="center"/>
                </w:tcPr>
                <w:p>
                  <w:pPr>
                    <w:widowControl/>
                    <w:jc w:val="center"/>
                    <w:rPr>
                      <w:kern w:val="0"/>
                      <w:szCs w:val="21"/>
                    </w:rPr>
                  </w:pPr>
                  <w:r>
                    <w:rPr>
                      <w:kern w:val="0"/>
                      <w:szCs w:val="21"/>
                    </w:rPr>
                    <w:t>3960883.28</w:t>
                  </w:r>
                </w:p>
              </w:tc>
              <w:tc>
                <w:tcPr>
                  <w:tcW w:w="1993" w:type="dxa"/>
                  <w:gridSpan w:val="2"/>
                  <w:noWrap/>
                  <w:vAlign w:val="center"/>
                </w:tcPr>
                <w:p>
                  <w:pPr>
                    <w:widowControl/>
                    <w:jc w:val="center"/>
                    <w:rPr>
                      <w:kern w:val="0"/>
                      <w:szCs w:val="21"/>
                    </w:rPr>
                  </w:pPr>
                  <w:r>
                    <w:rPr>
                      <w:kern w:val="0"/>
                      <w:szCs w:val="21"/>
                    </w:rPr>
                    <w:t>39469033.79</w:t>
                  </w:r>
                </w:p>
              </w:tc>
              <w:tc>
                <w:tcPr>
                  <w:tcW w:w="893" w:type="dxa"/>
                  <w:gridSpan w:val="2"/>
                  <w:noWrap/>
                  <w:vAlign w:val="center"/>
                </w:tcPr>
                <w:p>
                  <w:pPr>
                    <w:jc w:val="center"/>
                    <w:rPr>
                      <w:szCs w:val="21"/>
                    </w:rPr>
                  </w:pPr>
                  <w:r>
                    <w:rPr>
                      <w:rFonts w:hint="eastAsia"/>
                      <w:szCs w:val="21"/>
                    </w:rPr>
                    <w:t>D</w:t>
                  </w:r>
                  <w:r>
                    <w:rPr>
                      <w:szCs w:val="21"/>
                    </w:rPr>
                    <w:t>8</w:t>
                  </w:r>
                </w:p>
              </w:tc>
              <w:tc>
                <w:tcPr>
                  <w:tcW w:w="1841" w:type="dxa"/>
                  <w:gridSpan w:val="2"/>
                  <w:noWrap/>
                  <w:vAlign w:val="center"/>
                </w:tcPr>
                <w:p>
                  <w:pPr>
                    <w:widowControl/>
                    <w:jc w:val="center"/>
                    <w:rPr>
                      <w:kern w:val="0"/>
                      <w:szCs w:val="21"/>
                    </w:rPr>
                  </w:pPr>
                  <w:r>
                    <w:rPr>
                      <w:kern w:val="0"/>
                      <w:szCs w:val="21"/>
                    </w:rPr>
                    <w:t>3961323.92</w:t>
                  </w:r>
                </w:p>
              </w:tc>
              <w:tc>
                <w:tcPr>
                  <w:tcW w:w="1883" w:type="dxa"/>
                  <w:gridSpan w:val="2"/>
                  <w:noWrap/>
                  <w:vAlign w:val="center"/>
                </w:tcPr>
                <w:p>
                  <w:pPr>
                    <w:widowControl/>
                    <w:jc w:val="center"/>
                    <w:rPr>
                      <w:kern w:val="0"/>
                      <w:szCs w:val="21"/>
                    </w:rPr>
                  </w:pPr>
                  <w:r>
                    <w:rPr>
                      <w:kern w:val="0"/>
                      <w:szCs w:val="21"/>
                    </w:rPr>
                    <w:t>39470038.30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3" w:type="dxa"/>
                <w:trHeight w:val="488" w:hRule="atLeast"/>
                <w:jc w:val="center"/>
              </w:trPr>
              <w:tc>
                <w:tcPr>
                  <w:tcW w:w="823" w:type="dxa"/>
                  <w:noWrap/>
                  <w:vAlign w:val="center"/>
                </w:tcPr>
                <w:p>
                  <w:pPr>
                    <w:jc w:val="center"/>
                    <w:rPr>
                      <w:szCs w:val="21"/>
                    </w:rPr>
                  </w:pPr>
                  <w:r>
                    <w:rPr>
                      <w:rFonts w:hint="eastAsia"/>
                      <w:szCs w:val="21"/>
                    </w:rPr>
                    <w:t>D</w:t>
                  </w:r>
                  <w:r>
                    <w:rPr>
                      <w:szCs w:val="21"/>
                    </w:rPr>
                    <w:t>3</w:t>
                  </w:r>
                </w:p>
              </w:tc>
              <w:tc>
                <w:tcPr>
                  <w:tcW w:w="1583" w:type="dxa"/>
                  <w:gridSpan w:val="2"/>
                  <w:noWrap/>
                  <w:vAlign w:val="center"/>
                </w:tcPr>
                <w:p>
                  <w:pPr>
                    <w:widowControl/>
                    <w:jc w:val="center"/>
                    <w:rPr>
                      <w:kern w:val="0"/>
                      <w:szCs w:val="21"/>
                    </w:rPr>
                  </w:pPr>
                  <w:r>
                    <w:rPr>
                      <w:kern w:val="0"/>
                      <w:szCs w:val="21"/>
                    </w:rPr>
                    <w:t>3960883.66</w:t>
                  </w:r>
                </w:p>
              </w:tc>
              <w:tc>
                <w:tcPr>
                  <w:tcW w:w="1993" w:type="dxa"/>
                  <w:gridSpan w:val="2"/>
                  <w:noWrap/>
                  <w:vAlign w:val="center"/>
                </w:tcPr>
                <w:p>
                  <w:pPr>
                    <w:widowControl/>
                    <w:jc w:val="center"/>
                    <w:rPr>
                      <w:kern w:val="0"/>
                      <w:szCs w:val="21"/>
                    </w:rPr>
                  </w:pPr>
                  <w:r>
                    <w:rPr>
                      <w:kern w:val="0"/>
                      <w:szCs w:val="21"/>
                    </w:rPr>
                    <w:t>39468962.52</w:t>
                  </w:r>
                </w:p>
              </w:tc>
              <w:tc>
                <w:tcPr>
                  <w:tcW w:w="893" w:type="dxa"/>
                  <w:gridSpan w:val="2"/>
                  <w:noWrap/>
                  <w:vAlign w:val="center"/>
                </w:tcPr>
                <w:p>
                  <w:pPr>
                    <w:jc w:val="center"/>
                    <w:rPr>
                      <w:szCs w:val="21"/>
                    </w:rPr>
                  </w:pPr>
                  <w:r>
                    <w:rPr>
                      <w:rFonts w:hint="eastAsia"/>
                      <w:szCs w:val="21"/>
                    </w:rPr>
                    <w:t>D</w:t>
                  </w:r>
                  <w:r>
                    <w:rPr>
                      <w:szCs w:val="21"/>
                    </w:rPr>
                    <w:t>9</w:t>
                  </w:r>
                </w:p>
              </w:tc>
              <w:tc>
                <w:tcPr>
                  <w:tcW w:w="1841" w:type="dxa"/>
                  <w:gridSpan w:val="2"/>
                  <w:noWrap/>
                  <w:vAlign w:val="center"/>
                </w:tcPr>
                <w:p>
                  <w:pPr>
                    <w:widowControl/>
                    <w:jc w:val="center"/>
                    <w:rPr>
                      <w:kern w:val="0"/>
                      <w:szCs w:val="21"/>
                    </w:rPr>
                  </w:pPr>
                  <w:r>
                    <w:rPr>
                      <w:kern w:val="0"/>
                      <w:szCs w:val="21"/>
                    </w:rPr>
                    <w:t>3961199.92</w:t>
                  </w:r>
                </w:p>
              </w:tc>
              <w:tc>
                <w:tcPr>
                  <w:tcW w:w="1883" w:type="dxa"/>
                  <w:gridSpan w:val="2"/>
                  <w:noWrap/>
                  <w:vAlign w:val="center"/>
                </w:tcPr>
                <w:p>
                  <w:pPr>
                    <w:widowControl/>
                    <w:jc w:val="center"/>
                    <w:rPr>
                      <w:kern w:val="0"/>
                      <w:szCs w:val="21"/>
                    </w:rPr>
                  </w:pPr>
                  <w:r>
                    <w:rPr>
                      <w:kern w:val="0"/>
                      <w:szCs w:val="21"/>
                    </w:rPr>
                    <w:t>39470031.95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3" w:type="dxa"/>
                <w:trHeight w:val="488" w:hRule="atLeast"/>
                <w:jc w:val="center"/>
              </w:trPr>
              <w:tc>
                <w:tcPr>
                  <w:tcW w:w="823" w:type="dxa"/>
                  <w:noWrap/>
                  <w:vAlign w:val="center"/>
                </w:tcPr>
                <w:p>
                  <w:pPr>
                    <w:jc w:val="center"/>
                    <w:rPr>
                      <w:szCs w:val="21"/>
                    </w:rPr>
                  </w:pPr>
                  <w:r>
                    <w:rPr>
                      <w:rFonts w:hint="eastAsia"/>
                      <w:szCs w:val="21"/>
                    </w:rPr>
                    <w:t>D</w:t>
                  </w:r>
                  <w:r>
                    <w:rPr>
                      <w:szCs w:val="21"/>
                    </w:rPr>
                    <w:t>4</w:t>
                  </w:r>
                </w:p>
              </w:tc>
              <w:tc>
                <w:tcPr>
                  <w:tcW w:w="1583" w:type="dxa"/>
                  <w:gridSpan w:val="2"/>
                  <w:noWrap/>
                  <w:vAlign w:val="center"/>
                </w:tcPr>
                <w:p>
                  <w:pPr>
                    <w:widowControl/>
                    <w:jc w:val="center"/>
                    <w:rPr>
                      <w:kern w:val="0"/>
                      <w:szCs w:val="21"/>
                    </w:rPr>
                  </w:pPr>
                  <w:r>
                    <w:rPr>
                      <w:kern w:val="0"/>
                      <w:szCs w:val="21"/>
                    </w:rPr>
                    <w:t>3960986.37</w:t>
                  </w:r>
                </w:p>
              </w:tc>
              <w:tc>
                <w:tcPr>
                  <w:tcW w:w="1993" w:type="dxa"/>
                  <w:gridSpan w:val="2"/>
                  <w:noWrap/>
                  <w:vAlign w:val="center"/>
                </w:tcPr>
                <w:p>
                  <w:pPr>
                    <w:widowControl/>
                    <w:jc w:val="center"/>
                    <w:rPr>
                      <w:kern w:val="0"/>
                      <w:szCs w:val="21"/>
                    </w:rPr>
                  </w:pPr>
                  <w:r>
                    <w:rPr>
                      <w:kern w:val="0"/>
                      <w:szCs w:val="21"/>
                    </w:rPr>
                    <w:t>39468962.65</w:t>
                  </w:r>
                </w:p>
              </w:tc>
              <w:tc>
                <w:tcPr>
                  <w:tcW w:w="893" w:type="dxa"/>
                  <w:gridSpan w:val="2"/>
                  <w:noWrap/>
                  <w:vAlign w:val="center"/>
                </w:tcPr>
                <w:p>
                  <w:pPr>
                    <w:jc w:val="center"/>
                    <w:rPr>
                      <w:szCs w:val="21"/>
                    </w:rPr>
                  </w:pPr>
                  <w:r>
                    <w:rPr>
                      <w:rFonts w:hint="eastAsia"/>
                      <w:szCs w:val="21"/>
                    </w:rPr>
                    <w:t>D</w:t>
                  </w:r>
                  <w:r>
                    <w:rPr>
                      <w:szCs w:val="21"/>
                    </w:rPr>
                    <w:t>10</w:t>
                  </w:r>
                </w:p>
              </w:tc>
              <w:tc>
                <w:tcPr>
                  <w:tcW w:w="1841" w:type="dxa"/>
                  <w:gridSpan w:val="2"/>
                  <w:noWrap/>
                  <w:vAlign w:val="center"/>
                </w:tcPr>
                <w:p>
                  <w:pPr>
                    <w:widowControl/>
                    <w:jc w:val="center"/>
                    <w:rPr>
                      <w:kern w:val="0"/>
                      <w:szCs w:val="21"/>
                    </w:rPr>
                  </w:pPr>
                  <w:r>
                    <w:rPr>
                      <w:kern w:val="0"/>
                      <w:szCs w:val="21"/>
                    </w:rPr>
                    <w:t>3961112.42</w:t>
                  </w:r>
                </w:p>
              </w:tc>
              <w:tc>
                <w:tcPr>
                  <w:tcW w:w="1883" w:type="dxa"/>
                  <w:gridSpan w:val="2"/>
                  <w:noWrap/>
                  <w:vAlign w:val="center"/>
                </w:tcPr>
                <w:p>
                  <w:pPr>
                    <w:widowControl/>
                    <w:jc w:val="center"/>
                    <w:rPr>
                      <w:kern w:val="0"/>
                      <w:szCs w:val="21"/>
                    </w:rPr>
                  </w:pPr>
                  <w:r>
                    <w:rPr>
                      <w:kern w:val="0"/>
                      <w:szCs w:val="21"/>
                    </w:rPr>
                    <w:t>39469709.73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3" w:type="dxa"/>
                <w:trHeight w:val="488" w:hRule="atLeast"/>
                <w:jc w:val="center"/>
              </w:trPr>
              <w:tc>
                <w:tcPr>
                  <w:tcW w:w="823" w:type="dxa"/>
                  <w:noWrap/>
                  <w:vAlign w:val="center"/>
                </w:tcPr>
                <w:p>
                  <w:pPr>
                    <w:jc w:val="center"/>
                    <w:rPr>
                      <w:szCs w:val="21"/>
                    </w:rPr>
                  </w:pPr>
                  <w:r>
                    <w:rPr>
                      <w:rFonts w:hint="eastAsia"/>
                      <w:szCs w:val="21"/>
                    </w:rPr>
                    <w:t>D</w:t>
                  </w:r>
                  <w:r>
                    <w:rPr>
                      <w:szCs w:val="21"/>
                    </w:rPr>
                    <w:t>5</w:t>
                  </w:r>
                </w:p>
              </w:tc>
              <w:tc>
                <w:tcPr>
                  <w:tcW w:w="1583" w:type="dxa"/>
                  <w:gridSpan w:val="2"/>
                  <w:noWrap/>
                  <w:vAlign w:val="center"/>
                </w:tcPr>
                <w:p>
                  <w:pPr>
                    <w:widowControl/>
                    <w:jc w:val="center"/>
                    <w:rPr>
                      <w:kern w:val="0"/>
                      <w:szCs w:val="21"/>
                    </w:rPr>
                  </w:pPr>
                  <w:r>
                    <w:rPr>
                      <w:kern w:val="0"/>
                      <w:szCs w:val="21"/>
                    </w:rPr>
                    <w:t>3961201.27</w:t>
                  </w:r>
                </w:p>
              </w:tc>
              <w:tc>
                <w:tcPr>
                  <w:tcW w:w="1993" w:type="dxa"/>
                  <w:gridSpan w:val="2"/>
                  <w:noWrap/>
                  <w:vAlign w:val="center"/>
                </w:tcPr>
                <w:p>
                  <w:pPr>
                    <w:widowControl/>
                    <w:jc w:val="center"/>
                    <w:rPr>
                      <w:kern w:val="0"/>
                      <w:szCs w:val="21"/>
                    </w:rPr>
                  </w:pPr>
                  <w:r>
                    <w:rPr>
                      <w:kern w:val="0"/>
                      <w:szCs w:val="21"/>
                    </w:rPr>
                    <w:t>39469323.35</w:t>
                  </w:r>
                </w:p>
              </w:tc>
              <w:tc>
                <w:tcPr>
                  <w:tcW w:w="893" w:type="dxa"/>
                  <w:gridSpan w:val="2"/>
                  <w:noWrap/>
                  <w:vAlign w:val="center"/>
                </w:tcPr>
                <w:p>
                  <w:pPr>
                    <w:jc w:val="center"/>
                    <w:rPr>
                      <w:szCs w:val="21"/>
                    </w:rPr>
                  </w:pPr>
                  <w:r>
                    <w:rPr>
                      <w:rFonts w:hint="eastAsia"/>
                      <w:szCs w:val="21"/>
                    </w:rPr>
                    <w:t>D</w:t>
                  </w:r>
                  <w:r>
                    <w:rPr>
                      <w:szCs w:val="21"/>
                    </w:rPr>
                    <w:t>11</w:t>
                  </w:r>
                </w:p>
              </w:tc>
              <w:tc>
                <w:tcPr>
                  <w:tcW w:w="1841" w:type="dxa"/>
                  <w:gridSpan w:val="2"/>
                  <w:noWrap/>
                  <w:vAlign w:val="center"/>
                </w:tcPr>
                <w:p>
                  <w:pPr>
                    <w:widowControl/>
                    <w:jc w:val="center"/>
                    <w:rPr>
                      <w:kern w:val="0"/>
                      <w:szCs w:val="21"/>
                    </w:rPr>
                  </w:pPr>
                  <w:r>
                    <w:rPr>
                      <w:kern w:val="0"/>
                      <w:szCs w:val="21"/>
                    </w:rPr>
                    <w:t>3960806.48</w:t>
                  </w:r>
                </w:p>
              </w:tc>
              <w:tc>
                <w:tcPr>
                  <w:tcW w:w="1883" w:type="dxa"/>
                  <w:gridSpan w:val="2"/>
                  <w:noWrap/>
                  <w:vAlign w:val="center"/>
                </w:tcPr>
                <w:p>
                  <w:pPr>
                    <w:widowControl/>
                    <w:jc w:val="center"/>
                    <w:rPr>
                      <w:kern w:val="0"/>
                      <w:szCs w:val="21"/>
                    </w:rPr>
                  </w:pPr>
                  <w:r>
                    <w:rPr>
                      <w:kern w:val="0"/>
                      <w:szCs w:val="21"/>
                    </w:rPr>
                    <w:t>39469709.95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3" w:type="dxa"/>
                <w:trHeight w:val="488" w:hRule="atLeast"/>
                <w:jc w:val="center"/>
              </w:trPr>
              <w:tc>
                <w:tcPr>
                  <w:tcW w:w="823" w:type="dxa"/>
                  <w:noWrap/>
                  <w:vAlign w:val="center"/>
                </w:tcPr>
                <w:p>
                  <w:pPr>
                    <w:jc w:val="center"/>
                    <w:rPr>
                      <w:szCs w:val="21"/>
                    </w:rPr>
                  </w:pPr>
                  <w:r>
                    <w:rPr>
                      <w:rFonts w:hint="eastAsia"/>
                      <w:szCs w:val="21"/>
                    </w:rPr>
                    <w:t>D</w:t>
                  </w:r>
                  <w:r>
                    <w:rPr>
                      <w:szCs w:val="21"/>
                    </w:rPr>
                    <w:t>6</w:t>
                  </w:r>
                </w:p>
              </w:tc>
              <w:tc>
                <w:tcPr>
                  <w:tcW w:w="1583" w:type="dxa"/>
                  <w:gridSpan w:val="2"/>
                  <w:noWrap/>
                  <w:vAlign w:val="center"/>
                </w:tcPr>
                <w:p>
                  <w:pPr>
                    <w:widowControl/>
                    <w:jc w:val="center"/>
                    <w:rPr>
                      <w:kern w:val="0"/>
                      <w:szCs w:val="21"/>
                    </w:rPr>
                  </w:pPr>
                  <w:r>
                    <w:rPr>
                      <w:kern w:val="0"/>
                      <w:szCs w:val="21"/>
                    </w:rPr>
                    <w:t>3961201.84</w:t>
                  </w:r>
                </w:p>
              </w:tc>
              <w:tc>
                <w:tcPr>
                  <w:tcW w:w="1993" w:type="dxa"/>
                  <w:gridSpan w:val="2"/>
                  <w:noWrap/>
                  <w:vAlign w:val="center"/>
                </w:tcPr>
                <w:p>
                  <w:pPr>
                    <w:widowControl/>
                    <w:jc w:val="center"/>
                    <w:rPr>
                      <w:kern w:val="0"/>
                      <w:szCs w:val="21"/>
                    </w:rPr>
                  </w:pPr>
                  <w:r>
                    <w:rPr>
                      <w:kern w:val="0"/>
                      <w:szCs w:val="21"/>
                    </w:rPr>
                    <w:t>39469484.04</w:t>
                  </w:r>
                </w:p>
              </w:tc>
              <w:tc>
                <w:tcPr>
                  <w:tcW w:w="893" w:type="dxa"/>
                  <w:gridSpan w:val="2"/>
                  <w:noWrap/>
                  <w:vAlign w:val="center"/>
                </w:tcPr>
                <w:p>
                  <w:pPr>
                    <w:jc w:val="center"/>
                    <w:rPr>
                      <w:szCs w:val="21"/>
                    </w:rPr>
                  </w:pPr>
                  <w:r>
                    <w:rPr>
                      <w:rFonts w:hint="eastAsia"/>
                      <w:szCs w:val="21"/>
                    </w:rPr>
                    <w:t>D</w:t>
                  </w:r>
                  <w:r>
                    <w:rPr>
                      <w:szCs w:val="21"/>
                    </w:rPr>
                    <w:t>12</w:t>
                  </w:r>
                </w:p>
              </w:tc>
              <w:tc>
                <w:tcPr>
                  <w:tcW w:w="1841" w:type="dxa"/>
                  <w:gridSpan w:val="2"/>
                  <w:noWrap/>
                  <w:vAlign w:val="center"/>
                </w:tcPr>
                <w:p>
                  <w:pPr>
                    <w:widowControl/>
                    <w:jc w:val="center"/>
                    <w:rPr>
                      <w:kern w:val="0"/>
                      <w:szCs w:val="21"/>
                    </w:rPr>
                  </w:pPr>
                  <w:r>
                    <w:rPr>
                      <w:kern w:val="0"/>
                      <w:szCs w:val="21"/>
                    </w:rPr>
                    <w:t>3960685.63</w:t>
                  </w:r>
                </w:p>
              </w:tc>
              <w:tc>
                <w:tcPr>
                  <w:tcW w:w="1883" w:type="dxa"/>
                  <w:gridSpan w:val="2"/>
                  <w:noWrap/>
                  <w:vAlign w:val="center"/>
                </w:tcPr>
                <w:p>
                  <w:pPr>
                    <w:widowControl/>
                    <w:jc w:val="center"/>
                    <w:rPr>
                      <w:kern w:val="0"/>
                      <w:szCs w:val="21"/>
                    </w:rPr>
                  </w:pPr>
                  <w:r>
                    <w:rPr>
                      <w:kern w:val="0"/>
                      <w:szCs w:val="21"/>
                    </w:rPr>
                    <w:t>39469443.02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3" w:type="dxa"/>
                <w:trHeight w:val="488" w:hRule="atLeast"/>
                <w:jc w:val="center"/>
              </w:trPr>
              <w:tc>
                <w:tcPr>
                  <w:tcW w:w="9016" w:type="dxa"/>
                  <w:gridSpan w:val="11"/>
                  <w:noWrap/>
                  <w:vAlign w:val="center"/>
                </w:tcPr>
                <w:p>
                  <w:pPr>
                    <w:jc w:val="center"/>
                    <w:rPr>
                      <w:szCs w:val="21"/>
                    </w:rPr>
                  </w:pPr>
                  <w:r>
                    <w:rPr>
                      <w:szCs w:val="21"/>
                    </w:rPr>
                    <w:t>第</w:t>
                  </w:r>
                  <w:r>
                    <w:rPr>
                      <w:rFonts w:hint="eastAsia"/>
                      <w:szCs w:val="21"/>
                    </w:rPr>
                    <w:t>三</w:t>
                  </w:r>
                  <w:r>
                    <w:rPr>
                      <w:szCs w:val="21"/>
                    </w:rPr>
                    <w:t>区块</w:t>
                  </w:r>
                  <w:r>
                    <w:rPr>
                      <w:rFonts w:hint="eastAsia"/>
                      <w:szCs w:val="21"/>
                    </w:rPr>
                    <w:t>（</w:t>
                  </w:r>
                  <w:r>
                    <w:rPr>
                      <w:rFonts w:hint="eastAsia" w:ascii="宋体" w:hAnsi="宋体" w:cs="宋体"/>
                      <w:szCs w:val="21"/>
                    </w:rPr>
                    <w:t>Ⅲ</w:t>
                  </w:r>
                  <w:r>
                    <w:rPr>
                      <w:szCs w:val="21"/>
                    </w:rPr>
                    <w:t>矿段</w:t>
                  </w:r>
                  <w:r>
                    <w:rPr>
                      <w:rFonts w:hint="eastAsia"/>
                      <w:szCs w:val="21"/>
                    </w:rPr>
                    <w:t>）：</w:t>
                  </w:r>
                  <w:r>
                    <w:rPr>
                      <w:szCs w:val="21"/>
                    </w:rPr>
                    <w:t>面积：0.113km</w:t>
                  </w:r>
                  <w:r>
                    <w:rPr>
                      <w:szCs w:val="21"/>
                      <w:vertAlign w:val="superscript"/>
                    </w:rPr>
                    <w:t xml:space="preserve">2 </w:t>
                  </w:r>
                  <w:r>
                    <w:rPr>
                      <w:szCs w:val="21"/>
                    </w:rPr>
                    <w:t xml:space="preserve">    开采标高：+63.47m～+20.0m；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831" w:type="dxa"/>
                  <w:gridSpan w:val="2"/>
                  <w:noWrap/>
                  <w:vAlign w:val="center"/>
                </w:tcPr>
                <w:p>
                  <w:pPr>
                    <w:jc w:val="center"/>
                    <w:rPr>
                      <w:szCs w:val="21"/>
                    </w:rPr>
                  </w:pPr>
                  <w:r>
                    <w:rPr>
                      <w:rFonts w:hint="eastAsia"/>
                      <w:szCs w:val="21"/>
                    </w:rPr>
                    <w:t>D1</w:t>
                  </w:r>
                </w:p>
              </w:tc>
              <w:tc>
                <w:tcPr>
                  <w:tcW w:w="1701" w:type="dxa"/>
                  <w:gridSpan w:val="2"/>
                  <w:noWrap/>
                  <w:vAlign w:val="center"/>
                </w:tcPr>
                <w:p>
                  <w:pPr>
                    <w:widowControl/>
                    <w:jc w:val="center"/>
                    <w:rPr>
                      <w:kern w:val="0"/>
                      <w:szCs w:val="21"/>
                    </w:rPr>
                  </w:pPr>
                  <w:r>
                    <w:rPr>
                      <w:kern w:val="0"/>
                      <w:szCs w:val="21"/>
                    </w:rPr>
                    <w:t>3960724.91</w:t>
                  </w:r>
                </w:p>
              </w:tc>
              <w:tc>
                <w:tcPr>
                  <w:tcW w:w="1903" w:type="dxa"/>
                  <w:gridSpan w:val="2"/>
                  <w:noWrap/>
                  <w:vAlign w:val="center"/>
                </w:tcPr>
                <w:p>
                  <w:pPr>
                    <w:widowControl/>
                    <w:jc w:val="center"/>
                    <w:rPr>
                      <w:kern w:val="0"/>
                      <w:szCs w:val="21"/>
                    </w:rPr>
                  </w:pPr>
                  <w:r>
                    <w:rPr>
                      <w:kern w:val="0"/>
                      <w:szCs w:val="21"/>
                    </w:rPr>
                    <w:t>39469792.58</w:t>
                  </w:r>
                </w:p>
              </w:tc>
              <w:tc>
                <w:tcPr>
                  <w:tcW w:w="900" w:type="dxa"/>
                  <w:gridSpan w:val="2"/>
                  <w:noWrap/>
                  <w:vAlign w:val="center"/>
                </w:tcPr>
                <w:p>
                  <w:pPr>
                    <w:jc w:val="center"/>
                    <w:rPr>
                      <w:szCs w:val="21"/>
                    </w:rPr>
                  </w:pPr>
                  <w:r>
                    <w:rPr>
                      <w:rFonts w:hint="eastAsia"/>
                      <w:szCs w:val="21"/>
                    </w:rPr>
                    <w:t>D8</w:t>
                  </w:r>
                </w:p>
              </w:tc>
              <w:tc>
                <w:tcPr>
                  <w:tcW w:w="1856" w:type="dxa"/>
                  <w:gridSpan w:val="2"/>
                  <w:noWrap/>
                  <w:vAlign w:val="center"/>
                </w:tcPr>
                <w:p>
                  <w:pPr>
                    <w:widowControl/>
                    <w:jc w:val="center"/>
                    <w:rPr>
                      <w:kern w:val="0"/>
                      <w:szCs w:val="21"/>
                    </w:rPr>
                  </w:pPr>
                  <w:r>
                    <w:rPr>
                      <w:kern w:val="0"/>
                      <w:szCs w:val="21"/>
                    </w:rPr>
                    <w:t>3960507.95</w:t>
                  </w:r>
                </w:p>
              </w:tc>
              <w:tc>
                <w:tcPr>
                  <w:tcW w:w="1898" w:type="dxa"/>
                  <w:gridSpan w:val="2"/>
                  <w:noWrap/>
                  <w:vAlign w:val="center"/>
                </w:tcPr>
                <w:p>
                  <w:pPr>
                    <w:widowControl/>
                    <w:jc w:val="center"/>
                    <w:rPr>
                      <w:kern w:val="0"/>
                      <w:szCs w:val="21"/>
                    </w:rPr>
                  </w:pPr>
                  <w:r>
                    <w:rPr>
                      <w:kern w:val="0"/>
                      <w:szCs w:val="21"/>
                    </w:rPr>
                    <w:t>39469950.08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31" w:type="dxa"/>
                  <w:gridSpan w:val="2"/>
                  <w:noWrap/>
                  <w:vAlign w:val="center"/>
                </w:tcPr>
                <w:p>
                  <w:pPr>
                    <w:jc w:val="center"/>
                    <w:rPr>
                      <w:szCs w:val="21"/>
                    </w:rPr>
                  </w:pPr>
                  <w:r>
                    <w:rPr>
                      <w:rFonts w:hint="eastAsia"/>
                      <w:szCs w:val="21"/>
                    </w:rPr>
                    <w:t>D</w:t>
                  </w:r>
                  <w:r>
                    <w:rPr>
                      <w:szCs w:val="21"/>
                    </w:rPr>
                    <w:t>2</w:t>
                  </w:r>
                </w:p>
              </w:tc>
              <w:tc>
                <w:tcPr>
                  <w:tcW w:w="1701" w:type="dxa"/>
                  <w:gridSpan w:val="2"/>
                  <w:noWrap/>
                  <w:vAlign w:val="center"/>
                </w:tcPr>
                <w:p>
                  <w:pPr>
                    <w:widowControl/>
                    <w:jc w:val="center"/>
                    <w:rPr>
                      <w:kern w:val="0"/>
                      <w:szCs w:val="21"/>
                    </w:rPr>
                  </w:pPr>
                  <w:r>
                    <w:rPr>
                      <w:kern w:val="0"/>
                      <w:szCs w:val="21"/>
                    </w:rPr>
                    <w:t>3960617.29</w:t>
                  </w:r>
                </w:p>
              </w:tc>
              <w:tc>
                <w:tcPr>
                  <w:tcW w:w="1903" w:type="dxa"/>
                  <w:gridSpan w:val="2"/>
                  <w:noWrap/>
                  <w:vAlign w:val="center"/>
                </w:tcPr>
                <w:p>
                  <w:pPr>
                    <w:widowControl/>
                    <w:jc w:val="center"/>
                    <w:rPr>
                      <w:kern w:val="0"/>
                      <w:szCs w:val="21"/>
                    </w:rPr>
                  </w:pPr>
                  <w:r>
                    <w:rPr>
                      <w:kern w:val="0"/>
                      <w:szCs w:val="21"/>
                    </w:rPr>
                    <w:t>39469792.88</w:t>
                  </w:r>
                </w:p>
              </w:tc>
              <w:tc>
                <w:tcPr>
                  <w:tcW w:w="900" w:type="dxa"/>
                  <w:gridSpan w:val="2"/>
                  <w:noWrap/>
                  <w:vAlign w:val="center"/>
                </w:tcPr>
                <w:p>
                  <w:pPr>
                    <w:jc w:val="center"/>
                    <w:rPr>
                      <w:szCs w:val="21"/>
                    </w:rPr>
                  </w:pPr>
                  <w:r>
                    <w:rPr>
                      <w:rFonts w:hint="eastAsia"/>
                      <w:szCs w:val="21"/>
                    </w:rPr>
                    <w:t>D</w:t>
                  </w:r>
                  <w:r>
                    <w:rPr>
                      <w:szCs w:val="21"/>
                    </w:rPr>
                    <w:t>9</w:t>
                  </w:r>
                </w:p>
              </w:tc>
              <w:tc>
                <w:tcPr>
                  <w:tcW w:w="1856" w:type="dxa"/>
                  <w:gridSpan w:val="2"/>
                  <w:noWrap/>
                  <w:vAlign w:val="center"/>
                </w:tcPr>
                <w:p>
                  <w:pPr>
                    <w:widowControl/>
                    <w:jc w:val="center"/>
                    <w:rPr>
                      <w:kern w:val="0"/>
                      <w:szCs w:val="21"/>
                    </w:rPr>
                  </w:pPr>
                  <w:r>
                    <w:rPr>
                      <w:kern w:val="0"/>
                      <w:szCs w:val="21"/>
                    </w:rPr>
                    <w:t>3960507.88</w:t>
                  </w:r>
                </w:p>
              </w:tc>
              <w:tc>
                <w:tcPr>
                  <w:tcW w:w="1898" w:type="dxa"/>
                  <w:gridSpan w:val="2"/>
                  <w:noWrap/>
                  <w:vAlign w:val="center"/>
                </w:tcPr>
                <w:p>
                  <w:pPr>
                    <w:widowControl/>
                    <w:jc w:val="center"/>
                    <w:rPr>
                      <w:kern w:val="0"/>
                      <w:szCs w:val="21"/>
                    </w:rPr>
                  </w:pPr>
                  <w:r>
                    <w:rPr>
                      <w:kern w:val="0"/>
                      <w:szCs w:val="21"/>
                    </w:rPr>
                    <w:t>39470099.90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31" w:type="dxa"/>
                  <w:gridSpan w:val="2"/>
                  <w:noWrap/>
                  <w:vAlign w:val="center"/>
                </w:tcPr>
                <w:p>
                  <w:pPr>
                    <w:jc w:val="center"/>
                    <w:rPr>
                      <w:szCs w:val="21"/>
                    </w:rPr>
                  </w:pPr>
                  <w:r>
                    <w:rPr>
                      <w:rFonts w:hint="eastAsia"/>
                      <w:szCs w:val="21"/>
                    </w:rPr>
                    <w:t>D</w:t>
                  </w:r>
                  <w:r>
                    <w:rPr>
                      <w:szCs w:val="21"/>
                    </w:rPr>
                    <w:t>3</w:t>
                  </w:r>
                </w:p>
              </w:tc>
              <w:tc>
                <w:tcPr>
                  <w:tcW w:w="1701" w:type="dxa"/>
                  <w:gridSpan w:val="2"/>
                  <w:noWrap/>
                  <w:vAlign w:val="center"/>
                </w:tcPr>
                <w:p>
                  <w:pPr>
                    <w:widowControl/>
                    <w:jc w:val="center"/>
                    <w:rPr>
                      <w:kern w:val="0"/>
                      <w:szCs w:val="21"/>
                    </w:rPr>
                  </w:pPr>
                  <w:r>
                    <w:rPr>
                      <w:kern w:val="0"/>
                      <w:szCs w:val="21"/>
                    </w:rPr>
                    <w:t>3960538.42</w:t>
                  </w:r>
                </w:p>
              </w:tc>
              <w:tc>
                <w:tcPr>
                  <w:tcW w:w="1903" w:type="dxa"/>
                  <w:gridSpan w:val="2"/>
                  <w:noWrap/>
                  <w:vAlign w:val="center"/>
                </w:tcPr>
                <w:p>
                  <w:pPr>
                    <w:widowControl/>
                    <w:jc w:val="center"/>
                    <w:rPr>
                      <w:kern w:val="0"/>
                      <w:szCs w:val="21"/>
                    </w:rPr>
                  </w:pPr>
                  <w:r>
                    <w:rPr>
                      <w:kern w:val="0"/>
                      <w:szCs w:val="21"/>
                    </w:rPr>
                    <w:t>39469468.73</w:t>
                  </w:r>
                </w:p>
              </w:tc>
              <w:tc>
                <w:tcPr>
                  <w:tcW w:w="900" w:type="dxa"/>
                  <w:gridSpan w:val="2"/>
                  <w:noWrap/>
                  <w:vAlign w:val="center"/>
                </w:tcPr>
                <w:p>
                  <w:pPr>
                    <w:jc w:val="center"/>
                    <w:rPr>
                      <w:szCs w:val="21"/>
                    </w:rPr>
                  </w:pPr>
                  <w:r>
                    <w:rPr>
                      <w:rFonts w:hint="eastAsia"/>
                      <w:szCs w:val="21"/>
                    </w:rPr>
                    <w:t>D</w:t>
                  </w:r>
                  <w:r>
                    <w:rPr>
                      <w:szCs w:val="21"/>
                    </w:rPr>
                    <w:t>10</w:t>
                  </w:r>
                </w:p>
              </w:tc>
              <w:tc>
                <w:tcPr>
                  <w:tcW w:w="1856" w:type="dxa"/>
                  <w:gridSpan w:val="2"/>
                  <w:noWrap/>
                  <w:vAlign w:val="center"/>
                </w:tcPr>
                <w:p>
                  <w:pPr>
                    <w:widowControl/>
                    <w:jc w:val="center"/>
                    <w:rPr>
                      <w:kern w:val="0"/>
                      <w:szCs w:val="21"/>
                    </w:rPr>
                  </w:pPr>
                  <w:r>
                    <w:rPr>
                      <w:kern w:val="0"/>
                      <w:szCs w:val="21"/>
                    </w:rPr>
                    <w:t>3960568.99</w:t>
                  </w:r>
                </w:p>
              </w:tc>
              <w:tc>
                <w:tcPr>
                  <w:tcW w:w="1898" w:type="dxa"/>
                  <w:gridSpan w:val="2"/>
                  <w:noWrap/>
                  <w:vAlign w:val="center"/>
                </w:tcPr>
                <w:p>
                  <w:pPr>
                    <w:widowControl/>
                    <w:jc w:val="center"/>
                    <w:rPr>
                      <w:kern w:val="0"/>
                      <w:szCs w:val="21"/>
                    </w:rPr>
                  </w:pPr>
                  <w:r>
                    <w:rPr>
                      <w:kern w:val="0"/>
                      <w:szCs w:val="21"/>
                    </w:rPr>
                    <w:t>39470100.55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31" w:type="dxa"/>
                  <w:gridSpan w:val="2"/>
                  <w:noWrap/>
                  <w:vAlign w:val="center"/>
                </w:tcPr>
                <w:p>
                  <w:pPr>
                    <w:jc w:val="center"/>
                    <w:rPr>
                      <w:szCs w:val="21"/>
                    </w:rPr>
                  </w:pPr>
                  <w:r>
                    <w:rPr>
                      <w:rFonts w:hint="eastAsia"/>
                      <w:szCs w:val="21"/>
                    </w:rPr>
                    <w:t>D</w:t>
                  </w:r>
                  <w:r>
                    <w:rPr>
                      <w:szCs w:val="21"/>
                    </w:rPr>
                    <w:t>4</w:t>
                  </w:r>
                </w:p>
              </w:tc>
              <w:tc>
                <w:tcPr>
                  <w:tcW w:w="1701" w:type="dxa"/>
                  <w:gridSpan w:val="2"/>
                  <w:noWrap/>
                  <w:vAlign w:val="center"/>
                </w:tcPr>
                <w:p>
                  <w:pPr>
                    <w:widowControl/>
                    <w:jc w:val="center"/>
                    <w:rPr>
                      <w:kern w:val="0"/>
                      <w:szCs w:val="21"/>
                    </w:rPr>
                  </w:pPr>
                  <w:r>
                    <w:rPr>
                      <w:kern w:val="0"/>
                      <w:szCs w:val="21"/>
                    </w:rPr>
                    <w:t>3960412.05</w:t>
                  </w:r>
                </w:p>
              </w:tc>
              <w:tc>
                <w:tcPr>
                  <w:tcW w:w="1903" w:type="dxa"/>
                  <w:gridSpan w:val="2"/>
                  <w:noWrap/>
                  <w:vAlign w:val="center"/>
                </w:tcPr>
                <w:p>
                  <w:pPr>
                    <w:widowControl/>
                    <w:jc w:val="center"/>
                    <w:rPr>
                      <w:kern w:val="0"/>
                      <w:szCs w:val="21"/>
                    </w:rPr>
                  </w:pPr>
                  <w:r>
                    <w:rPr>
                      <w:kern w:val="0"/>
                      <w:szCs w:val="21"/>
                    </w:rPr>
                    <w:t>39469468.74</w:t>
                  </w:r>
                </w:p>
              </w:tc>
              <w:tc>
                <w:tcPr>
                  <w:tcW w:w="900" w:type="dxa"/>
                  <w:gridSpan w:val="2"/>
                  <w:noWrap/>
                  <w:vAlign w:val="center"/>
                </w:tcPr>
                <w:p>
                  <w:pPr>
                    <w:jc w:val="center"/>
                    <w:rPr>
                      <w:szCs w:val="21"/>
                    </w:rPr>
                  </w:pPr>
                  <w:r>
                    <w:rPr>
                      <w:rFonts w:hint="eastAsia"/>
                      <w:szCs w:val="21"/>
                    </w:rPr>
                    <w:t>D</w:t>
                  </w:r>
                  <w:r>
                    <w:rPr>
                      <w:szCs w:val="21"/>
                    </w:rPr>
                    <w:t>11</w:t>
                  </w:r>
                </w:p>
              </w:tc>
              <w:tc>
                <w:tcPr>
                  <w:tcW w:w="1856" w:type="dxa"/>
                  <w:gridSpan w:val="2"/>
                  <w:noWrap/>
                  <w:vAlign w:val="center"/>
                </w:tcPr>
                <w:p>
                  <w:pPr>
                    <w:widowControl/>
                    <w:jc w:val="center"/>
                    <w:rPr>
                      <w:kern w:val="0"/>
                      <w:szCs w:val="21"/>
                    </w:rPr>
                  </w:pPr>
                  <w:r>
                    <w:rPr>
                      <w:kern w:val="0"/>
                      <w:szCs w:val="21"/>
                    </w:rPr>
                    <w:t>3960569.04</w:t>
                  </w:r>
                </w:p>
              </w:tc>
              <w:tc>
                <w:tcPr>
                  <w:tcW w:w="1898" w:type="dxa"/>
                  <w:gridSpan w:val="2"/>
                  <w:noWrap/>
                  <w:vAlign w:val="center"/>
                </w:tcPr>
                <w:p>
                  <w:pPr>
                    <w:widowControl/>
                    <w:jc w:val="center"/>
                    <w:rPr>
                      <w:kern w:val="0"/>
                      <w:szCs w:val="21"/>
                    </w:rPr>
                  </w:pPr>
                  <w:r>
                    <w:rPr>
                      <w:kern w:val="0"/>
                      <w:szCs w:val="21"/>
                    </w:rPr>
                    <w:t>39470013.70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831" w:type="dxa"/>
                  <w:gridSpan w:val="2"/>
                  <w:noWrap/>
                  <w:vAlign w:val="center"/>
                </w:tcPr>
                <w:p>
                  <w:pPr>
                    <w:jc w:val="center"/>
                    <w:rPr>
                      <w:szCs w:val="21"/>
                    </w:rPr>
                  </w:pPr>
                  <w:r>
                    <w:rPr>
                      <w:rFonts w:hint="eastAsia"/>
                      <w:szCs w:val="21"/>
                    </w:rPr>
                    <w:t>D</w:t>
                  </w:r>
                  <w:r>
                    <w:rPr>
                      <w:szCs w:val="21"/>
                    </w:rPr>
                    <w:t>5</w:t>
                  </w:r>
                </w:p>
              </w:tc>
              <w:tc>
                <w:tcPr>
                  <w:tcW w:w="1701" w:type="dxa"/>
                  <w:gridSpan w:val="2"/>
                  <w:noWrap/>
                  <w:vAlign w:val="center"/>
                </w:tcPr>
                <w:p>
                  <w:pPr>
                    <w:widowControl/>
                    <w:jc w:val="center"/>
                    <w:rPr>
                      <w:kern w:val="0"/>
                      <w:szCs w:val="21"/>
                    </w:rPr>
                  </w:pPr>
                  <w:r>
                    <w:rPr>
                      <w:kern w:val="0"/>
                      <w:szCs w:val="21"/>
                    </w:rPr>
                    <w:t>3960412.41</w:t>
                  </w:r>
                </w:p>
              </w:tc>
              <w:tc>
                <w:tcPr>
                  <w:tcW w:w="1903" w:type="dxa"/>
                  <w:gridSpan w:val="2"/>
                  <w:noWrap/>
                  <w:vAlign w:val="center"/>
                </w:tcPr>
                <w:p>
                  <w:pPr>
                    <w:widowControl/>
                    <w:jc w:val="center"/>
                    <w:rPr>
                      <w:kern w:val="0"/>
                      <w:szCs w:val="21"/>
                    </w:rPr>
                  </w:pPr>
                  <w:r>
                    <w:rPr>
                      <w:kern w:val="0"/>
                      <w:szCs w:val="21"/>
                    </w:rPr>
                    <w:t>39469647.95</w:t>
                  </w:r>
                </w:p>
              </w:tc>
              <w:tc>
                <w:tcPr>
                  <w:tcW w:w="900" w:type="dxa"/>
                  <w:gridSpan w:val="2"/>
                  <w:noWrap/>
                  <w:vAlign w:val="center"/>
                </w:tcPr>
                <w:p>
                  <w:pPr>
                    <w:jc w:val="center"/>
                    <w:rPr>
                      <w:szCs w:val="21"/>
                    </w:rPr>
                  </w:pPr>
                  <w:r>
                    <w:rPr>
                      <w:rFonts w:hint="eastAsia"/>
                      <w:szCs w:val="21"/>
                    </w:rPr>
                    <w:t>D</w:t>
                  </w:r>
                  <w:r>
                    <w:rPr>
                      <w:szCs w:val="21"/>
                    </w:rPr>
                    <w:t>12</w:t>
                  </w:r>
                </w:p>
              </w:tc>
              <w:tc>
                <w:tcPr>
                  <w:tcW w:w="1856" w:type="dxa"/>
                  <w:gridSpan w:val="2"/>
                  <w:noWrap/>
                  <w:vAlign w:val="center"/>
                </w:tcPr>
                <w:p>
                  <w:pPr>
                    <w:widowControl/>
                    <w:jc w:val="center"/>
                    <w:rPr>
                      <w:kern w:val="0"/>
                      <w:szCs w:val="21"/>
                    </w:rPr>
                  </w:pPr>
                  <w:r>
                    <w:rPr>
                      <w:kern w:val="0"/>
                      <w:szCs w:val="21"/>
                    </w:rPr>
                    <w:t>3960647.31</w:t>
                  </w:r>
                </w:p>
              </w:tc>
              <w:tc>
                <w:tcPr>
                  <w:tcW w:w="1898" w:type="dxa"/>
                  <w:gridSpan w:val="2"/>
                  <w:noWrap/>
                  <w:vAlign w:val="center"/>
                </w:tcPr>
                <w:p>
                  <w:pPr>
                    <w:widowControl/>
                    <w:jc w:val="center"/>
                    <w:rPr>
                      <w:kern w:val="0"/>
                      <w:szCs w:val="21"/>
                    </w:rPr>
                  </w:pPr>
                  <w:r>
                    <w:rPr>
                      <w:kern w:val="0"/>
                      <w:szCs w:val="21"/>
                    </w:rPr>
                    <w:t>39470013.54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31" w:type="dxa"/>
                  <w:gridSpan w:val="2"/>
                  <w:noWrap/>
                  <w:vAlign w:val="center"/>
                </w:tcPr>
                <w:p>
                  <w:pPr>
                    <w:jc w:val="center"/>
                    <w:rPr>
                      <w:szCs w:val="21"/>
                    </w:rPr>
                  </w:pPr>
                  <w:r>
                    <w:rPr>
                      <w:rFonts w:hint="eastAsia"/>
                      <w:szCs w:val="21"/>
                    </w:rPr>
                    <w:t>D</w:t>
                  </w:r>
                  <w:r>
                    <w:rPr>
                      <w:szCs w:val="21"/>
                    </w:rPr>
                    <w:t>6</w:t>
                  </w:r>
                </w:p>
              </w:tc>
              <w:tc>
                <w:tcPr>
                  <w:tcW w:w="1701" w:type="dxa"/>
                  <w:gridSpan w:val="2"/>
                  <w:noWrap/>
                  <w:vAlign w:val="center"/>
                </w:tcPr>
                <w:p>
                  <w:pPr>
                    <w:widowControl/>
                    <w:jc w:val="center"/>
                    <w:rPr>
                      <w:kern w:val="0"/>
                      <w:szCs w:val="21"/>
                    </w:rPr>
                  </w:pPr>
                  <w:r>
                    <w:rPr>
                      <w:kern w:val="0"/>
                      <w:szCs w:val="21"/>
                    </w:rPr>
                    <w:t>3960454.84</w:t>
                  </w:r>
                </w:p>
              </w:tc>
              <w:tc>
                <w:tcPr>
                  <w:tcW w:w="1903" w:type="dxa"/>
                  <w:gridSpan w:val="2"/>
                  <w:noWrap/>
                  <w:vAlign w:val="center"/>
                </w:tcPr>
                <w:p>
                  <w:pPr>
                    <w:widowControl/>
                    <w:jc w:val="center"/>
                    <w:rPr>
                      <w:kern w:val="0"/>
                      <w:szCs w:val="21"/>
                    </w:rPr>
                  </w:pPr>
                  <w:r>
                    <w:rPr>
                      <w:kern w:val="0"/>
                      <w:szCs w:val="21"/>
                    </w:rPr>
                    <w:t>39469648.35</w:t>
                  </w:r>
                </w:p>
              </w:tc>
              <w:tc>
                <w:tcPr>
                  <w:tcW w:w="900" w:type="dxa"/>
                  <w:gridSpan w:val="2"/>
                  <w:noWrap/>
                  <w:vAlign w:val="center"/>
                </w:tcPr>
                <w:p>
                  <w:pPr>
                    <w:jc w:val="center"/>
                    <w:rPr>
                      <w:szCs w:val="21"/>
                    </w:rPr>
                  </w:pPr>
                  <w:r>
                    <w:rPr>
                      <w:rFonts w:hint="eastAsia"/>
                      <w:szCs w:val="21"/>
                    </w:rPr>
                    <w:t>D</w:t>
                  </w:r>
                  <w:r>
                    <w:rPr>
                      <w:szCs w:val="21"/>
                    </w:rPr>
                    <w:t>13</w:t>
                  </w:r>
                </w:p>
              </w:tc>
              <w:tc>
                <w:tcPr>
                  <w:tcW w:w="1856" w:type="dxa"/>
                  <w:gridSpan w:val="2"/>
                  <w:noWrap/>
                  <w:vAlign w:val="center"/>
                </w:tcPr>
                <w:p>
                  <w:pPr>
                    <w:widowControl/>
                    <w:jc w:val="center"/>
                    <w:rPr>
                      <w:kern w:val="0"/>
                      <w:szCs w:val="21"/>
                    </w:rPr>
                  </w:pPr>
                  <w:r>
                    <w:rPr>
                      <w:kern w:val="0"/>
                      <w:szCs w:val="21"/>
                    </w:rPr>
                    <w:t>3960647.60</w:t>
                  </w:r>
                </w:p>
              </w:tc>
              <w:tc>
                <w:tcPr>
                  <w:tcW w:w="1898" w:type="dxa"/>
                  <w:gridSpan w:val="2"/>
                  <w:noWrap/>
                  <w:vAlign w:val="center"/>
                </w:tcPr>
                <w:p>
                  <w:pPr>
                    <w:widowControl/>
                    <w:jc w:val="center"/>
                    <w:rPr>
                      <w:kern w:val="0"/>
                      <w:szCs w:val="21"/>
                    </w:rPr>
                  </w:pPr>
                  <w:r>
                    <w:rPr>
                      <w:kern w:val="0"/>
                      <w:szCs w:val="21"/>
                    </w:rPr>
                    <w:t>39470062.26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31" w:type="dxa"/>
                  <w:gridSpan w:val="2"/>
                  <w:noWrap/>
                  <w:vAlign w:val="center"/>
                </w:tcPr>
                <w:p>
                  <w:pPr>
                    <w:jc w:val="center"/>
                    <w:rPr>
                      <w:szCs w:val="21"/>
                    </w:rPr>
                  </w:pPr>
                  <w:r>
                    <w:rPr>
                      <w:rFonts w:hint="eastAsia"/>
                      <w:szCs w:val="21"/>
                    </w:rPr>
                    <w:t>D</w:t>
                  </w:r>
                  <w:r>
                    <w:rPr>
                      <w:szCs w:val="21"/>
                    </w:rPr>
                    <w:t>7</w:t>
                  </w:r>
                </w:p>
              </w:tc>
              <w:tc>
                <w:tcPr>
                  <w:tcW w:w="1701" w:type="dxa"/>
                  <w:gridSpan w:val="2"/>
                  <w:noWrap/>
                  <w:vAlign w:val="center"/>
                </w:tcPr>
                <w:p>
                  <w:pPr>
                    <w:widowControl/>
                    <w:jc w:val="center"/>
                    <w:rPr>
                      <w:kern w:val="0"/>
                      <w:szCs w:val="21"/>
                    </w:rPr>
                  </w:pPr>
                  <w:r>
                    <w:rPr>
                      <w:kern w:val="0"/>
                      <w:szCs w:val="21"/>
                    </w:rPr>
                    <w:t>3960454.96</w:t>
                  </w:r>
                </w:p>
              </w:tc>
              <w:tc>
                <w:tcPr>
                  <w:tcW w:w="1903" w:type="dxa"/>
                  <w:gridSpan w:val="2"/>
                  <w:noWrap/>
                  <w:vAlign w:val="center"/>
                </w:tcPr>
                <w:p>
                  <w:pPr>
                    <w:widowControl/>
                    <w:jc w:val="center"/>
                    <w:rPr>
                      <w:kern w:val="0"/>
                      <w:szCs w:val="21"/>
                    </w:rPr>
                  </w:pPr>
                  <w:r>
                    <w:rPr>
                      <w:kern w:val="0"/>
                      <w:szCs w:val="21"/>
                    </w:rPr>
                    <w:t>39469950.36</w:t>
                  </w:r>
                </w:p>
              </w:tc>
              <w:tc>
                <w:tcPr>
                  <w:tcW w:w="900" w:type="dxa"/>
                  <w:gridSpan w:val="2"/>
                  <w:noWrap/>
                  <w:vAlign w:val="center"/>
                </w:tcPr>
                <w:p>
                  <w:pPr>
                    <w:jc w:val="center"/>
                    <w:rPr>
                      <w:szCs w:val="21"/>
                    </w:rPr>
                  </w:pPr>
                  <w:r>
                    <w:rPr>
                      <w:rFonts w:hint="eastAsia"/>
                      <w:szCs w:val="21"/>
                    </w:rPr>
                    <w:t>D</w:t>
                  </w:r>
                  <w:r>
                    <w:rPr>
                      <w:szCs w:val="21"/>
                    </w:rPr>
                    <w:t>14</w:t>
                  </w:r>
                </w:p>
              </w:tc>
              <w:tc>
                <w:tcPr>
                  <w:tcW w:w="1856" w:type="dxa"/>
                  <w:gridSpan w:val="2"/>
                  <w:noWrap/>
                  <w:vAlign w:val="center"/>
                </w:tcPr>
                <w:p>
                  <w:pPr>
                    <w:widowControl/>
                    <w:jc w:val="center"/>
                    <w:rPr>
                      <w:kern w:val="0"/>
                      <w:szCs w:val="21"/>
                    </w:rPr>
                  </w:pPr>
                  <w:r>
                    <w:rPr>
                      <w:kern w:val="0"/>
                      <w:szCs w:val="21"/>
                    </w:rPr>
                    <w:t>3960725.30</w:t>
                  </w:r>
                </w:p>
              </w:tc>
              <w:tc>
                <w:tcPr>
                  <w:tcW w:w="1898" w:type="dxa"/>
                  <w:gridSpan w:val="2"/>
                  <w:noWrap/>
                  <w:vAlign w:val="center"/>
                </w:tcPr>
                <w:p>
                  <w:pPr>
                    <w:widowControl/>
                    <w:jc w:val="center"/>
                    <w:rPr>
                      <w:kern w:val="0"/>
                      <w:szCs w:val="21"/>
                    </w:rPr>
                  </w:pPr>
                  <w:r>
                    <w:rPr>
                      <w:kern w:val="0"/>
                      <w:szCs w:val="21"/>
                    </w:rPr>
                    <w:t>39470060.79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089" w:type="dxa"/>
                  <w:gridSpan w:val="12"/>
                  <w:noWrap/>
                  <w:vAlign w:val="center"/>
                </w:tcPr>
                <w:p>
                  <w:pPr>
                    <w:jc w:val="center"/>
                    <w:rPr>
                      <w:szCs w:val="21"/>
                    </w:rPr>
                  </w:pPr>
                  <w:r>
                    <w:rPr>
                      <w:szCs w:val="21"/>
                    </w:rPr>
                    <w:t>第</w:t>
                  </w:r>
                  <w:r>
                    <w:rPr>
                      <w:rFonts w:hint="eastAsia"/>
                      <w:szCs w:val="21"/>
                    </w:rPr>
                    <w:t>四</w:t>
                  </w:r>
                  <w:r>
                    <w:rPr>
                      <w:szCs w:val="21"/>
                    </w:rPr>
                    <w:t>区块</w:t>
                  </w:r>
                  <w:r>
                    <w:rPr>
                      <w:rFonts w:hint="eastAsia"/>
                      <w:szCs w:val="21"/>
                    </w:rPr>
                    <w:t>（</w:t>
                  </w:r>
                  <w:r>
                    <w:rPr>
                      <w:rFonts w:hint="eastAsia" w:ascii="宋体" w:hAnsi="宋体" w:cs="宋体"/>
                      <w:szCs w:val="21"/>
                    </w:rPr>
                    <w:t>Ⅳ</w:t>
                  </w:r>
                  <w:r>
                    <w:rPr>
                      <w:szCs w:val="21"/>
                    </w:rPr>
                    <w:t>矿段</w:t>
                  </w:r>
                  <w:r>
                    <w:rPr>
                      <w:rFonts w:hint="eastAsia"/>
                      <w:szCs w:val="21"/>
                    </w:rPr>
                    <w:t>）：</w:t>
                  </w:r>
                  <w:r>
                    <w:rPr>
                      <w:szCs w:val="21"/>
                    </w:rPr>
                    <w:t>面积：0.213km</w:t>
                  </w:r>
                  <w:r>
                    <w:rPr>
                      <w:szCs w:val="21"/>
                      <w:vertAlign w:val="superscript"/>
                    </w:rPr>
                    <w:t xml:space="preserve">2 </w:t>
                  </w:r>
                  <w:r>
                    <w:rPr>
                      <w:szCs w:val="21"/>
                    </w:rPr>
                    <w:t xml:space="preserve">    开采标高：+76.27m～+45.0m；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8" w:hRule="atLeast"/>
                <w:jc w:val="center"/>
              </w:trPr>
              <w:tc>
                <w:tcPr>
                  <w:tcW w:w="831" w:type="dxa"/>
                  <w:gridSpan w:val="2"/>
                  <w:noWrap/>
                  <w:vAlign w:val="center"/>
                </w:tcPr>
                <w:p>
                  <w:pPr>
                    <w:jc w:val="center"/>
                    <w:rPr>
                      <w:szCs w:val="21"/>
                    </w:rPr>
                  </w:pPr>
                  <w:r>
                    <w:rPr>
                      <w:rFonts w:hint="eastAsia"/>
                      <w:szCs w:val="21"/>
                    </w:rPr>
                    <w:t>D1</w:t>
                  </w:r>
                </w:p>
              </w:tc>
              <w:tc>
                <w:tcPr>
                  <w:tcW w:w="1701" w:type="dxa"/>
                  <w:gridSpan w:val="2"/>
                  <w:noWrap/>
                  <w:vAlign w:val="center"/>
                </w:tcPr>
                <w:p>
                  <w:pPr>
                    <w:widowControl/>
                    <w:jc w:val="center"/>
                    <w:rPr>
                      <w:kern w:val="0"/>
                      <w:szCs w:val="21"/>
                    </w:rPr>
                  </w:pPr>
                  <w:r>
                    <w:rPr>
                      <w:kern w:val="0"/>
                      <w:szCs w:val="21"/>
                    </w:rPr>
                    <w:t>3960777.91</w:t>
                  </w:r>
                </w:p>
              </w:tc>
              <w:tc>
                <w:tcPr>
                  <w:tcW w:w="1903" w:type="dxa"/>
                  <w:gridSpan w:val="2"/>
                  <w:noWrap/>
                  <w:vAlign w:val="center"/>
                </w:tcPr>
                <w:p>
                  <w:pPr>
                    <w:widowControl/>
                    <w:jc w:val="center"/>
                    <w:rPr>
                      <w:kern w:val="0"/>
                      <w:szCs w:val="21"/>
                    </w:rPr>
                  </w:pPr>
                  <w:r>
                    <w:rPr>
                      <w:kern w:val="0"/>
                      <w:szCs w:val="21"/>
                    </w:rPr>
                    <w:t>39470061.36</w:t>
                  </w:r>
                </w:p>
              </w:tc>
              <w:tc>
                <w:tcPr>
                  <w:tcW w:w="900" w:type="dxa"/>
                  <w:gridSpan w:val="2"/>
                  <w:noWrap/>
                  <w:vAlign w:val="center"/>
                </w:tcPr>
                <w:p>
                  <w:pPr>
                    <w:jc w:val="center"/>
                    <w:rPr>
                      <w:szCs w:val="21"/>
                    </w:rPr>
                  </w:pPr>
                  <w:r>
                    <w:rPr>
                      <w:rFonts w:hint="eastAsia"/>
                      <w:szCs w:val="21"/>
                    </w:rPr>
                    <w:t>D9</w:t>
                  </w:r>
                </w:p>
              </w:tc>
              <w:tc>
                <w:tcPr>
                  <w:tcW w:w="1856" w:type="dxa"/>
                  <w:gridSpan w:val="2"/>
                  <w:noWrap/>
                  <w:vAlign w:val="center"/>
                </w:tcPr>
                <w:p>
                  <w:pPr>
                    <w:widowControl/>
                    <w:jc w:val="center"/>
                    <w:rPr>
                      <w:kern w:val="0"/>
                      <w:szCs w:val="21"/>
                    </w:rPr>
                  </w:pPr>
                  <w:r>
                    <w:rPr>
                      <w:kern w:val="0"/>
                      <w:szCs w:val="21"/>
                    </w:rPr>
                    <w:t>3960686.20</w:t>
                  </w:r>
                </w:p>
              </w:tc>
              <w:tc>
                <w:tcPr>
                  <w:tcW w:w="1898" w:type="dxa"/>
                  <w:gridSpan w:val="2"/>
                  <w:noWrap/>
                  <w:vAlign w:val="center"/>
                </w:tcPr>
                <w:p>
                  <w:pPr>
                    <w:widowControl/>
                    <w:jc w:val="center"/>
                    <w:rPr>
                      <w:kern w:val="0"/>
                      <w:szCs w:val="21"/>
                    </w:rPr>
                  </w:pPr>
                  <w:r>
                    <w:rPr>
                      <w:kern w:val="0"/>
                      <w:szCs w:val="21"/>
                    </w:rPr>
                    <w:t>39470713.32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31" w:type="dxa"/>
                  <w:gridSpan w:val="2"/>
                  <w:noWrap/>
                  <w:vAlign w:val="center"/>
                </w:tcPr>
                <w:p>
                  <w:pPr>
                    <w:jc w:val="center"/>
                    <w:rPr>
                      <w:szCs w:val="21"/>
                    </w:rPr>
                  </w:pPr>
                  <w:r>
                    <w:rPr>
                      <w:rFonts w:hint="eastAsia"/>
                      <w:szCs w:val="21"/>
                    </w:rPr>
                    <w:t>D</w:t>
                  </w:r>
                  <w:r>
                    <w:rPr>
                      <w:szCs w:val="21"/>
                    </w:rPr>
                    <w:t>2</w:t>
                  </w:r>
                </w:p>
              </w:tc>
              <w:tc>
                <w:tcPr>
                  <w:tcW w:w="1701" w:type="dxa"/>
                  <w:gridSpan w:val="2"/>
                  <w:noWrap/>
                  <w:vAlign w:val="center"/>
                </w:tcPr>
                <w:p>
                  <w:pPr>
                    <w:widowControl/>
                    <w:jc w:val="center"/>
                    <w:rPr>
                      <w:kern w:val="0"/>
                      <w:szCs w:val="21"/>
                    </w:rPr>
                  </w:pPr>
                  <w:r>
                    <w:rPr>
                      <w:kern w:val="0"/>
                      <w:szCs w:val="21"/>
                    </w:rPr>
                    <w:t>3960784.11</w:t>
                  </w:r>
                </w:p>
              </w:tc>
              <w:tc>
                <w:tcPr>
                  <w:tcW w:w="1903" w:type="dxa"/>
                  <w:gridSpan w:val="2"/>
                  <w:noWrap/>
                  <w:vAlign w:val="center"/>
                </w:tcPr>
                <w:p>
                  <w:pPr>
                    <w:widowControl/>
                    <w:jc w:val="center"/>
                    <w:rPr>
                      <w:kern w:val="0"/>
                      <w:szCs w:val="21"/>
                    </w:rPr>
                  </w:pPr>
                  <w:r>
                    <w:rPr>
                      <w:kern w:val="0"/>
                      <w:szCs w:val="21"/>
                    </w:rPr>
                    <w:t>39470272.70</w:t>
                  </w:r>
                </w:p>
              </w:tc>
              <w:tc>
                <w:tcPr>
                  <w:tcW w:w="900" w:type="dxa"/>
                  <w:gridSpan w:val="2"/>
                  <w:noWrap/>
                  <w:vAlign w:val="center"/>
                </w:tcPr>
                <w:p>
                  <w:pPr>
                    <w:jc w:val="center"/>
                    <w:rPr>
                      <w:szCs w:val="21"/>
                    </w:rPr>
                  </w:pPr>
                  <w:r>
                    <w:rPr>
                      <w:rFonts w:hint="eastAsia"/>
                      <w:szCs w:val="21"/>
                    </w:rPr>
                    <w:t>D</w:t>
                  </w:r>
                  <w:r>
                    <w:rPr>
                      <w:szCs w:val="21"/>
                    </w:rPr>
                    <w:t>10</w:t>
                  </w:r>
                </w:p>
              </w:tc>
              <w:tc>
                <w:tcPr>
                  <w:tcW w:w="1856" w:type="dxa"/>
                  <w:gridSpan w:val="2"/>
                  <w:noWrap/>
                  <w:vAlign w:val="center"/>
                </w:tcPr>
                <w:p>
                  <w:pPr>
                    <w:jc w:val="center"/>
                    <w:rPr>
                      <w:szCs w:val="21"/>
                    </w:rPr>
                  </w:pPr>
                  <w:r>
                    <w:rPr>
                      <w:szCs w:val="21"/>
                    </w:rPr>
                    <w:t>3960686.98</w:t>
                  </w:r>
                </w:p>
              </w:tc>
              <w:tc>
                <w:tcPr>
                  <w:tcW w:w="1898" w:type="dxa"/>
                  <w:gridSpan w:val="2"/>
                  <w:noWrap/>
                  <w:vAlign w:val="center"/>
                </w:tcPr>
                <w:p>
                  <w:pPr>
                    <w:jc w:val="center"/>
                    <w:rPr>
                      <w:szCs w:val="21"/>
                    </w:rPr>
                  </w:pPr>
                  <w:r>
                    <w:rPr>
                      <w:szCs w:val="21"/>
                    </w:rPr>
                    <w:t>39470797.36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31" w:type="dxa"/>
                  <w:gridSpan w:val="2"/>
                  <w:noWrap/>
                  <w:vAlign w:val="center"/>
                </w:tcPr>
                <w:p>
                  <w:pPr>
                    <w:jc w:val="center"/>
                    <w:rPr>
                      <w:szCs w:val="21"/>
                    </w:rPr>
                  </w:pPr>
                  <w:r>
                    <w:rPr>
                      <w:rFonts w:hint="eastAsia"/>
                      <w:szCs w:val="21"/>
                    </w:rPr>
                    <w:t>D</w:t>
                  </w:r>
                  <w:r>
                    <w:rPr>
                      <w:szCs w:val="21"/>
                    </w:rPr>
                    <w:t>3</w:t>
                  </w:r>
                </w:p>
              </w:tc>
              <w:tc>
                <w:tcPr>
                  <w:tcW w:w="1701" w:type="dxa"/>
                  <w:gridSpan w:val="2"/>
                  <w:noWrap/>
                  <w:vAlign w:val="center"/>
                </w:tcPr>
                <w:p>
                  <w:pPr>
                    <w:widowControl/>
                    <w:jc w:val="center"/>
                    <w:rPr>
                      <w:kern w:val="0"/>
                      <w:szCs w:val="21"/>
                    </w:rPr>
                  </w:pPr>
                  <w:r>
                    <w:rPr>
                      <w:kern w:val="0"/>
                      <w:szCs w:val="21"/>
                    </w:rPr>
                    <w:t>3960805.82</w:t>
                  </w:r>
                </w:p>
              </w:tc>
              <w:tc>
                <w:tcPr>
                  <w:tcW w:w="1903" w:type="dxa"/>
                  <w:gridSpan w:val="2"/>
                  <w:noWrap/>
                  <w:vAlign w:val="center"/>
                </w:tcPr>
                <w:p>
                  <w:pPr>
                    <w:widowControl/>
                    <w:jc w:val="center"/>
                    <w:rPr>
                      <w:kern w:val="0"/>
                      <w:szCs w:val="21"/>
                    </w:rPr>
                  </w:pPr>
                  <w:r>
                    <w:rPr>
                      <w:kern w:val="0"/>
                      <w:szCs w:val="21"/>
                    </w:rPr>
                    <w:t>39470272.64</w:t>
                  </w:r>
                </w:p>
              </w:tc>
              <w:tc>
                <w:tcPr>
                  <w:tcW w:w="900" w:type="dxa"/>
                  <w:gridSpan w:val="2"/>
                  <w:noWrap/>
                  <w:vAlign w:val="center"/>
                </w:tcPr>
                <w:p>
                  <w:pPr>
                    <w:jc w:val="center"/>
                    <w:rPr>
                      <w:szCs w:val="21"/>
                    </w:rPr>
                  </w:pPr>
                  <w:r>
                    <w:rPr>
                      <w:rFonts w:hint="eastAsia"/>
                      <w:szCs w:val="21"/>
                    </w:rPr>
                    <w:t>D</w:t>
                  </w:r>
                  <w:r>
                    <w:rPr>
                      <w:szCs w:val="21"/>
                    </w:rPr>
                    <w:t>11</w:t>
                  </w:r>
                </w:p>
              </w:tc>
              <w:tc>
                <w:tcPr>
                  <w:tcW w:w="1856" w:type="dxa"/>
                  <w:gridSpan w:val="2"/>
                  <w:noWrap/>
                  <w:vAlign w:val="center"/>
                </w:tcPr>
                <w:p>
                  <w:pPr>
                    <w:jc w:val="center"/>
                    <w:rPr>
                      <w:szCs w:val="21"/>
                    </w:rPr>
                  </w:pPr>
                  <w:r>
                    <w:rPr>
                      <w:szCs w:val="21"/>
                    </w:rPr>
                    <w:t>3960477.09</w:t>
                  </w:r>
                </w:p>
              </w:tc>
              <w:tc>
                <w:tcPr>
                  <w:tcW w:w="1898" w:type="dxa"/>
                  <w:gridSpan w:val="2"/>
                  <w:noWrap/>
                  <w:vAlign w:val="center"/>
                </w:tcPr>
                <w:p>
                  <w:pPr>
                    <w:jc w:val="center"/>
                    <w:rPr>
                      <w:szCs w:val="21"/>
                    </w:rPr>
                  </w:pPr>
                  <w:r>
                    <w:rPr>
                      <w:szCs w:val="21"/>
                    </w:rPr>
                    <w:t>39470774.82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31" w:type="dxa"/>
                  <w:gridSpan w:val="2"/>
                  <w:noWrap/>
                  <w:vAlign w:val="center"/>
                </w:tcPr>
                <w:p>
                  <w:pPr>
                    <w:jc w:val="center"/>
                    <w:rPr>
                      <w:szCs w:val="21"/>
                    </w:rPr>
                  </w:pPr>
                  <w:r>
                    <w:rPr>
                      <w:rFonts w:hint="eastAsia"/>
                      <w:szCs w:val="21"/>
                    </w:rPr>
                    <w:t>D</w:t>
                  </w:r>
                  <w:r>
                    <w:rPr>
                      <w:szCs w:val="21"/>
                    </w:rPr>
                    <w:t>4</w:t>
                  </w:r>
                </w:p>
              </w:tc>
              <w:tc>
                <w:tcPr>
                  <w:tcW w:w="1701" w:type="dxa"/>
                  <w:gridSpan w:val="2"/>
                  <w:noWrap/>
                  <w:vAlign w:val="center"/>
                </w:tcPr>
                <w:p>
                  <w:pPr>
                    <w:widowControl/>
                    <w:jc w:val="center"/>
                    <w:rPr>
                      <w:kern w:val="0"/>
                      <w:szCs w:val="21"/>
                    </w:rPr>
                  </w:pPr>
                  <w:r>
                    <w:rPr>
                      <w:kern w:val="0"/>
                      <w:szCs w:val="21"/>
                    </w:rPr>
                    <w:t>3960805.78</w:t>
                  </w:r>
                </w:p>
              </w:tc>
              <w:tc>
                <w:tcPr>
                  <w:tcW w:w="1903" w:type="dxa"/>
                  <w:gridSpan w:val="2"/>
                  <w:noWrap/>
                  <w:vAlign w:val="center"/>
                </w:tcPr>
                <w:p>
                  <w:pPr>
                    <w:widowControl/>
                    <w:jc w:val="center"/>
                    <w:rPr>
                      <w:kern w:val="0"/>
                      <w:szCs w:val="21"/>
                    </w:rPr>
                  </w:pPr>
                  <w:r>
                    <w:rPr>
                      <w:kern w:val="0"/>
                      <w:szCs w:val="21"/>
                    </w:rPr>
                    <w:t>39470403.41</w:t>
                  </w:r>
                </w:p>
              </w:tc>
              <w:tc>
                <w:tcPr>
                  <w:tcW w:w="900" w:type="dxa"/>
                  <w:gridSpan w:val="2"/>
                  <w:noWrap/>
                  <w:vAlign w:val="center"/>
                </w:tcPr>
                <w:p>
                  <w:pPr>
                    <w:jc w:val="center"/>
                    <w:rPr>
                      <w:szCs w:val="21"/>
                    </w:rPr>
                  </w:pPr>
                  <w:r>
                    <w:rPr>
                      <w:rFonts w:hint="eastAsia"/>
                      <w:szCs w:val="21"/>
                    </w:rPr>
                    <w:t>D</w:t>
                  </w:r>
                  <w:r>
                    <w:rPr>
                      <w:szCs w:val="21"/>
                    </w:rPr>
                    <w:t>12</w:t>
                  </w:r>
                </w:p>
              </w:tc>
              <w:tc>
                <w:tcPr>
                  <w:tcW w:w="1856" w:type="dxa"/>
                  <w:gridSpan w:val="2"/>
                  <w:noWrap/>
                  <w:vAlign w:val="center"/>
                </w:tcPr>
                <w:p>
                  <w:pPr>
                    <w:widowControl/>
                    <w:jc w:val="center"/>
                    <w:rPr>
                      <w:kern w:val="0"/>
                      <w:szCs w:val="21"/>
                    </w:rPr>
                  </w:pPr>
                  <w:r>
                    <w:rPr>
                      <w:kern w:val="0"/>
                      <w:szCs w:val="21"/>
                    </w:rPr>
                    <w:t>3960503.76</w:t>
                  </w:r>
                </w:p>
              </w:tc>
              <w:tc>
                <w:tcPr>
                  <w:tcW w:w="1898" w:type="dxa"/>
                  <w:gridSpan w:val="2"/>
                  <w:noWrap/>
                  <w:vAlign w:val="center"/>
                </w:tcPr>
                <w:p>
                  <w:pPr>
                    <w:widowControl/>
                    <w:jc w:val="center"/>
                    <w:rPr>
                      <w:kern w:val="0"/>
                      <w:szCs w:val="21"/>
                    </w:rPr>
                  </w:pPr>
                  <w:r>
                    <w:rPr>
                      <w:kern w:val="0"/>
                      <w:szCs w:val="21"/>
                    </w:rPr>
                    <w:t>39470663.96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8" w:hRule="atLeast"/>
                <w:jc w:val="center"/>
              </w:trPr>
              <w:tc>
                <w:tcPr>
                  <w:tcW w:w="831" w:type="dxa"/>
                  <w:gridSpan w:val="2"/>
                  <w:noWrap/>
                  <w:vAlign w:val="center"/>
                </w:tcPr>
                <w:p>
                  <w:pPr>
                    <w:jc w:val="center"/>
                    <w:rPr>
                      <w:szCs w:val="21"/>
                    </w:rPr>
                  </w:pPr>
                  <w:r>
                    <w:rPr>
                      <w:rFonts w:hint="eastAsia"/>
                      <w:szCs w:val="21"/>
                    </w:rPr>
                    <w:t>D</w:t>
                  </w:r>
                  <w:r>
                    <w:rPr>
                      <w:szCs w:val="21"/>
                    </w:rPr>
                    <w:t>5</w:t>
                  </w:r>
                </w:p>
              </w:tc>
              <w:tc>
                <w:tcPr>
                  <w:tcW w:w="1701" w:type="dxa"/>
                  <w:gridSpan w:val="2"/>
                  <w:noWrap/>
                  <w:vAlign w:val="center"/>
                </w:tcPr>
                <w:p>
                  <w:pPr>
                    <w:widowControl/>
                    <w:jc w:val="center"/>
                    <w:rPr>
                      <w:kern w:val="0"/>
                      <w:szCs w:val="21"/>
                    </w:rPr>
                  </w:pPr>
                  <w:r>
                    <w:rPr>
                      <w:kern w:val="0"/>
                      <w:szCs w:val="21"/>
                    </w:rPr>
                    <w:t>3960868.84</w:t>
                  </w:r>
                </w:p>
              </w:tc>
              <w:tc>
                <w:tcPr>
                  <w:tcW w:w="1903" w:type="dxa"/>
                  <w:gridSpan w:val="2"/>
                  <w:noWrap/>
                  <w:vAlign w:val="center"/>
                </w:tcPr>
                <w:p>
                  <w:pPr>
                    <w:widowControl/>
                    <w:jc w:val="center"/>
                    <w:rPr>
                      <w:kern w:val="0"/>
                      <w:szCs w:val="21"/>
                    </w:rPr>
                  </w:pPr>
                  <w:r>
                    <w:rPr>
                      <w:kern w:val="0"/>
                      <w:szCs w:val="21"/>
                    </w:rPr>
                    <w:t>39470403.48</w:t>
                  </w:r>
                </w:p>
              </w:tc>
              <w:tc>
                <w:tcPr>
                  <w:tcW w:w="900" w:type="dxa"/>
                  <w:gridSpan w:val="2"/>
                  <w:noWrap/>
                  <w:vAlign w:val="center"/>
                </w:tcPr>
                <w:p>
                  <w:pPr>
                    <w:jc w:val="center"/>
                    <w:rPr>
                      <w:szCs w:val="21"/>
                    </w:rPr>
                  </w:pPr>
                  <w:r>
                    <w:rPr>
                      <w:rFonts w:hint="eastAsia"/>
                      <w:szCs w:val="21"/>
                    </w:rPr>
                    <w:t>D</w:t>
                  </w:r>
                  <w:r>
                    <w:rPr>
                      <w:szCs w:val="21"/>
                    </w:rPr>
                    <w:t>13</w:t>
                  </w:r>
                </w:p>
              </w:tc>
              <w:tc>
                <w:tcPr>
                  <w:tcW w:w="1856" w:type="dxa"/>
                  <w:gridSpan w:val="2"/>
                  <w:noWrap/>
                  <w:vAlign w:val="center"/>
                </w:tcPr>
                <w:p>
                  <w:pPr>
                    <w:jc w:val="center"/>
                    <w:rPr>
                      <w:szCs w:val="21"/>
                    </w:rPr>
                  </w:pPr>
                  <w:r>
                    <w:rPr>
                      <w:szCs w:val="21"/>
                    </w:rPr>
                    <w:t>3960446.32</w:t>
                  </w:r>
                </w:p>
              </w:tc>
              <w:tc>
                <w:tcPr>
                  <w:tcW w:w="1898" w:type="dxa"/>
                  <w:gridSpan w:val="2"/>
                  <w:noWrap/>
                  <w:vAlign w:val="center"/>
                </w:tcPr>
                <w:p>
                  <w:pPr>
                    <w:jc w:val="center"/>
                    <w:rPr>
                      <w:szCs w:val="21"/>
                    </w:rPr>
                  </w:pPr>
                  <w:r>
                    <w:rPr>
                      <w:szCs w:val="21"/>
                    </w:rPr>
                    <w:t>39470656.67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31" w:type="dxa"/>
                  <w:gridSpan w:val="2"/>
                  <w:noWrap/>
                  <w:vAlign w:val="center"/>
                </w:tcPr>
                <w:p>
                  <w:pPr>
                    <w:jc w:val="center"/>
                    <w:rPr>
                      <w:szCs w:val="21"/>
                    </w:rPr>
                  </w:pPr>
                  <w:r>
                    <w:rPr>
                      <w:rFonts w:hint="eastAsia"/>
                      <w:szCs w:val="21"/>
                    </w:rPr>
                    <w:t>D</w:t>
                  </w:r>
                  <w:r>
                    <w:rPr>
                      <w:szCs w:val="21"/>
                    </w:rPr>
                    <w:t>6</w:t>
                  </w:r>
                </w:p>
              </w:tc>
              <w:tc>
                <w:tcPr>
                  <w:tcW w:w="1701" w:type="dxa"/>
                  <w:gridSpan w:val="2"/>
                  <w:noWrap/>
                  <w:vAlign w:val="center"/>
                </w:tcPr>
                <w:p>
                  <w:pPr>
                    <w:widowControl/>
                    <w:jc w:val="center"/>
                    <w:rPr>
                      <w:kern w:val="0"/>
                      <w:szCs w:val="21"/>
                    </w:rPr>
                  </w:pPr>
                  <w:r>
                    <w:rPr>
                      <w:kern w:val="0"/>
                      <w:szCs w:val="21"/>
                    </w:rPr>
                    <w:t>3960855.69</w:t>
                  </w:r>
                </w:p>
              </w:tc>
              <w:tc>
                <w:tcPr>
                  <w:tcW w:w="1903" w:type="dxa"/>
                  <w:gridSpan w:val="2"/>
                  <w:noWrap/>
                  <w:vAlign w:val="center"/>
                </w:tcPr>
                <w:p>
                  <w:pPr>
                    <w:widowControl/>
                    <w:jc w:val="center"/>
                    <w:rPr>
                      <w:kern w:val="0"/>
                      <w:szCs w:val="21"/>
                    </w:rPr>
                  </w:pPr>
                  <w:r>
                    <w:rPr>
                      <w:kern w:val="0"/>
                      <w:szCs w:val="21"/>
                    </w:rPr>
                    <w:t>39470565.00</w:t>
                  </w:r>
                </w:p>
              </w:tc>
              <w:tc>
                <w:tcPr>
                  <w:tcW w:w="900" w:type="dxa"/>
                  <w:gridSpan w:val="2"/>
                  <w:noWrap/>
                  <w:vAlign w:val="center"/>
                </w:tcPr>
                <w:p>
                  <w:pPr>
                    <w:jc w:val="center"/>
                    <w:rPr>
                      <w:szCs w:val="21"/>
                    </w:rPr>
                  </w:pPr>
                  <w:r>
                    <w:rPr>
                      <w:rFonts w:hint="eastAsia"/>
                      <w:szCs w:val="21"/>
                    </w:rPr>
                    <w:t>D</w:t>
                  </w:r>
                  <w:r>
                    <w:rPr>
                      <w:szCs w:val="21"/>
                    </w:rPr>
                    <w:t>14</w:t>
                  </w:r>
                </w:p>
              </w:tc>
              <w:tc>
                <w:tcPr>
                  <w:tcW w:w="1856" w:type="dxa"/>
                  <w:gridSpan w:val="2"/>
                  <w:noWrap/>
                  <w:vAlign w:val="center"/>
                </w:tcPr>
                <w:p>
                  <w:pPr>
                    <w:widowControl/>
                    <w:jc w:val="center"/>
                    <w:rPr>
                      <w:kern w:val="0"/>
                      <w:szCs w:val="21"/>
                    </w:rPr>
                  </w:pPr>
                  <w:r>
                    <w:rPr>
                      <w:kern w:val="0"/>
                      <w:szCs w:val="21"/>
                    </w:rPr>
                    <w:t>3960445.97</w:t>
                  </w:r>
                </w:p>
              </w:tc>
              <w:tc>
                <w:tcPr>
                  <w:tcW w:w="1898" w:type="dxa"/>
                  <w:gridSpan w:val="2"/>
                  <w:noWrap/>
                  <w:vAlign w:val="center"/>
                </w:tcPr>
                <w:p>
                  <w:pPr>
                    <w:widowControl/>
                    <w:jc w:val="center"/>
                    <w:rPr>
                      <w:kern w:val="0"/>
                      <w:szCs w:val="21"/>
                    </w:rPr>
                  </w:pPr>
                  <w:r>
                    <w:rPr>
                      <w:kern w:val="0"/>
                      <w:szCs w:val="21"/>
                    </w:rPr>
                    <w:t>39470279.59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31" w:type="dxa"/>
                  <w:gridSpan w:val="2"/>
                  <w:noWrap/>
                  <w:vAlign w:val="center"/>
                </w:tcPr>
                <w:p>
                  <w:pPr>
                    <w:jc w:val="center"/>
                    <w:rPr>
                      <w:szCs w:val="21"/>
                    </w:rPr>
                  </w:pPr>
                  <w:r>
                    <w:rPr>
                      <w:rFonts w:hint="eastAsia"/>
                      <w:szCs w:val="21"/>
                    </w:rPr>
                    <w:t>D</w:t>
                  </w:r>
                  <w:r>
                    <w:rPr>
                      <w:szCs w:val="21"/>
                    </w:rPr>
                    <w:t>7</w:t>
                  </w:r>
                </w:p>
              </w:tc>
              <w:tc>
                <w:tcPr>
                  <w:tcW w:w="1701" w:type="dxa"/>
                  <w:gridSpan w:val="2"/>
                  <w:noWrap/>
                  <w:vAlign w:val="center"/>
                </w:tcPr>
                <w:p>
                  <w:pPr>
                    <w:widowControl/>
                    <w:jc w:val="center"/>
                    <w:rPr>
                      <w:kern w:val="0"/>
                      <w:szCs w:val="21"/>
                    </w:rPr>
                  </w:pPr>
                  <w:r>
                    <w:rPr>
                      <w:kern w:val="0"/>
                      <w:szCs w:val="21"/>
                    </w:rPr>
                    <w:t>3960763.71</w:t>
                  </w:r>
                </w:p>
              </w:tc>
              <w:tc>
                <w:tcPr>
                  <w:tcW w:w="1903" w:type="dxa"/>
                  <w:gridSpan w:val="2"/>
                  <w:noWrap/>
                  <w:vAlign w:val="center"/>
                </w:tcPr>
                <w:p>
                  <w:pPr>
                    <w:widowControl/>
                    <w:jc w:val="center"/>
                    <w:rPr>
                      <w:kern w:val="0"/>
                      <w:szCs w:val="21"/>
                    </w:rPr>
                  </w:pPr>
                  <w:r>
                    <w:rPr>
                      <w:kern w:val="0"/>
                      <w:szCs w:val="21"/>
                    </w:rPr>
                    <w:t>39470565.35</w:t>
                  </w:r>
                </w:p>
              </w:tc>
              <w:tc>
                <w:tcPr>
                  <w:tcW w:w="900" w:type="dxa"/>
                  <w:gridSpan w:val="2"/>
                  <w:noWrap/>
                  <w:vAlign w:val="center"/>
                </w:tcPr>
                <w:p>
                  <w:pPr>
                    <w:jc w:val="center"/>
                    <w:rPr>
                      <w:szCs w:val="21"/>
                    </w:rPr>
                  </w:pPr>
                  <w:r>
                    <w:rPr>
                      <w:rFonts w:hint="eastAsia"/>
                      <w:szCs w:val="21"/>
                    </w:rPr>
                    <w:t>D15</w:t>
                  </w:r>
                </w:p>
              </w:tc>
              <w:tc>
                <w:tcPr>
                  <w:tcW w:w="1856" w:type="dxa"/>
                  <w:gridSpan w:val="2"/>
                  <w:noWrap/>
                  <w:vAlign w:val="center"/>
                </w:tcPr>
                <w:p>
                  <w:pPr>
                    <w:widowControl/>
                    <w:jc w:val="center"/>
                    <w:rPr>
                      <w:kern w:val="0"/>
                      <w:szCs w:val="21"/>
                    </w:rPr>
                  </w:pPr>
                  <w:r>
                    <w:rPr>
                      <w:kern w:val="0"/>
                      <w:szCs w:val="21"/>
                    </w:rPr>
                    <w:t>3960725.30</w:t>
                  </w:r>
                </w:p>
              </w:tc>
              <w:tc>
                <w:tcPr>
                  <w:tcW w:w="1898" w:type="dxa"/>
                  <w:gridSpan w:val="2"/>
                  <w:noWrap/>
                  <w:vAlign w:val="center"/>
                </w:tcPr>
                <w:p>
                  <w:pPr>
                    <w:widowControl/>
                    <w:jc w:val="center"/>
                    <w:rPr>
                      <w:kern w:val="0"/>
                      <w:szCs w:val="21"/>
                    </w:rPr>
                  </w:pPr>
                  <w:r>
                    <w:rPr>
                      <w:kern w:val="0"/>
                      <w:szCs w:val="21"/>
                    </w:rPr>
                    <w:t>39470060.79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31" w:type="dxa"/>
                  <w:gridSpan w:val="2"/>
                  <w:noWrap/>
                  <w:vAlign w:val="center"/>
                </w:tcPr>
                <w:p>
                  <w:pPr>
                    <w:jc w:val="center"/>
                    <w:rPr>
                      <w:szCs w:val="21"/>
                    </w:rPr>
                  </w:pPr>
                  <w:r>
                    <w:rPr>
                      <w:rFonts w:hint="eastAsia"/>
                      <w:szCs w:val="21"/>
                    </w:rPr>
                    <w:t>D</w:t>
                  </w:r>
                  <w:r>
                    <w:rPr>
                      <w:szCs w:val="21"/>
                    </w:rPr>
                    <w:t>8</w:t>
                  </w:r>
                </w:p>
              </w:tc>
              <w:tc>
                <w:tcPr>
                  <w:tcW w:w="1701" w:type="dxa"/>
                  <w:gridSpan w:val="2"/>
                  <w:noWrap/>
                  <w:vAlign w:val="center"/>
                </w:tcPr>
                <w:p>
                  <w:pPr>
                    <w:widowControl/>
                    <w:jc w:val="center"/>
                    <w:rPr>
                      <w:kern w:val="0"/>
                      <w:szCs w:val="21"/>
                    </w:rPr>
                  </w:pPr>
                  <w:r>
                    <w:rPr>
                      <w:kern w:val="0"/>
                      <w:szCs w:val="21"/>
                    </w:rPr>
                    <w:t>3960763.19</w:t>
                  </w:r>
                </w:p>
              </w:tc>
              <w:tc>
                <w:tcPr>
                  <w:tcW w:w="1903" w:type="dxa"/>
                  <w:gridSpan w:val="2"/>
                  <w:noWrap/>
                  <w:vAlign w:val="center"/>
                </w:tcPr>
                <w:p>
                  <w:pPr>
                    <w:widowControl/>
                    <w:jc w:val="center"/>
                    <w:rPr>
                      <w:kern w:val="0"/>
                      <w:szCs w:val="21"/>
                    </w:rPr>
                  </w:pPr>
                  <w:r>
                    <w:rPr>
                      <w:kern w:val="0"/>
                      <w:szCs w:val="21"/>
                    </w:rPr>
                    <w:t>39470713.31</w:t>
                  </w:r>
                </w:p>
              </w:tc>
              <w:tc>
                <w:tcPr>
                  <w:tcW w:w="900" w:type="dxa"/>
                  <w:gridSpan w:val="2"/>
                  <w:noWrap/>
                  <w:vAlign w:val="center"/>
                </w:tcPr>
                <w:p>
                  <w:pPr>
                    <w:jc w:val="center"/>
                    <w:rPr>
                      <w:szCs w:val="21"/>
                    </w:rPr>
                  </w:pPr>
                </w:p>
              </w:tc>
              <w:tc>
                <w:tcPr>
                  <w:tcW w:w="1856" w:type="dxa"/>
                  <w:gridSpan w:val="2"/>
                  <w:noWrap/>
                  <w:vAlign w:val="center"/>
                </w:tcPr>
                <w:p>
                  <w:pPr>
                    <w:widowControl/>
                    <w:jc w:val="center"/>
                    <w:rPr>
                      <w:kern w:val="0"/>
                      <w:szCs w:val="21"/>
                    </w:rPr>
                  </w:pPr>
                </w:p>
              </w:tc>
              <w:tc>
                <w:tcPr>
                  <w:tcW w:w="1898" w:type="dxa"/>
                  <w:gridSpan w:val="2"/>
                  <w:noWrap/>
                  <w:vAlign w:val="center"/>
                </w:tcPr>
                <w:p>
                  <w:pPr>
                    <w:widowControl/>
                    <w:jc w:val="center"/>
                    <w:rPr>
                      <w:kern w:val="0"/>
                      <w:szCs w:val="21"/>
                    </w:rPr>
                  </w:pPr>
                </w:p>
              </w:tc>
            </w:tr>
          </w:tbl>
          <w:p>
            <w:pPr>
              <w:spacing w:line="360" w:lineRule="auto"/>
              <w:ind w:firstLine="480" w:firstLineChars="200"/>
              <w:rPr>
                <w:rFonts w:hAnsi="宋体"/>
                <w:bCs/>
                <w:sz w:val="24"/>
              </w:rPr>
            </w:pPr>
            <w:r>
              <w:rPr>
                <w:rFonts w:hint="eastAsia" w:hAnsi="宋体"/>
                <w:bCs/>
                <w:sz w:val="24"/>
              </w:rPr>
              <w:t>2、储量和服务年限</w:t>
            </w:r>
          </w:p>
          <w:p>
            <w:pPr>
              <w:spacing w:line="360" w:lineRule="auto"/>
              <w:ind w:firstLine="480" w:firstLineChars="200"/>
              <w:rPr>
                <w:sz w:val="24"/>
              </w:rPr>
            </w:pPr>
            <w:r>
              <w:rPr>
                <w:sz w:val="24"/>
              </w:rPr>
              <w:t>开采境界范围内圈定矿石储量为872.64万m</w:t>
            </w:r>
            <w:r>
              <w:rPr>
                <w:sz w:val="24"/>
                <w:vertAlign w:val="superscript"/>
              </w:rPr>
              <w:t>3</w:t>
            </w:r>
            <w:r>
              <w:rPr>
                <w:spacing w:val="4"/>
                <w:sz w:val="24"/>
              </w:rPr>
              <w:t>，边坡损失量为</w:t>
            </w:r>
            <w:r>
              <w:rPr>
                <w:sz w:val="24"/>
              </w:rPr>
              <w:t>125.81万m</w:t>
            </w:r>
            <w:r>
              <w:rPr>
                <w:sz w:val="24"/>
                <w:vertAlign w:val="superscript"/>
              </w:rPr>
              <w:t>3</w:t>
            </w:r>
            <w:r>
              <w:rPr>
                <w:rFonts w:hint="eastAsia"/>
                <w:sz w:val="24"/>
              </w:rPr>
              <w:t>。</w:t>
            </w:r>
            <w:r>
              <w:rPr>
                <w:sz w:val="24"/>
              </w:rPr>
              <w:t>矿山开采损失取2%，矿石回采率为98%，故采出资源量为</w:t>
            </w:r>
            <w:r>
              <w:rPr>
                <w:rFonts w:hint="eastAsia"/>
                <w:sz w:val="24"/>
              </w:rPr>
              <w:t>872.64</w:t>
            </w:r>
            <w:r>
              <w:rPr>
                <w:sz w:val="24"/>
              </w:rPr>
              <w:t>×98%=</w:t>
            </w:r>
            <w:r>
              <w:rPr>
                <w:rFonts w:hint="eastAsia"/>
                <w:sz w:val="24"/>
              </w:rPr>
              <w:t>855.1872</w:t>
            </w:r>
            <w:r>
              <w:rPr>
                <w:sz w:val="24"/>
              </w:rPr>
              <w:t>万</w:t>
            </w:r>
            <w:r>
              <w:rPr>
                <w:rFonts w:hint="eastAsia"/>
                <w:sz w:val="24"/>
              </w:rPr>
              <w:t>m</w:t>
            </w:r>
            <w:r>
              <w:rPr>
                <w:rFonts w:hint="eastAsia"/>
                <w:sz w:val="24"/>
                <w:vertAlign w:val="superscript"/>
              </w:rPr>
              <w:t>3</w:t>
            </w:r>
            <w:r>
              <w:rPr>
                <w:sz w:val="24"/>
              </w:rPr>
              <w:t>。</w:t>
            </w:r>
          </w:p>
          <w:p>
            <w:pPr>
              <w:spacing w:line="360" w:lineRule="auto"/>
              <w:ind w:firstLine="480" w:firstLineChars="200"/>
              <w:rPr>
                <w:sz w:val="24"/>
              </w:rPr>
            </w:pPr>
            <w:r>
              <w:rPr>
                <w:sz w:val="24"/>
              </w:rPr>
              <w:t>矿区范围内保有资源量</w:t>
            </w:r>
            <w:r>
              <w:rPr>
                <w:rFonts w:hint="eastAsia"/>
                <w:sz w:val="24"/>
              </w:rPr>
              <w:t>998.45</w:t>
            </w:r>
            <w:r>
              <w:rPr>
                <w:sz w:val="24"/>
              </w:rPr>
              <w:t>万</w:t>
            </w:r>
            <w:r>
              <w:rPr>
                <w:rFonts w:hint="eastAsia"/>
                <w:sz w:val="24"/>
              </w:rPr>
              <w:t>m</w:t>
            </w:r>
            <w:r>
              <w:rPr>
                <w:rFonts w:hint="eastAsia"/>
                <w:sz w:val="24"/>
                <w:vertAlign w:val="superscript"/>
              </w:rPr>
              <w:t>3</w:t>
            </w:r>
            <w:r>
              <w:rPr>
                <w:sz w:val="24"/>
              </w:rPr>
              <w:t>，实际采出资源量</w:t>
            </w:r>
            <w:r>
              <w:rPr>
                <w:rFonts w:hint="eastAsia"/>
                <w:sz w:val="24"/>
              </w:rPr>
              <w:t>855.1872</w:t>
            </w:r>
            <w:r>
              <w:rPr>
                <w:sz w:val="24"/>
              </w:rPr>
              <w:t>万</w:t>
            </w:r>
            <w:r>
              <w:rPr>
                <w:rFonts w:hint="eastAsia"/>
                <w:sz w:val="24"/>
              </w:rPr>
              <w:t>m</w:t>
            </w:r>
            <w:r>
              <w:rPr>
                <w:rFonts w:hint="eastAsia"/>
                <w:sz w:val="24"/>
                <w:vertAlign w:val="superscript"/>
              </w:rPr>
              <w:t>3</w:t>
            </w:r>
            <w:r>
              <w:rPr>
                <w:sz w:val="24"/>
              </w:rPr>
              <w:t>，资源综合利用率约为</w:t>
            </w:r>
            <w:r>
              <w:rPr>
                <w:rFonts w:hint="eastAsia"/>
                <w:sz w:val="24"/>
              </w:rPr>
              <w:t>86</w:t>
            </w:r>
            <w:r>
              <w:rPr>
                <w:sz w:val="24"/>
              </w:rPr>
              <w:t>%。</w:t>
            </w:r>
          </w:p>
          <w:p>
            <w:pPr>
              <w:spacing w:line="360" w:lineRule="auto"/>
              <w:ind w:firstLine="480" w:firstLineChars="200"/>
              <w:rPr>
                <w:sz w:val="24"/>
              </w:rPr>
            </w:pPr>
            <w:r>
              <w:rPr>
                <w:sz w:val="24"/>
              </w:rPr>
              <w:t>矿山服务年限</w:t>
            </w:r>
            <w:r>
              <w:rPr>
                <w:rFonts w:hint="eastAsia"/>
                <w:sz w:val="24"/>
              </w:rPr>
              <w:t>为8.6年。</w:t>
            </w:r>
          </w:p>
          <w:p>
            <w:pPr>
              <w:tabs>
                <w:tab w:val="left" w:pos="1440"/>
              </w:tabs>
              <w:spacing w:line="360" w:lineRule="auto"/>
              <w:ind w:firstLine="480" w:firstLineChars="200"/>
              <w:rPr>
                <w:rFonts w:ascii="宋体" w:hAnsi="宋体"/>
                <w:bCs/>
                <w:sz w:val="24"/>
                <w:highlight w:val="yellow"/>
              </w:rPr>
            </w:pPr>
            <w:r>
              <w:rPr>
                <w:sz w:val="24"/>
              </w:rPr>
              <w:t>矿山生产采用连续工作周制，每年工作300天，每天工作两班，每班工作8小时。</w:t>
            </w:r>
          </w:p>
          <w:p>
            <w:pPr>
              <w:spacing w:line="360" w:lineRule="auto"/>
              <w:ind w:firstLine="481" w:firstLineChars="200"/>
              <w:rPr>
                <w:b/>
                <w:sz w:val="24"/>
              </w:rPr>
            </w:pPr>
            <w:r>
              <w:rPr>
                <w:rFonts w:hint="eastAsia" w:hAnsi="宋体"/>
                <w:b/>
                <w:bCs/>
                <w:sz w:val="24"/>
              </w:rPr>
              <w:t>七、</w:t>
            </w:r>
            <w:r>
              <w:rPr>
                <w:rFonts w:hAnsi="宋体"/>
                <w:b/>
                <w:bCs/>
                <w:sz w:val="24"/>
              </w:rPr>
              <w:t>公用工程</w:t>
            </w:r>
          </w:p>
          <w:p>
            <w:pPr>
              <w:spacing w:line="360" w:lineRule="auto"/>
              <w:ind w:firstLine="480"/>
              <w:rPr>
                <w:sz w:val="24"/>
              </w:rPr>
            </w:pPr>
            <w:r>
              <w:rPr>
                <w:sz w:val="24"/>
              </w:rPr>
              <w:t>1、给排水</w:t>
            </w:r>
          </w:p>
          <w:p>
            <w:pPr>
              <w:spacing w:line="360" w:lineRule="auto"/>
              <w:ind w:firstLine="600" w:firstLineChars="250"/>
              <w:rPr>
                <w:sz w:val="24"/>
              </w:rPr>
            </w:pPr>
            <w:r>
              <w:rPr>
                <w:sz w:val="24"/>
              </w:rPr>
              <w:t>厂区内给水水源为厂区自备井，用水分为生产用水及职工生活用水，供水设施能够满足生产及生活用水需求。生产用水主要为</w:t>
            </w:r>
            <w:r>
              <w:rPr>
                <w:rFonts w:hint="eastAsia"/>
                <w:sz w:val="24"/>
              </w:rPr>
              <w:t>生产喷淋降尘用水、</w:t>
            </w:r>
            <w:r>
              <w:rPr>
                <w:sz w:val="24"/>
              </w:rPr>
              <w:t>车辆</w:t>
            </w:r>
            <w:r>
              <w:rPr>
                <w:rFonts w:hint="eastAsia"/>
                <w:sz w:val="24"/>
              </w:rPr>
              <w:t>清</w:t>
            </w:r>
            <w:r>
              <w:rPr>
                <w:sz w:val="24"/>
              </w:rPr>
              <w:t>洗用水、</w:t>
            </w:r>
            <w:r>
              <w:rPr>
                <w:rFonts w:hint="eastAsia"/>
                <w:sz w:val="24"/>
              </w:rPr>
              <w:t>堆场及道路洒水降尘</w:t>
            </w:r>
            <w:r>
              <w:rPr>
                <w:sz w:val="24"/>
              </w:rPr>
              <w:t>用水。</w:t>
            </w:r>
          </w:p>
          <w:p>
            <w:pPr>
              <w:spacing w:line="360" w:lineRule="auto"/>
              <w:ind w:firstLine="480" w:firstLineChars="200"/>
              <w:rPr>
                <w:rFonts w:eastAsia="新宋体"/>
                <w:sz w:val="24"/>
              </w:rPr>
            </w:pPr>
            <w:r>
              <w:rPr>
                <w:rFonts w:eastAsia="新宋体"/>
                <w:sz w:val="24"/>
              </w:rPr>
              <w:t>1）生活用水：</w:t>
            </w:r>
          </w:p>
          <w:p>
            <w:pPr>
              <w:spacing w:line="360" w:lineRule="auto"/>
              <w:ind w:firstLine="480" w:firstLineChars="200"/>
              <w:rPr>
                <w:rFonts w:eastAsia="新宋体"/>
                <w:sz w:val="24"/>
              </w:rPr>
            </w:pPr>
            <w:r>
              <w:rPr>
                <w:sz w:val="24"/>
              </w:rPr>
              <w:t>项目</w:t>
            </w:r>
            <w:r>
              <w:rPr>
                <w:rFonts w:hint="eastAsia"/>
                <w:sz w:val="24"/>
              </w:rPr>
              <w:t>职工</w:t>
            </w:r>
            <w:r>
              <w:rPr>
                <w:sz w:val="24"/>
              </w:rPr>
              <w:t>定员</w:t>
            </w:r>
            <w:r>
              <w:rPr>
                <w:rFonts w:hint="eastAsia"/>
                <w:sz w:val="24"/>
              </w:rPr>
              <w:t>226人</w:t>
            </w:r>
            <w:r>
              <w:rPr>
                <w:rFonts w:eastAsia="新宋体"/>
                <w:sz w:val="24"/>
              </w:rPr>
              <w:t>，</w:t>
            </w:r>
            <w:r>
              <w:rPr>
                <w:sz w:val="24"/>
              </w:rPr>
              <w:t>根据《建筑给排水设计规范》（GB50015</w:t>
            </w:r>
            <w:r>
              <w:rPr>
                <w:rFonts w:hint="eastAsia"/>
                <w:sz w:val="24"/>
              </w:rPr>
              <w:t>-</w:t>
            </w:r>
            <w:r>
              <w:rPr>
                <w:sz w:val="24"/>
              </w:rPr>
              <w:t>2009），</w:t>
            </w:r>
            <w:r>
              <w:rPr>
                <w:rFonts w:eastAsia="新宋体"/>
                <w:sz w:val="24"/>
              </w:rPr>
              <w:t>项目职工用水按</w:t>
            </w:r>
            <w:r>
              <w:rPr>
                <w:rFonts w:hint="eastAsia" w:eastAsia="新宋体"/>
                <w:sz w:val="24"/>
              </w:rPr>
              <w:t>5</w:t>
            </w:r>
            <w:r>
              <w:rPr>
                <w:rFonts w:eastAsia="新宋体"/>
                <w:sz w:val="24"/>
              </w:rPr>
              <w:t>0L/d·</w:t>
            </w:r>
            <w:r>
              <w:rPr>
                <w:rFonts w:hint="eastAsia" w:eastAsia="新宋体"/>
                <w:sz w:val="24"/>
              </w:rPr>
              <w:t>人</w:t>
            </w:r>
            <w:r>
              <w:rPr>
                <w:rFonts w:eastAsia="新宋体"/>
                <w:sz w:val="24"/>
              </w:rPr>
              <w:t>计算，生活用水量为</w:t>
            </w:r>
            <w:r>
              <w:rPr>
                <w:rFonts w:hint="eastAsia" w:eastAsia="新宋体"/>
                <w:sz w:val="24"/>
              </w:rPr>
              <w:t>11.3</w:t>
            </w:r>
            <w:r>
              <w:rPr>
                <w:rFonts w:eastAsia="新宋体"/>
                <w:sz w:val="24"/>
              </w:rPr>
              <w:t>m</w:t>
            </w:r>
            <w:r>
              <w:rPr>
                <w:rFonts w:eastAsia="新宋体"/>
                <w:sz w:val="24"/>
                <w:vertAlign w:val="superscript"/>
              </w:rPr>
              <w:t>3</w:t>
            </w:r>
            <w:r>
              <w:rPr>
                <w:rFonts w:eastAsia="新宋体"/>
                <w:sz w:val="24"/>
              </w:rPr>
              <w:t>/d；折合</w:t>
            </w:r>
            <w:r>
              <w:rPr>
                <w:rFonts w:hint="eastAsia" w:eastAsia="新宋体"/>
                <w:sz w:val="24"/>
              </w:rPr>
              <w:t>3390</w:t>
            </w:r>
            <w:r>
              <w:rPr>
                <w:rFonts w:eastAsia="新宋体"/>
                <w:sz w:val="24"/>
              </w:rPr>
              <w:t>m</w:t>
            </w:r>
            <w:r>
              <w:rPr>
                <w:rFonts w:eastAsia="新宋体"/>
                <w:sz w:val="24"/>
                <w:vertAlign w:val="superscript"/>
              </w:rPr>
              <w:t>3</w:t>
            </w:r>
            <w:r>
              <w:rPr>
                <w:rFonts w:eastAsia="新宋体"/>
                <w:sz w:val="24"/>
              </w:rPr>
              <w:t>/a。</w:t>
            </w:r>
          </w:p>
          <w:p>
            <w:pPr>
              <w:spacing w:line="360" w:lineRule="auto"/>
              <w:ind w:firstLine="480" w:firstLineChars="200"/>
              <w:rPr>
                <w:rFonts w:eastAsia="新宋体"/>
                <w:sz w:val="24"/>
              </w:rPr>
            </w:pPr>
            <w:r>
              <w:rPr>
                <w:rFonts w:eastAsia="新宋体"/>
                <w:sz w:val="24"/>
              </w:rPr>
              <w:t>2）</w:t>
            </w:r>
            <w:r>
              <w:rPr>
                <w:rFonts w:hint="eastAsia"/>
                <w:sz w:val="24"/>
              </w:rPr>
              <w:t>生产喷淋降尘用水</w:t>
            </w:r>
          </w:p>
          <w:p>
            <w:pPr>
              <w:spacing w:line="360" w:lineRule="auto"/>
              <w:ind w:firstLine="480" w:firstLineChars="200"/>
              <w:rPr>
                <w:rFonts w:eastAsia="新宋体"/>
                <w:sz w:val="24"/>
              </w:rPr>
            </w:pPr>
            <w:r>
              <w:rPr>
                <w:rFonts w:eastAsia="新宋体"/>
                <w:sz w:val="24"/>
              </w:rPr>
              <w:t>根据企业提供资料，</w:t>
            </w:r>
            <w:r>
              <w:rPr>
                <w:rFonts w:hint="eastAsia" w:eastAsia="新宋体"/>
                <w:sz w:val="24"/>
              </w:rPr>
              <w:t>开采</w:t>
            </w:r>
            <w:r>
              <w:rPr>
                <w:rFonts w:eastAsia="新宋体"/>
                <w:sz w:val="24"/>
              </w:rPr>
              <w:t>1万</w:t>
            </w:r>
            <w:r>
              <w:rPr>
                <w:rFonts w:hint="eastAsia" w:eastAsia="新宋体"/>
                <w:sz w:val="24"/>
              </w:rPr>
              <w:t>吨矿石，</w:t>
            </w:r>
            <w:r>
              <w:rPr>
                <w:rFonts w:hint="eastAsia"/>
                <w:sz w:val="24"/>
              </w:rPr>
              <w:t>喷淋降尘用水量</w:t>
            </w:r>
            <w:r>
              <w:rPr>
                <w:rFonts w:eastAsia="新宋体"/>
                <w:sz w:val="24"/>
              </w:rPr>
              <w:t>约</w:t>
            </w:r>
            <w:r>
              <w:rPr>
                <w:rFonts w:hint="eastAsia" w:eastAsia="新宋体"/>
                <w:sz w:val="24"/>
              </w:rPr>
              <w:t>100</w:t>
            </w:r>
            <w:r>
              <w:rPr>
                <w:rFonts w:eastAsia="新宋体"/>
                <w:sz w:val="24"/>
              </w:rPr>
              <w:t>m</w:t>
            </w:r>
            <w:r>
              <w:rPr>
                <w:rFonts w:eastAsia="新宋体"/>
                <w:sz w:val="24"/>
                <w:vertAlign w:val="superscript"/>
              </w:rPr>
              <w:t>3</w:t>
            </w:r>
            <w:r>
              <w:rPr>
                <w:rFonts w:eastAsia="新宋体"/>
                <w:sz w:val="24"/>
              </w:rPr>
              <w:t>，项目</w:t>
            </w:r>
            <w:r>
              <w:rPr>
                <w:rFonts w:hint="eastAsia" w:eastAsia="新宋体"/>
                <w:sz w:val="24"/>
              </w:rPr>
              <w:t>新增采矿能力100万</w:t>
            </w:r>
            <w:r>
              <w:rPr>
                <w:rFonts w:eastAsia="新宋体"/>
                <w:sz w:val="24"/>
              </w:rPr>
              <w:t>m</w:t>
            </w:r>
            <w:r>
              <w:rPr>
                <w:rFonts w:eastAsia="新宋体"/>
                <w:sz w:val="24"/>
                <w:vertAlign w:val="superscript"/>
              </w:rPr>
              <w:t>3</w:t>
            </w:r>
            <w:r>
              <w:rPr>
                <w:rFonts w:eastAsia="新宋体"/>
                <w:sz w:val="24"/>
              </w:rPr>
              <w:t>/a</w:t>
            </w:r>
            <w:r>
              <w:rPr>
                <w:rFonts w:hint="eastAsia" w:eastAsia="新宋体"/>
                <w:sz w:val="24"/>
              </w:rPr>
              <w:t>（折合256万t/a）</w:t>
            </w:r>
            <w:r>
              <w:rPr>
                <w:rFonts w:eastAsia="新宋体"/>
                <w:sz w:val="24"/>
              </w:rPr>
              <w:t>，</w:t>
            </w:r>
            <w:r>
              <w:rPr>
                <w:rFonts w:hint="eastAsia"/>
                <w:sz w:val="24"/>
              </w:rPr>
              <w:t>生产喷淋降尘用水</w:t>
            </w:r>
            <w:r>
              <w:rPr>
                <w:rFonts w:eastAsia="新宋体"/>
                <w:sz w:val="24"/>
              </w:rPr>
              <w:t>量约为</w:t>
            </w:r>
            <w:r>
              <w:rPr>
                <w:rFonts w:hint="eastAsia" w:eastAsia="新宋体"/>
                <w:sz w:val="24"/>
              </w:rPr>
              <w:t>25600</w:t>
            </w:r>
            <w:r>
              <w:rPr>
                <w:rFonts w:eastAsia="新宋体"/>
                <w:sz w:val="24"/>
              </w:rPr>
              <w:t>m</w:t>
            </w:r>
            <w:r>
              <w:rPr>
                <w:rFonts w:eastAsia="新宋体"/>
                <w:sz w:val="24"/>
                <w:vertAlign w:val="superscript"/>
              </w:rPr>
              <w:t>3</w:t>
            </w:r>
            <w:r>
              <w:rPr>
                <w:rFonts w:eastAsia="新宋体"/>
                <w:sz w:val="24"/>
              </w:rPr>
              <w:t>/a</w:t>
            </w:r>
            <w:r>
              <w:rPr>
                <w:rFonts w:hint="eastAsia" w:eastAsia="新宋体"/>
                <w:sz w:val="24"/>
              </w:rPr>
              <w:t>（85.33</w:t>
            </w:r>
            <w:r>
              <w:rPr>
                <w:rFonts w:eastAsia="新宋体"/>
                <w:sz w:val="24"/>
              </w:rPr>
              <w:t>m</w:t>
            </w:r>
            <w:r>
              <w:rPr>
                <w:rFonts w:eastAsia="新宋体"/>
                <w:sz w:val="24"/>
                <w:vertAlign w:val="superscript"/>
              </w:rPr>
              <w:t>3</w:t>
            </w:r>
            <w:r>
              <w:rPr>
                <w:rFonts w:eastAsia="新宋体"/>
                <w:sz w:val="24"/>
              </w:rPr>
              <w:t>/</w:t>
            </w:r>
            <w:r>
              <w:rPr>
                <w:rFonts w:hint="eastAsia" w:eastAsia="新宋体"/>
                <w:sz w:val="24"/>
              </w:rPr>
              <w:t>d）</w:t>
            </w:r>
            <w:r>
              <w:rPr>
                <w:rFonts w:eastAsia="新宋体"/>
                <w:sz w:val="24"/>
              </w:rPr>
              <w:t>。</w:t>
            </w:r>
          </w:p>
          <w:p>
            <w:pPr>
              <w:spacing w:line="360" w:lineRule="auto"/>
              <w:ind w:firstLine="480" w:firstLineChars="200"/>
              <w:rPr>
                <w:rFonts w:eastAsia="新宋体"/>
                <w:sz w:val="24"/>
              </w:rPr>
            </w:pPr>
            <w:r>
              <w:rPr>
                <w:rFonts w:eastAsia="新宋体"/>
                <w:sz w:val="24"/>
              </w:rPr>
              <w:t>3）</w:t>
            </w:r>
            <w:r>
              <w:rPr>
                <w:rFonts w:hint="eastAsia" w:eastAsia="新宋体"/>
                <w:sz w:val="24"/>
              </w:rPr>
              <w:t>道路及堆场</w:t>
            </w:r>
            <w:r>
              <w:rPr>
                <w:rFonts w:eastAsia="新宋体"/>
                <w:sz w:val="24"/>
              </w:rPr>
              <w:t>降尘用水</w:t>
            </w:r>
          </w:p>
          <w:p>
            <w:pPr>
              <w:spacing w:line="360" w:lineRule="auto"/>
              <w:ind w:firstLine="480" w:firstLineChars="200"/>
              <w:rPr>
                <w:rFonts w:eastAsia="新宋体"/>
                <w:sz w:val="24"/>
              </w:rPr>
            </w:pPr>
            <w:r>
              <w:rPr>
                <w:rFonts w:eastAsia="新宋体"/>
                <w:sz w:val="24"/>
              </w:rPr>
              <w:t>项目</w:t>
            </w:r>
            <w:r>
              <w:rPr>
                <w:rFonts w:hint="eastAsia" w:eastAsia="新宋体"/>
                <w:sz w:val="24"/>
              </w:rPr>
              <w:t>道路及堆场洒水</w:t>
            </w:r>
            <w:r>
              <w:rPr>
                <w:rFonts w:eastAsia="新宋体"/>
                <w:sz w:val="24"/>
              </w:rPr>
              <w:t>降尘1 天</w:t>
            </w:r>
            <w:r>
              <w:rPr>
                <w:rFonts w:hint="eastAsia" w:eastAsia="新宋体"/>
                <w:sz w:val="24"/>
              </w:rPr>
              <w:t>4</w:t>
            </w:r>
            <w:r>
              <w:rPr>
                <w:rFonts w:eastAsia="新宋体"/>
                <w:sz w:val="24"/>
              </w:rPr>
              <w:t>次，范围包括</w:t>
            </w:r>
            <w:r>
              <w:rPr>
                <w:rFonts w:hint="eastAsia" w:eastAsia="新宋体"/>
                <w:sz w:val="24"/>
              </w:rPr>
              <w:t>堆场及道路</w:t>
            </w:r>
            <w:r>
              <w:rPr>
                <w:rFonts w:eastAsia="新宋体"/>
                <w:sz w:val="24"/>
              </w:rPr>
              <w:t>，根据建设单位提供</w:t>
            </w:r>
            <w:r>
              <w:rPr>
                <w:rFonts w:hint="eastAsia" w:eastAsia="新宋体"/>
                <w:sz w:val="24"/>
              </w:rPr>
              <w:t>的</w:t>
            </w:r>
            <w:r>
              <w:rPr>
                <w:rFonts w:eastAsia="新宋体"/>
                <w:sz w:val="24"/>
              </w:rPr>
              <w:t>资料，其面积约为</w:t>
            </w:r>
            <w:r>
              <w:rPr>
                <w:rFonts w:hint="eastAsia" w:eastAsia="新宋体"/>
                <w:sz w:val="24"/>
              </w:rPr>
              <w:t>30000</w:t>
            </w:r>
            <w:r>
              <w:rPr>
                <w:rFonts w:eastAsia="新宋体"/>
                <w:sz w:val="24"/>
              </w:rPr>
              <w:t>m</w:t>
            </w:r>
            <w:r>
              <w:rPr>
                <w:rFonts w:eastAsia="新宋体"/>
                <w:sz w:val="24"/>
                <w:vertAlign w:val="superscript"/>
              </w:rPr>
              <w:t>2</w:t>
            </w:r>
            <w:r>
              <w:rPr>
                <w:rFonts w:eastAsia="新宋体"/>
                <w:sz w:val="24"/>
              </w:rPr>
              <w:t>，参考《建筑给水排水设计规范》（GB50015-2009），项目场地降尘用水系数取 1L/(m</w:t>
            </w:r>
            <w:r>
              <w:rPr>
                <w:rFonts w:eastAsia="新宋体"/>
                <w:sz w:val="24"/>
                <w:vertAlign w:val="superscript"/>
              </w:rPr>
              <w:t>2</w:t>
            </w:r>
            <w:r>
              <w:rPr>
                <w:rFonts w:eastAsia="新宋体"/>
                <w:sz w:val="24"/>
              </w:rPr>
              <w:t>·次)，降尘</w:t>
            </w:r>
            <w:r>
              <w:rPr>
                <w:rFonts w:hint="eastAsia" w:eastAsia="新宋体"/>
                <w:sz w:val="24"/>
              </w:rPr>
              <w:t>天</w:t>
            </w:r>
            <w:r>
              <w:rPr>
                <w:rFonts w:eastAsia="新宋体"/>
                <w:sz w:val="24"/>
              </w:rPr>
              <w:t>数</w:t>
            </w:r>
            <w:r>
              <w:rPr>
                <w:rFonts w:hint="eastAsia" w:eastAsia="新宋体"/>
                <w:sz w:val="24"/>
              </w:rPr>
              <w:t>2</w:t>
            </w:r>
            <w:r>
              <w:rPr>
                <w:rFonts w:eastAsia="新宋体"/>
                <w:sz w:val="24"/>
              </w:rPr>
              <w:t>00 天/a，则项目</w:t>
            </w:r>
            <w:r>
              <w:rPr>
                <w:rFonts w:hint="eastAsia" w:eastAsia="新宋体"/>
                <w:sz w:val="24"/>
              </w:rPr>
              <w:t>道路及堆场</w:t>
            </w:r>
            <w:r>
              <w:rPr>
                <w:rFonts w:eastAsia="新宋体"/>
                <w:sz w:val="24"/>
              </w:rPr>
              <w:t>降尘用水量为</w:t>
            </w:r>
            <w:r>
              <w:rPr>
                <w:rFonts w:hint="eastAsia" w:eastAsia="新宋体"/>
                <w:sz w:val="24"/>
              </w:rPr>
              <w:t>120</w:t>
            </w:r>
            <w:r>
              <w:rPr>
                <w:rFonts w:eastAsia="新宋体"/>
                <w:sz w:val="24"/>
              </w:rPr>
              <w:t>m</w:t>
            </w:r>
            <w:r>
              <w:rPr>
                <w:rFonts w:eastAsia="新宋体"/>
                <w:sz w:val="24"/>
                <w:vertAlign w:val="superscript"/>
              </w:rPr>
              <w:t>3</w:t>
            </w:r>
            <w:r>
              <w:rPr>
                <w:rFonts w:eastAsia="新宋体"/>
                <w:sz w:val="24"/>
              </w:rPr>
              <w:t>/d；折合</w:t>
            </w:r>
            <w:r>
              <w:rPr>
                <w:rFonts w:hint="eastAsia" w:eastAsia="新宋体"/>
                <w:sz w:val="24"/>
              </w:rPr>
              <w:t>36000</w:t>
            </w:r>
            <w:r>
              <w:rPr>
                <w:rFonts w:eastAsia="新宋体"/>
                <w:sz w:val="24"/>
              </w:rPr>
              <w:t>m</w:t>
            </w:r>
            <w:r>
              <w:rPr>
                <w:rFonts w:eastAsia="新宋体"/>
                <w:sz w:val="24"/>
                <w:vertAlign w:val="superscript"/>
              </w:rPr>
              <w:t>3</w:t>
            </w:r>
            <w:r>
              <w:rPr>
                <w:rFonts w:eastAsia="新宋体"/>
                <w:sz w:val="24"/>
              </w:rPr>
              <w:t>/a。</w:t>
            </w:r>
          </w:p>
          <w:p>
            <w:pPr>
              <w:spacing w:line="360" w:lineRule="auto"/>
              <w:ind w:firstLine="480" w:firstLineChars="200"/>
              <w:rPr>
                <w:sz w:val="24"/>
              </w:rPr>
            </w:pPr>
            <w:r>
              <w:rPr>
                <w:sz w:val="24"/>
              </w:rPr>
              <w:t>4）洗车台用水</w:t>
            </w:r>
          </w:p>
          <w:p>
            <w:pPr>
              <w:spacing w:line="360" w:lineRule="auto"/>
              <w:ind w:firstLine="480" w:firstLineChars="200"/>
              <w:rPr>
                <w:rFonts w:eastAsia="新宋体"/>
                <w:sz w:val="24"/>
              </w:rPr>
            </w:pPr>
            <w:r>
              <w:rPr>
                <w:sz w:val="24"/>
              </w:rPr>
              <w:t>项目车辆清洗用水</w:t>
            </w:r>
            <w:r>
              <w:rPr>
                <w:rFonts w:hint="eastAsia"/>
                <w:sz w:val="24"/>
              </w:rPr>
              <w:t>20</w:t>
            </w:r>
            <w:r>
              <w:rPr>
                <w:sz w:val="24"/>
              </w:rPr>
              <w:t>m</w:t>
            </w:r>
            <w:r>
              <w:rPr>
                <w:sz w:val="24"/>
                <w:vertAlign w:val="superscript"/>
              </w:rPr>
              <w:t>3</w:t>
            </w:r>
            <w:r>
              <w:rPr>
                <w:sz w:val="24"/>
              </w:rPr>
              <w:t>/d，</w:t>
            </w:r>
            <w:r>
              <w:rPr>
                <w:rFonts w:hint="eastAsia"/>
                <w:sz w:val="24"/>
              </w:rPr>
              <w:t>60</w:t>
            </w:r>
            <w:r>
              <w:rPr>
                <w:sz w:val="24"/>
              </w:rPr>
              <w:t>00</w:t>
            </w:r>
            <w:r>
              <w:rPr>
                <w:kern w:val="0"/>
                <w:sz w:val="24"/>
                <w:lang w:val="zh-CN"/>
              </w:rPr>
              <w:t>m</w:t>
            </w:r>
            <w:r>
              <w:rPr>
                <w:kern w:val="0"/>
                <w:sz w:val="24"/>
                <w:vertAlign w:val="superscript"/>
                <w:lang w:val="zh-CN"/>
              </w:rPr>
              <w:t>3</w:t>
            </w:r>
            <w:r>
              <w:rPr>
                <w:kern w:val="0"/>
                <w:sz w:val="24"/>
                <w:lang w:val="zh-CN"/>
              </w:rPr>
              <w:t>/a。</w:t>
            </w:r>
            <w:r>
              <w:rPr>
                <w:sz w:val="24"/>
              </w:rPr>
              <w:t>清洗废水全部经沉淀处理后回用，不外排。</w:t>
            </w:r>
            <w:r>
              <w:rPr>
                <w:rFonts w:eastAsia="新宋体"/>
                <w:sz w:val="24"/>
              </w:rPr>
              <w:t>循环水损耗量约占20%，则项目新鲜用水补充量约为</w:t>
            </w:r>
            <w:r>
              <w:rPr>
                <w:rFonts w:hint="eastAsia" w:eastAsia="新宋体"/>
                <w:sz w:val="24"/>
              </w:rPr>
              <w:t>4</w:t>
            </w:r>
            <w:r>
              <w:rPr>
                <w:rFonts w:eastAsia="新宋体"/>
                <w:sz w:val="24"/>
              </w:rPr>
              <w:t>m</w:t>
            </w:r>
            <w:r>
              <w:rPr>
                <w:rFonts w:eastAsia="新宋体"/>
                <w:sz w:val="24"/>
                <w:vertAlign w:val="superscript"/>
              </w:rPr>
              <w:t>3</w:t>
            </w:r>
            <w:r>
              <w:rPr>
                <w:rFonts w:eastAsia="新宋体"/>
                <w:sz w:val="24"/>
              </w:rPr>
              <w:t>/d；折合</w:t>
            </w:r>
            <w:r>
              <w:rPr>
                <w:rFonts w:hint="eastAsia" w:eastAsia="新宋体"/>
                <w:sz w:val="24"/>
              </w:rPr>
              <w:t>1200</w:t>
            </w:r>
            <w:r>
              <w:rPr>
                <w:rFonts w:eastAsia="新宋体"/>
                <w:sz w:val="24"/>
              </w:rPr>
              <w:t>m</w:t>
            </w:r>
            <w:r>
              <w:rPr>
                <w:rFonts w:eastAsia="新宋体"/>
                <w:sz w:val="24"/>
                <w:vertAlign w:val="superscript"/>
              </w:rPr>
              <w:t>3</w:t>
            </w:r>
            <w:r>
              <w:rPr>
                <w:rFonts w:eastAsia="新宋体"/>
                <w:sz w:val="24"/>
              </w:rPr>
              <w:t>/a。</w:t>
            </w:r>
          </w:p>
          <w:p>
            <w:pPr>
              <w:pStyle w:val="8"/>
              <w:spacing w:line="360" w:lineRule="auto"/>
              <w:ind w:left="0" w:leftChars="0" w:firstLine="480" w:firstLineChars="200"/>
              <w:rPr>
                <w:bCs/>
                <w:kern w:val="0"/>
                <w:sz w:val="24"/>
              </w:rPr>
            </w:pPr>
            <w:r>
              <w:rPr>
                <w:sz w:val="24"/>
              </w:rPr>
              <w:t>排水：</w:t>
            </w:r>
            <w:r>
              <w:rPr>
                <w:bCs/>
                <w:kern w:val="0"/>
                <w:sz w:val="24"/>
              </w:rPr>
              <w:t>本项目排水为雨污分流系统。雨水经厂区雨水管网排入厂外沟渠；</w:t>
            </w:r>
            <w:r>
              <w:rPr>
                <w:rFonts w:hint="eastAsia"/>
                <w:bCs/>
                <w:kern w:val="0"/>
                <w:sz w:val="24"/>
              </w:rPr>
              <w:t>本项目生产</w:t>
            </w:r>
            <w:r>
              <w:rPr>
                <w:rFonts w:hint="eastAsia"/>
                <w:sz w:val="24"/>
              </w:rPr>
              <w:t>喷淋降尘用水、道路及堆场洒水降尘</w:t>
            </w:r>
            <w:r>
              <w:rPr>
                <w:sz w:val="24"/>
              </w:rPr>
              <w:t>用水</w:t>
            </w:r>
            <w:r>
              <w:rPr>
                <w:rFonts w:hint="eastAsia"/>
                <w:sz w:val="24"/>
              </w:rPr>
              <w:t>全部损耗，</w:t>
            </w:r>
            <w:r>
              <w:rPr>
                <w:bCs/>
                <w:kern w:val="0"/>
                <w:sz w:val="24"/>
              </w:rPr>
              <w:t>生产废水主要为车辆清洗废水，经有防渗处理的沉砂池收集沉降后循环使用，不外排，损耗部分</w:t>
            </w:r>
            <w:r>
              <w:rPr>
                <w:rFonts w:hint="eastAsia"/>
                <w:bCs/>
                <w:kern w:val="0"/>
                <w:sz w:val="24"/>
              </w:rPr>
              <w:t>定期补充</w:t>
            </w:r>
            <w:r>
              <w:rPr>
                <w:bCs/>
                <w:kern w:val="0"/>
                <w:sz w:val="24"/>
              </w:rPr>
              <w:t>；项目产生的生活污水约</w:t>
            </w:r>
            <w:r>
              <w:rPr>
                <w:rFonts w:hint="eastAsia"/>
                <w:bCs/>
                <w:kern w:val="0"/>
                <w:sz w:val="24"/>
              </w:rPr>
              <w:t>9.04</w:t>
            </w:r>
            <w:r>
              <w:rPr>
                <w:bCs/>
                <w:kern w:val="0"/>
                <w:sz w:val="24"/>
              </w:rPr>
              <w:t>m</w:t>
            </w:r>
            <w:r>
              <w:rPr>
                <w:bCs/>
                <w:kern w:val="0"/>
                <w:sz w:val="24"/>
                <w:vertAlign w:val="superscript"/>
              </w:rPr>
              <w:t>3</w:t>
            </w:r>
            <w:r>
              <w:rPr>
                <w:bCs/>
                <w:kern w:val="0"/>
                <w:sz w:val="24"/>
              </w:rPr>
              <w:t>/d</w:t>
            </w:r>
            <w:r>
              <w:rPr>
                <w:rFonts w:hint="eastAsia"/>
                <w:bCs/>
                <w:kern w:val="0"/>
                <w:sz w:val="24"/>
              </w:rPr>
              <w:t>，2712</w:t>
            </w:r>
            <w:r>
              <w:rPr>
                <w:bCs/>
                <w:kern w:val="0"/>
                <w:sz w:val="24"/>
              </w:rPr>
              <w:t>m</w:t>
            </w:r>
            <w:r>
              <w:rPr>
                <w:bCs/>
                <w:kern w:val="0"/>
                <w:sz w:val="24"/>
                <w:vertAlign w:val="superscript"/>
              </w:rPr>
              <w:t>3</w:t>
            </w:r>
            <w:r>
              <w:rPr>
                <w:bCs/>
                <w:kern w:val="0"/>
                <w:sz w:val="24"/>
              </w:rPr>
              <w:t>/</w:t>
            </w:r>
            <w:r>
              <w:rPr>
                <w:rFonts w:hint="eastAsia"/>
                <w:bCs/>
                <w:kern w:val="0"/>
                <w:sz w:val="24"/>
              </w:rPr>
              <w:t>a</w:t>
            </w:r>
            <w:r>
              <w:rPr>
                <w:bCs/>
                <w:kern w:val="0"/>
                <w:sz w:val="24"/>
              </w:rPr>
              <w:t xml:space="preserve"> (生活污水量以生活用水量的80%计)，经化粪池收集</w:t>
            </w:r>
            <w:r>
              <w:rPr>
                <w:rFonts w:hint="eastAsia"/>
                <w:bCs/>
                <w:kern w:val="0"/>
                <w:sz w:val="24"/>
              </w:rPr>
              <w:t>后委托环卫部门清运</w:t>
            </w:r>
            <w:r>
              <w:rPr>
                <w:bCs/>
                <w:kern w:val="0"/>
                <w:sz w:val="24"/>
              </w:rPr>
              <w:t>，不外排。</w:t>
            </w:r>
          </w:p>
          <w:p>
            <w:pPr>
              <w:pStyle w:val="8"/>
              <w:spacing w:line="360" w:lineRule="auto"/>
              <w:ind w:left="0" w:leftChars="0" w:firstLine="308" w:firstLineChars="147"/>
            </w:pPr>
            <w:r>
              <w:drawing>
                <wp:inline distT="0" distB="0" distL="0" distR="0">
                  <wp:extent cx="5753100" cy="3152775"/>
                  <wp:effectExtent l="19050" t="0" r="0"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noChangeArrowheads="true"/>
                          </pic:cNvPicPr>
                        </pic:nvPicPr>
                        <pic:blipFill>
                          <a:blip r:embed="rId11"/>
                          <a:srcRect/>
                          <a:stretch>
                            <a:fillRect/>
                          </a:stretch>
                        </pic:blipFill>
                        <pic:spPr>
                          <a:xfrm>
                            <a:off x="0" y="0"/>
                            <a:ext cx="5753100" cy="3152775"/>
                          </a:xfrm>
                          <a:prstGeom prst="rect">
                            <a:avLst/>
                          </a:prstGeom>
                          <a:noFill/>
                          <a:ln w="9525">
                            <a:noFill/>
                            <a:miter lim="800000"/>
                            <a:headEnd/>
                            <a:tailEnd/>
                          </a:ln>
                        </pic:spPr>
                      </pic:pic>
                    </a:graphicData>
                  </a:graphic>
                </wp:inline>
              </w:drawing>
            </w:r>
          </w:p>
          <w:p>
            <w:pPr>
              <w:pStyle w:val="8"/>
              <w:ind w:left="0" w:leftChars="0"/>
              <w:jc w:val="center"/>
              <w:rPr>
                <w:b/>
              </w:rPr>
            </w:pPr>
            <w:r>
              <w:rPr>
                <w:b/>
                <w:sz w:val="24"/>
              </w:rPr>
              <w:t>图1-1  项目水量平衡图（单位 m</w:t>
            </w:r>
            <w:r>
              <w:rPr>
                <w:b/>
                <w:sz w:val="24"/>
                <w:vertAlign w:val="superscript"/>
              </w:rPr>
              <w:t>3</w:t>
            </w:r>
            <w:r>
              <w:rPr>
                <w:b/>
                <w:sz w:val="24"/>
              </w:rPr>
              <w:t>/d）</w:t>
            </w:r>
          </w:p>
          <w:p>
            <w:pPr>
              <w:spacing w:line="360" w:lineRule="auto"/>
              <w:ind w:firstLine="480"/>
              <w:rPr>
                <w:bCs/>
                <w:sz w:val="24"/>
              </w:rPr>
            </w:pPr>
            <w:r>
              <w:rPr>
                <w:bCs/>
                <w:sz w:val="24"/>
              </w:rPr>
              <w:t>2、用电</w:t>
            </w:r>
          </w:p>
          <w:p>
            <w:pPr>
              <w:spacing w:line="360" w:lineRule="auto"/>
              <w:ind w:firstLine="570"/>
              <w:rPr>
                <w:bCs/>
                <w:sz w:val="24"/>
              </w:rPr>
            </w:pPr>
            <w:r>
              <w:rPr>
                <w:bCs/>
                <w:sz w:val="24"/>
              </w:rPr>
              <w:t>本项目用电由</w:t>
            </w:r>
            <w:r>
              <w:rPr>
                <w:rFonts w:hint="eastAsia"/>
                <w:bCs/>
                <w:sz w:val="24"/>
              </w:rPr>
              <w:t>矿区</w:t>
            </w:r>
            <w:r>
              <w:rPr>
                <w:bCs/>
                <w:sz w:val="24"/>
              </w:rPr>
              <w:t>附近供电网接入，可以满足本项目用电需求。</w:t>
            </w:r>
          </w:p>
          <w:p>
            <w:pPr>
              <w:spacing w:line="360" w:lineRule="auto"/>
              <w:ind w:firstLine="456" w:firstLineChars="200"/>
              <w:rPr>
                <w:spacing w:val="-6"/>
                <w:sz w:val="24"/>
              </w:rPr>
            </w:pPr>
            <w:r>
              <w:rPr>
                <w:spacing w:val="-6"/>
                <w:sz w:val="24"/>
              </w:rPr>
              <w:t>3、供热</w:t>
            </w:r>
          </w:p>
          <w:p>
            <w:pPr>
              <w:spacing w:line="360" w:lineRule="auto"/>
              <w:ind w:firstLine="480" w:firstLineChars="200"/>
              <w:rPr>
                <w:sz w:val="24"/>
              </w:rPr>
            </w:pPr>
            <w:r>
              <w:rPr>
                <w:sz w:val="24"/>
              </w:rPr>
              <w:t>项目生产过程中</w:t>
            </w:r>
            <w:r>
              <w:rPr>
                <w:rFonts w:hint="eastAsia"/>
                <w:sz w:val="24"/>
              </w:rPr>
              <w:t>不用热，办公室冬季利用空调采暖</w:t>
            </w:r>
            <w:r>
              <w:rPr>
                <w:sz w:val="24"/>
              </w:rPr>
              <w:t>。</w:t>
            </w:r>
          </w:p>
          <w:p>
            <w:pPr>
              <w:spacing w:line="360" w:lineRule="auto"/>
              <w:ind w:firstLine="481" w:firstLineChars="200"/>
              <w:rPr>
                <w:b/>
                <w:sz w:val="24"/>
              </w:rPr>
            </w:pPr>
            <w:r>
              <w:rPr>
                <w:rFonts w:hint="eastAsia"/>
                <w:b/>
                <w:sz w:val="24"/>
              </w:rPr>
              <w:t>八</w:t>
            </w:r>
            <w:r>
              <w:rPr>
                <w:b/>
                <w:sz w:val="24"/>
              </w:rPr>
              <w:t>、项目选址及建设可行性分析</w:t>
            </w:r>
          </w:p>
          <w:p>
            <w:pPr>
              <w:spacing w:line="360" w:lineRule="auto"/>
              <w:ind w:firstLine="482"/>
              <w:rPr>
                <w:sz w:val="24"/>
              </w:rPr>
            </w:pPr>
            <w:r>
              <w:rPr>
                <w:sz w:val="24"/>
              </w:rPr>
              <w:t>1、项目规划符合性及选址合理性分析</w:t>
            </w:r>
          </w:p>
          <w:p>
            <w:pPr>
              <w:spacing w:line="360" w:lineRule="auto"/>
              <w:ind w:firstLine="482"/>
              <w:rPr>
                <w:sz w:val="24"/>
              </w:rPr>
            </w:pPr>
            <w:r>
              <w:rPr>
                <w:sz w:val="24"/>
              </w:rPr>
              <w:t>本项目位于汶上县城东北约</w:t>
            </w:r>
            <w:r>
              <w:rPr>
                <w:rFonts w:hint="eastAsia"/>
                <w:sz w:val="24"/>
              </w:rPr>
              <w:t>14</w:t>
            </w:r>
            <w:r>
              <w:rPr>
                <w:sz w:val="24"/>
              </w:rPr>
              <w:t>km，白石镇</w:t>
            </w:r>
            <w:r>
              <w:rPr>
                <w:rFonts w:hint="eastAsia"/>
                <w:sz w:val="24"/>
              </w:rPr>
              <w:t>东</w:t>
            </w:r>
            <w:r>
              <w:rPr>
                <w:sz w:val="24"/>
              </w:rPr>
              <w:t>南约2km处，</w:t>
            </w:r>
            <w:r>
              <w:rPr>
                <w:rFonts w:hint="eastAsia"/>
                <w:sz w:val="24"/>
              </w:rPr>
              <w:t>根据汶自资规字[2019]1号文件，汶上县自然资源和规划局已对</w:t>
            </w:r>
            <w:r>
              <w:rPr>
                <w:sz w:val="24"/>
              </w:rPr>
              <w:t>汶上县东老塘矿区建筑用花岗岩矿</w:t>
            </w:r>
            <w:r>
              <w:rPr>
                <w:rFonts w:hint="eastAsia"/>
                <w:sz w:val="24"/>
              </w:rPr>
              <w:t>矿区范围进行批复。</w:t>
            </w:r>
          </w:p>
          <w:p>
            <w:pPr>
              <w:widowControl/>
              <w:spacing w:line="360" w:lineRule="auto"/>
              <w:ind w:firstLine="480" w:firstLineChars="200"/>
              <w:jc w:val="left"/>
              <w:rPr>
                <w:kern w:val="0"/>
                <w:sz w:val="24"/>
              </w:rPr>
            </w:pPr>
            <w:r>
              <w:rPr>
                <w:kern w:val="0"/>
                <w:sz w:val="24"/>
              </w:rPr>
              <w:t>(1)</w:t>
            </w:r>
            <w:r>
              <w:rPr>
                <w:rFonts w:hAnsi="宋体"/>
                <w:kern w:val="0"/>
                <w:sz w:val="24"/>
              </w:rPr>
              <w:t>国土资源部、卫生部和国家环境保护总局于</w:t>
            </w:r>
            <w:r>
              <w:rPr>
                <w:kern w:val="0"/>
                <w:sz w:val="24"/>
              </w:rPr>
              <w:t>2005 </w:t>
            </w:r>
            <w:r>
              <w:rPr>
                <w:rFonts w:hAnsi="宋体"/>
                <w:kern w:val="0"/>
                <w:sz w:val="24"/>
              </w:rPr>
              <w:t>年</w:t>
            </w:r>
            <w:r>
              <w:rPr>
                <w:kern w:val="0"/>
                <w:sz w:val="24"/>
              </w:rPr>
              <w:t>09 </w:t>
            </w:r>
            <w:r>
              <w:rPr>
                <w:rFonts w:hAnsi="宋体"/>
                <w:kern w:val="0"/>
                <w:sz w:val="24"/>
              </w:rPr>
              <w:t>月</w:t>
            </w:r>
            <w:r>
              <w:rPr>
                <w:kern w:val="0"/>
                <w:sz w:val="24"/>
              </w:rPr>
              <w:t>07 </w:t>
            </w:r>
            <w:r>
              <w:rPr>
                <w:rFonts w:hAnsi="宋体"/>
                <w:kern w:val="0"/>
                <w:sz w:val="24"/>
              </w:rPr>
              <w:t>日联合发布的《矿山生态环境保护与污染防治技术政策》规定</w:t>
            </w:r>
            <w:r>
              <w:rPr>
                <w:rFonts w:hint="eastAsia"/>
                <w:kern w:val="0"/>
                <w:sz w:val="24"/>
              </w:rPr>
              <w:t>：</w:t>
            </w:r>
            <w:r>
              <w:rPr>
                <w:kern w:val="0"/>
                <w:sz w:val="24"/>
              </w:rPr>
              <w:t> </w:t>
            </w:r>
            <w:r>
              <w:rPr>
                <w:rFonts w:hAnsi="宋体"/>
                <w:kern w:val="0"/>
                <w:sz w:val="24"/>
              </w:rPr>
              <w:t>禁止在依法划定的自然保护区</w:t>
            </w:r>
            <w:r>
              <w:rPr>
                <w:kern w:val="0"/>
                <w:sz w:val="24"/>
              </w:rPr>
              <w:t>(</w:t>
            </w:r>
            <w:r>
              <w:rPr>
                <w:rFonts w:hAnsi="宋体"/>
                <w:kern w:val="0"/>
                <w:sz w:val="24"/>
              </w:rPr>
              <w:t>核心区、缓冲区</w:t>
            </w:r>
            <w:r>
              <w:rPr>
                <w:kern w:val="0"/>
                <w:sz w:val="24"/>
              </w:rPr>
              <w:t>)</w:t>
            </w:r>
            <w:r>
              <w:rPr>
                <w:rFonts w:hAnsi="宋体"/>
                <w:kern w:val="0"/>
                <w:sz w:val="24"/>
              </w:rPr>
              <w:t>、风景名胜区、森林公园、饮用水水源保护区、重要湖泊周边、文物古迹所在地、地质遗迹保护区、基本农田保护区等区域内采矿。本矿区不在上述范围内</w:t>
            </w:r>
            <w:r>
              <w:rPr>
                <w:rFonts w:hint="eastAsia"/>
                <w:kern w:val="0"/>
                <w:sz w:val="24"/>
              </w:rPr>
              <w:t>，</w:t>
            </w:r>
            <w:r>
              <w:rPr>
                <w:rFonts w:hAnsi="宋体"/>
                <w:kern w:val="0"/>
                <w:sz w:val="24"/>
              </w:rPr>
              <w:t>符合政策要求。</w:t>
            </w:r>
          </w:p>
          <w:p>
            <w:pPr>
              <w:widowControl/>
              <w:spacing w:line="360" w:lineRule="auto"/>
              <w:ind w:firstLine="480" w:firstLineChars="200"/>
              <w:jc w:val="left"/>
              <w:rPr>
                <w:kern w:val="0"/>
                <w:sz w:val="24"/>
                <w:highlight w:val="yellow"/>
              </w:rPr>
            </w:pPr>
            <w:r>
              <w:rPr>
                <w:kern w:val="0"/>
                <w:sz w:val="24"/>
              </w:rPr>
              <w:t>(2) </w:t>
            </w:r>
            <w:r>
              <w:rPr>
                <w:rFonts w:hAnsi="宋体"/>
                <w:kern w:val="0"/>
                <w:sz w:val="24"/>
              </w:rPr>
              <w:t>国土资源部《关于调整部分矿种矿山生产建设规模标准的通知》</w:t>
            </w:r>
            <w:r>
              <w:rPr>
                <w:kern w:val="0"/>
                <w:sz w:val="24"/>
              </w:rPr>
              <w:t>(</w:t>
            </w:r>
            <w:r>
              <w:rPr>
                <w:rFonts w:hAnsi="宋体"/>
                <w:kern w:val="0"/>
                <w:sz w:val="24"/>
              </w:rPr>
              <w:t>国土资发</w:t>
            </w:r>
            <w:r>
              <w:rPr>
                <w:kern w:val="0"/>
                <w:sz w:val="24"/>
              </w:rPr>
              <w:t>[2004]208 </w:t>
            </w:r>
            <w:r>
              <w:rPr>
                <w:rFonts w:hAnsi="宋体"/>
                <w:kern w:val="0"/>
                <w:sz w:val="24"/>
              </w:rPr>
              <w:t>号</w:t>
            </w:r>
            <w:r>
              <w:rPr>
                <w:kern w:val="0"/>
                <w:sz w:val="24"/>
              </w:rPr>
              <w:t>)</w:t>
            </w:r>
            <w:r>
              <w:rPr>
                <w:rFonts w:hAnsi="宋体"/>
                <w:kern w:val="0"/>
                <w:sz w:val="24"/>
              </w:rPr>
              <w:t>中提出</w:t>
            </w:r>
            <w:r>
              <w:rPr>
                <w:rFonts w:hint="eastAsia"/>
                <w:kern w:val="0"/>
                <w:sz w:val="24"/>
              </w:rPr>
              <w:t>：</w:t>
            </w:r>
            <w:r>
              <w:rPr>
                <w:rFonts w:hAnsi="宋体"/>
                <w:kern w:val="0"/>
                <w:sz w:val="24"/>
              </w:rPr>
              <w:t>大型、中型、小型矿山建筑石料最低生产建设规模分别应</w:t>
            </w:r>
            <w:r>
              <w:rPr>
                <w:rFonts w:hint="eastAsia"/>
                <w:kern w:val="0"/>
                <w:sz w:val="24"/>
              </w:rPr>
              <w:t>≥</w:t>
            </w:r>
            <w:r>
              <w:rPr>
                <w:kern w:val="0"/>
                <w:sz w:val="24"/>
              </w:rPr>
              <w:t>10 </w:t>
            </w:r>
            <w:r>
              <w:rPr>
                <w:rFonts w:hAnsi="宋体"/>
                <w:kern w:val="0"/>
                <w:sz w:val="24"/>
              </w:rPr>
              <w:t>万</w:t>
            </w:r>
            <w:r>
              <w:rPr>
                <w:kern w:val="0"/>
                <w:sz w:val="24"/>
              </w:rPr>
              <w:t>m</w:t>
            </w:r>
            <w:r>
              <w:rPr>
                <w:rFonts w:hint="eastAsia"/>
                <w:kern w:val="0"/>
                <w:sz w:val="24"/>
                <w:vertAlign w:val="superscript"/>
              </w:rPr>
              <w:t>3</w:t>
            </w:r>
            <w:r>
              <w:rPr>
                <w:kern w:val="0"/>
                <w:sz w:val="24"/>
              </w:rPr>
              <w:t>/</w:t>
            </w:r>
            <w:r>
              <w:rPr>
                <w:rFonts w:hAnsi="宋体"/>
                <w:kern w:val="0"/>
                <w:sz w:val="24"/>
              </w:rPr>
              <w:t>年、</w:t>
            </w:r>
            <w:r>
              <w:rPr>
                <w:kern w:val="0"/>
                <w:sz w:val="24"/>
              </w:rPr>
              <w:t>10-5 </w:t>
            </w:r>
            <w:r>
              <w:rPr>
                <w:rFonts w:hAnsi="宋体"/>
                <w:kern w:val="0"/>
                <w:sz w:val="24"/>
              </w:rPr>
              <w:t>万</w:t>
            </w:r>
            <w:r>
              <w:rPr>
                <w:kern w:val="0"/>
                <w:sz w:val="24"/>
              </w:rPr>
              <w:t>m</w:t>
            </w:r>
            <w:r>
              <w:rPr>
                <w:rFonts w:hint="eastAsia"/>
                <w:kern w:val="0"/>
                <w:sz w:val="24"/>
                <w:vertAlign w:val="superscript"/>
              </w:rPr>
              <w:t>3</w:t>
            </w:r>
            <w:r>
              <w:rPr>
                <w:rFonts w:hAnsi="宋体"/>
                <w:kern w:val="0"/>
                <w:sz w:val="24"/>
              </w:rPr>
              <w:t>年、</w:t>
            </w:r>
            <w:r>
              <w:rPr>
                <w:kern w:val="0"/>
                <w:sz w:val="24"/>
              </w:rPr>
              <w:t>&lt;5 </w:t>
            </w:r>
            <w:r>
              <w:rPr>
                <w:rFonts w:hAnsi="宋体"/>
                <w:kern w:val="0"/>
                <w:sz w:val="24"/>
              </w:rPr>
              <w:t>万</w:t>
            </w:r>
            <w:r>
              <w:rPr>
                <w:kern w:val="0"/>
                <w:sz w:val="24"/>
              </w:rPr>
              <w:t>m</w:t>
            </w:r>
            <w:r>
              <w:rPr>
                <w:rFonts w:hint="eastAsia"/>
                <w:kern w:val="0"/>
                <w:sz w:val="24"/>
                <w:vertAlign w:val="superscript"/>
              </w:rPr>
              <w:t>3</w:t>
            </w:r>
            <w:r>
              <w:rPr>
                <w:rFonts w:hAnsi="宋体"/>
                <w:kern w:val="0"/>
                <w:sz w:val="24"/>
              </w:rPr>
              <w:t>年的要求，本矿区属</w:t>
            </w:r>
            <w:r>
              <w:rPr>
                <w:rFonts w:hint="eastAsia" w:hAnsi="宋体"/>
                <w:kern w:val="0"/>
                <w:sz w:val="24"/>
              </w:rPr>
              <w:t>大型</w:t>
            </w:r>
            <w:r>
              <w:rPr>
                <w:rFonts w:hAnsi="宋体"/>
                <w:kern w:val="0"/>
                <w:sz w:val="24"/>
              </w:rPr>
              <w:t>矿山，开采规模为</w:t>
            </w:r>
            <w:r>
              <w:rPr>
                <w:rFonts w:hint="eastAsia"/>
                <w:kern w:val="0"/>
                <w:sz w:val="24"/>
              </w:rPr>
              <w:t>100</w:t>
            </w:r>
            <w:r>
              <w:rPr>
                <w:rFonts w:hAnsi="宋体"/>
                <w:kern w:val="0"/>
                <w:sz w:val="24"/>
              </w:rPr>
              <w:t>万</w:t>
            </w:r>
            <w:r>
              <w:rPr>
                <w:kern w:val="0"/>
                <w:sz w:val="24"/>
              </w:rPr>
              <w:t>m</w:t>
            </w:r>
            <w:r>
              <w:rPr>
                <w:rFonts w:hint="eastAsia"/>
                <w:kern w:val="0"/>
                <w:sz w:val="24"/>
                <w:vertAlign w:val="superscript"/>
              </w:rPr>
              <w:t>3</w:t>
            </w:r>
            <w:r>
              <w:rPr>
                <w:kern w:val="0"/>
                <w:sz w:val="24"/>
              </w:rPr>
              <w:t>/a</w:t>
            </w:r>
            <w:r>
              <w:rPr>
                <w:rFonts w:hAnsi="宋体"/>
                <w:kern w:val="0"/>
                <w:sz w:val="24"/>
              </w:rPr>
              <w:t>。</w:t>
            </w:r>
          </w:p>
          <w:p>
            <w:pPr>
              <w:widowControl/>
              <w:spacing w:line="360" w:lineRule="auto"/>
              <w:ind w:firstLine="480" w:firstLineChars="200"/>
              <w:jc w:val="left"/>
              <w:rPr>
                <w:rFonts w:hAnsi="宋体"/>
                <w:kern w:val="0"/>
                <w:sz w:val="24"/>
              </w:rPr>
            </w:pPr>
            <w:r>
              <w:rPr>
                <w:kern w:val="0"/>
                <w:sz w:val="24"/>
              </w:rPr>
              <w:t>(3)</w:t>
            </w:r>
            <w:r>
              <w:rPr>
                <w:rFonts w:hAnsi="宋体"/>
                <w:kern w:val="0"/>
                <w:sz w:val="24"/>
              </w:rPr>
              <w:t>《山东省实施</w:t>
            </w:r>
            <w:r>
              <w:rPr>
                <w:kern w:val="0"/>
                <w:sz w:val="24"/>
              </w:rPr>
              <w:t>&lt;</w:t>
            </w:r>
            <w:r>
              <w:rPr>
                <w:rFonts w:hAnsi="宋体"/>
                <w:kern w:val="0"/>
                <w:sz w:val="24"/>
              </w:rPr>
              <w:t>中华人民共和国大气污染防治法</w:t>
            </w:r>
            <w:r>
              <w:rPr>
                <w:kern w:val="0"/>
                <w:sz w:val="24"/>
              </w:rPr>
              <w:t>&gt;</w:t>
            </w:r>
            <w:r>
              <w:rPr>
                <w:rFonts w:hAnsi="宋体"/>
                <w:kern w:val="0"/>
                <w:sz w:val="24"/>
              </w:rPr>
              <w:t>办法》中第二十一条规定</w:t>
            </w:r>
            <w:r>
              <w:rPr>
                <w:rFonts w:hint="eastAsia"/>
                <w:kern w:val="0"/>
                <w:sz w:val="24"/>
              </w:rPr>
              <w:t>“</w:t>
            </w:r>
            <w:r>
              <w:rPr>
                <w:rFonts w:hAnsi="宋体"/>
                <w:kern w:val="0"/>
                <w:sz w:val="24"/>
              </w:rPr>
              <w:t>干线公路两侧二公里可视范围内和城市市区内不得从事烧窑、碎石等污染大气环境的生产项目</w:t>
            </w:r>
            <w:r>
              <w:rPr>
                <w:rFonts w:hint="eastAsia"/>
                <w:kern w:val="0"/>
                <w:sz w:val="24"/>
              </w:rPr>
              <w:t>”</w:t>
            </w:r>
            <w:r>
              <w:rPr>
                <w:rFonts w:hAnsi="宋体"/>
                <w:kern w:val="0"/>
                <w:sz w:val="24"/>
              </w:rPr>
              <w:t>，</w:t>
            </w:r>
            <w:r>
              <w:rPr>
                <w:sz w:val="24"/>
              </w:rPr>
              <w:t>项目位于汶上县城东北约</w:t>
            </w:r>
            <w:r>
              <w:rPr>
                <w:rFonts w:hint="eastAsia"/>
                <w:sz w:val="24"/>
              </w:rPr>
              <w:t>14</w:t>
            </w:r>
            <w:r>
              <w:rPr>
                <w:sz w:val="24"/>
              </w:rPr>
              <w:t>km，白石镇</w:t>
            </w:r>
            <w:r>
              <w:rPr>
                <w:rFonts w:hint="eastAsia"/>
                <w:sz w:val="24"/>
              </w:rPr>
              <w:t>东</w:t>
            </w:r>
            <w:r>
              <w:rPr>
                <w:sz w:val="24"/>
              </w:rPr>
              <w:t>南约2km处</w:t>
            </w:r>
            <w:r>
              <w:rPr>
                <w:rFonts w:hAnsi="宋体"/>
                <w:kern w:val="0"/>
                <w:sz w:val="24"/>
              </w:rPr>
              <w:t>，不位于城市市区，</w:t>
            </w:r>
            <w:r>
              <w:rPr>
                <w:kern w:val="0"/>
                <w:sz w:val="24"/>
              </w:rPr>
              <w:t>2 </w:t>
            </w:r>
            <w:r>
              <w:rPr>
                <w:rFonts w:hAnsi="宋体"/>
                <w:kern w:val="0"/>
                <w:sz w:val="24"/>
              </w:rPr>
              <w:t>公里可视范围内无省道、国道和高速公路，故本项目选址符合规定。</w:t>
            </w:r>
          </w:p>
          <w:p>
            <w:pPr>
              <w:spacing w:line="360" w:lineRule="auto"/>
              <w:ind w:firstLine="480" w:firstLineChars="200"/>
              <w:rPr>
                <w:rFonts w:eastAsia="新宋体"/>
                <w:bCs/>
                <w:sz w:val="24"/>
              </w:rPr>
            </w:pPr>
            <w:r>
              <w:rPr>
                <w:kern w:val="0"/>
                <w:sz w:val="24"/>
              </w:rPr>
              <w:t>（4）</w:t>
            </w:r>
            <w:r>
              <w:rPr>
                <w:rFonts w:eastAsia="新宋体"/>
                <w:bCs/>
                <w:sz w:val="24"/>
              </w:rPr>
              <w:t>根据《济宁市生态保护红线规划》（2016-2020年）图集及济宁市生态保护红线区块登记表（汶上县），项目不在济宁市生态保护红线规划范围内。汶上县生态保护红线区见附图4，济宁市生态保护红线区块登记表（汶上县）详见表1-</w:t>
            </w:r>
            <w:r>
              <w:rPr>
                <w:rFonts w:hint="eastAsia" w:eastAsia="新宋体"/>
                <w:bCs/>
                <w:sz w:val="24"/>
              </w:rPr>
              <w:t>5</w:t>
            </w:r>
            <w:r>
              <w:rPr>
                <w:rFonts w:eastAsia="新宋体"/>
                <w:bCs/>
                <w:sz w:val="24"/>
              </w:rPr>
              <w:t>。</w:t>
            </w:r>
          </w:p>
          <w:p>
            <w:pPr>
              <w:pStyle w:val="2"/>
              <w:spacing w:before="0" w:after="0" w:line="360" w:lineRule="auto"/>
              <w:jc w:val="center"/>
              <w:outlineLvl w:val="0"/>
              <w:rPr>
                <w:sz w:val="24"/>
                <w:szCs w:val="24"/>
              </w:rPr>
            </w:pPr>
            <w:r>
              <w:rPr>
                <w:sz w:val="24"/>
                <w:szCs w:val="24"/>
              </w:rPr>
              <w:t>表1-</w:t>
            </w:r>
            <w:r>
              <w:rPr>
                <w:rFonts w:hint="eastAsia"/>
                <w:sz w:val="24"/>
                <w:szCs w:val="24"/>
              </w:rPr>
              <w:t>5</w:t>
            </w:r>
            <w:r>
              <w:rPr>
                <w:sz w:val="24"/>
                <w:szCs w:val="24"/>
              </w:rPr>
              <w:t xml:space="preserve"> 济宁市生态保护红线区块登记表（汶上县）</w:t>
            </w:r>
          </w:p>
          <w:tbl>
            <w:tblPr>
              <w:tblStyle w:val="15"/>
              <w:tblW w:w="882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21"/>
              <w:gridCol w:w="926"/>
              <w:gridCol w:w="706"/>
              <w:gridCol w:w="1109"/>
              <w:gridCol w:w="708"/>
              <w:gridCol w:w="986"/>
              <w:gridCol w:w="636"/>
              <w:gridCol w:w="576"/>
              <w:gridCol w:w="576"/>
              <w:gridCol w:w="12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pPr>
                    <w:jc w:val="center"/>
                    <w:rPr>
                      <w:szCs w:val="21"/>
                    </w:rPr>
                  </w:pPr>
                  <w:r>
                    <w:rPr>
                      <w:szCs w:val="21"/>
                    </w:rPr>
                    <w:t>序号</w:t>
                  </w:r>
                </w:p>
              </w:tc>
              <w:tc>
                <w:tcPr>
                  <w:tcW w:w="921" w:type="dxa"/>
                  <w:vMerge w:val="restart"/>
                  <w:vAlign w:val="center"/>
                </w:tcPr>
                <w:p>
                  <w:pPr>
                    <w:jc w:val="center"/>
                    <w:rPr>
                      <w:szCs w:val="21"/>
                    </w:rPr>
                  </w:pPr>
                  <w:r>
                    <w:rPr>
                      <w:szCs w:val="21"/>
                    </w:rPr>
                    <w:t>生态保护红线区名称</w:t>
                  </w:r>
                </w:p>
              </w:tc>
              <w:tc>
                <w:tcPr>
                  <w:tcW w:w="926" w:type="dxa"/>
                  <w:vMerge w:val="restart"/>
                  <w:vAlign w:val="center"/>
                </w:tcPr>
                <w:p>
                  <w:pPr>
                    <w:jc w:val="center"/>
                    <w:rPr>
                      <w:szCs w:val="21"/>
                    </w:rPr>
                  </w:pPr>
                  <w:r>
                    <w:rPr>
                      <w:szCs w:val="21"/>
                    </w:rPr>
                    <w:t>代码</w:t>
                  </w:r>
                </w:p>
                <w:p>
                  <w:pPr>
                    <w:jc w:val="center"/>
                    <w:rPr>
                      <w:szCs w:val="21"/>
                    </w:rPr>
                  </w:pPr>
                  <w:r>
                    <w:rPr>
                      <w:szCs w:val="21"/>
                    </w:rPr>
                    <w:t>*</w:t>
                  </w:r>
                </w:p>
              </w:tc>
              <w:tc>
                <w:tcPr>
                  <w:tcW w:w="706" w:type="dxa"/>
                  <w:vMerge w:val="restart"/>
                  <w:vAlign w:val="center"/>
                </w:tcPr>
                <w:p>
                  <w:pPr>
                    <w:jc w:val="center"/>
                    <w:rPr>
                      <w:szCs w:val="21"/>
                    </w:rPr>
                  </w:pPr>
                  <w:r>
                    <w:rPr>
                      <w:szCs w:val="21"/>
                    </w:rPr>
                    <w:t>行政区域县</w:t>
                  </w:r>
                  <w:r>
                    <w:rPr>
                      <w:b/>
                      <w:bCs/>
                      <w:szCs w:val="21"/>
                    </w:rPr>
                    <w:t>(</w:t>
                  </w:r>
                  <w:r>
                    <w:rPr>
                      <w:szCs w:val="21"/>
                    </w:rPr>
                    <w:t>区、市</w:t>
                  </w:r>
                  <w:r>
                    <w:rPr>
                      <w:b/>
                      <w:bCs/>
                      <w:szCs w:val="21"/>
                    </w:rPr>
                    <w:t>)</w:t>
                  </w:r>
                </w:p>
              </w:tc>
              <w:tc>
                <w:tcPr>
                  <w:tcW w:w="1109" w:type="dxa"/>
                  <w:vMerge w:val="restart"/>
                  <w:vAlign w:val="center"/>
                </w:tcPr>
                <w:p>
                  <w:pPr>
                    <w:jc w:val="center"/>
                    <w:rPr>
                      <w:szCs w:val="21"/>
                    </w:rPr>
                  </w:pPr>
                  <w:r>
                    <w:rPr>
                      <w:szCs w:val="21"/>
                    </w:rPr>
                    <w:t>边界描述</w:t>
                  </w:r>
                </w:p>
              </w:tc>
              <w:tc>
                <w:tcPr>
                  <w:tcW w:w="708" w:type="dxa"/>
                  <w:vMerge w:val="restart"/>
                  <w:vAlign w:val="center"/>
                </w:tcPr>
                <w:p>
                  <w:pPr>
                    <w:jc w:val="center"/>
                    <w:rPr>
                      <w:szCs w:val="21"/>
                    </w:rPr>
                  </w:pPr>
                  <w:r>
                    <w:rPr>
                      <w:szCs w:val="21"/>
                    </w:rPr>
                    <w:t>面积</w:t>
                  </w:r>
                </w:p>
                <w:p>
                  <w:pPr>
                    <w:jc w:val="center"/>
                    <w:rPr>
                      <w:szCs w:val="21"/>
                    </w:rPr>
                  </w:pPr>
                  <w:r>
                    <w:rPr>
                      <w:szCs w:val="21"/>
                    </w:rPr>
                    <w:t>km</w:t>
                  </w:r>
                  <w:r>
                    <w:rPr>
                      <w:szCs w:val="21"/>
                      <w:vertAlign w:val="superscript"/>
                    </w:rPr>
                    <w:t>2</w:t>
                  </w:r>
                </w:p>
              </w:tc>
              <w:tc>
                <w:tcPr>
                  <w:tcW w:w="1622" w:type="dxa"/>
                  <w:gridSpan w:val="2"/>
                  <w:vAlign w:val="center"/>
                </w:tcPr>
                <w:p>
                  <w:pPr>
                    <w:jc w:val="center"/>
                    <w:rPr>
                      <w:szCs w:val="21"/>
                    </w:rPr>
                  </w:pPr>
                  <w:r>
                    <w:rPr>
                      <w:szCs w:val="21"/>
                    </w:rPr>
                    <w:t>I类红线区</w:t>
                  </w:r>
                </w:p>
              </w:tc>
              <w:tc>
                <w:tcPr>
                  <w:tcW w:w="576" w:type="dxa"/>
                  <w:vMerge w:val="restart"/>
                  <w:vAlign w:val="center"/>
                </w:tcPr>
                <w:p>
                  <w:pPr>
                    <w:jc w:val="center"/>
                    <w:rPr>
                      <w:szCs w:val="21"/>
                    </w:rPr>
                  </w:pPr>
                  <w:r>
                    <w:rPr>
                      <w:szCs w:val="21"/>
                    </w:rPr>
                    <w:t>生态功能</w:t>
                  </w:r>
                </w:p>
              </w:tc>
              <w:tc>
                <w:tcPr>
                  <w:tcW w:w="576" w:type="dxa"/>
                  <w:vMerge w:val="restart"/>
                  <w:vAlign w:val="center"/>
                </w:tcPr>
                <w:p>
                  <w:pPr>
                    <w:jc w:val="center"/>
                    <w:rPr>
                      <w:szCs w:val="21"/>
                    </w:rPr>
                  </w:pPr>
                  <w:r>
                    <w:rPr>
                      <w:szCs w:val="21"/>
                    </w:rPr>
                    <w:t>类型</w:t>
                  </w:r>
                </w:p>
              </w:tc>
              <w:tc>
                <w:tcPr>
                  <w:tcW w:w="1256" w:type="dxa"/>
                  <w:vMerge w:val="restart"/>
                  <w:vAlign w:val="center"/>
                </w:tcPr>
                <w:p>
                  <w:pPr>
                    <w:jc w:val="center"/>
                    <w:rPr>
                      <w:szCs w:val="21"/>
                    </w:rPr>
                  </w:pPr>
                  <w:r>
                    <w:rPr>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pPr>
                    <w:jc w:val="center"/>
                    <w:rPr>
                      <w:szCs w:val="21"/>
                    </w:rPr>
                  </w:pPr>
                </w:p>
              </w:tc>
              <w:tc>
                <w:tcPr>
                  <w:tcW w:w="921" w:type="dxa"/>
                  <w:vMerge w:val="continue"/>
                  <w:vAlign w:val="center"/>
                </w:tcPr>
                <w:p>
                  <w:pPr>
                    <w:jc w:val="center"/>
                    <w:rPr>
                      <w:szCs w:val="21"/>
                    </w:rPr>
                  </w:pPr>
                </w:p>
              </w:tc>
              <w:tc>
                <w:tcPr>
                  <w:tcW w:w="926" w:type="dxa"/>
                  <w:vMerge w:val="continue"/>
                  <w:vAlign w:val="center"/>
                </w:tcPr>
                <w:p>
                  <w:pPr>
                    <w:jc w:val="center"/>
                    <w:rPr>
                      <w:szCs w:val="21"/>
                    </w:rPr>
                  </w:pPr>
                </w:p>
              </w:tc>
              <w:tc>
                <w:tcPr>
                  <w:tcW w:w="706" w:type="dxa"/>
                  <w:vMerge w:val="continue"/>
                  <w:vAlign w:val="center"/>
                </w:tcPr>
                <w:p>
                  <w:pPr>
                    <w:jc w:val="center"/>
                    <w:rPr>
                      <w:szCs w:val="21"/>
                    </w:rPr>
                  </w:pPr>
                </w:p>
              </w:tc>
              <w:tc>
                <w:tcPr>
                  <w:tcW w:w="1109" w:type="dxa"/>
                  <w:vMerge w:val="continue"/>
                  <w:vAlign w:val="center"/>
                </w:tcPr>
                <w:p>
                  <w:pPr>
                    <w:jc w:val="center"/>
                    <w:rPr>
                      <w:szCs w:val="21"/>
                    </w:rPr>
                  </w:pPr>
                </w:p>
              </w:tc>
              <w:tc>
                <w:tcPr>
                  <w:tcW w:w="708" w:type="dxa"/>
                  <w:vMerge w:val="continue"/>
                  <w:vAlign w:val="center"/>
                </w:tcPr>
                <w:p>
                  <w:pPr>
                    <w:jc w:val="center"/>
                    <w:rPr>
                      <w:szCs w:val="21"/>
                    </w:rPr>
                  </w:pPr>
                </w:p>
              </w:tc>
              <w:tc>
                <w:tcPr>
                  <w:tcW w:w="986" w:type="dxa"/>
                  <w:vAlign w:val="center"/>
                </w:tcPr>
                <w:p>
                  <w:pPr>
                    <w:jc w:val="center"/>
                    <w:rPr>
                      <w:szCs w:val="21"/>
                    </w:rPr>
                  </w:pPr>
                  <w:r>
                    <w:rPr>
                      <w:szCs w:val="21"/>
                    </w:rPr>
                    <w:t>边界描述</w:t>
                  </w:r>
                </w:p>
              </w:tc>
              <w:tc>
                <w:tcPr>
                  <w:tcW w:w="636" w:type="dxa"/>
                  <w:vAlign w:val="center"/>
                </w:tcPr>
                <w:p>
                  <w:pPr>
                    <w:jc w:val="center"/>
                    <w:rPr>
                      <w:szCs w:val="21"/>
                    </w:rPr>
                  </w:pPr>
                  <w:r>
                    <w:rPr>
                      <w:szCs w:val="21"/>
                    </w:rPr>
                    <w:t>面积</w:t>
                  </w:r>
                </w:p>
                <w:p>
                  <w:pPr>
                    <w:jc w:val="center"/>
                    <w:rPr>
                      <w:szCs w:val="21"/>
                    </w:rPr>
                  </w:pPr>
                  <w:r>
                    <w:rPr>
                      <w:szCs w:val="21"/>
                    </w:rPr>
                    <w:t>km</w:t>
                  </w:r>
                  <w:r>
                    <w:rPr>
                      <w:szCs w:val="21"/>
                      <w:vertAlign w:val="superscript"/>
                    </w:rPr>
                    <w:t>2</w:t>
                  </w:r>
                </w:p>
              </w:tc>
              <w:tc>
                <w:tcPr>
                  <w:tcW w:w="576" w:type="dxa"/>
                  <w:vMerge w:val="continue"/>
                  <w:vAlign w:val="center"/>
                </w:tcPr>
                <w:p>
                  <w:pPr>
                    <w:jc w:val="center"/>
                    <w:rPr>
                      <w:szCs w:val="21"/>
                    </w:rPr>
                  </w:pPr>
                </w:p>
              </w:tc>
              <w:tc>
                <w:tcPr>
                  <w:tcW w:w="576" w:type="dxa"/>
                  <w:vMerge w:val="continue"/>
                  <w:vAlign w:val="center"/>
                </w:tcPr>
                <w:p>
                  <w:pPr>
                    <w:jc w:val="center"/>
                    <w:rPr>
                      <w:szCs w:val="21"/>
                    </w:rPr>
                  </w:pPr>
                </w:p>
              </w:tc>
              <w:tc>
                <w:tcPr>
                  <w:tcW w:w="1256" w:type="dxa"/>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jc w:val="center"/>
                    <w:rPr>
                      <w:szCs w:val="21"/>
                    </w:rPr>
                  </w:pPr>
                  <w:r>
                    <w:rPr>
                      <w:szCs w:val="21"/>
                    </w:rPr>
                    <w:t>1</w:t>
                  </w:r>
                </w:p>
              </w:tc>
              <w:tc>
                <w:tcPr>
                  <w:tcW w:w="921" w:type="dxa"/>
                  <w:vAlign w:val="center"/>
                </w:tcPr>
                <w:p>
                  <w:pPr>
                    <w:jc w:val="center"/>
                    <w:rPr>
                      <w:szCs w:val="21"/>
                    </w:rPr>
                  </w:pPr>
                  <w:r>
                    <w:rPr>
                      <w:kern w:val="0"/>
                      <w:sz w:val="18"/>
                      <w:szCs w:val="18"/>
                    </w:rPr>
                    <w:t>汶上生物多样性维护、水源涵养生态保护红线区</w:t>
                  </w:r>
                </w:p>
              </w:tc>
              <w:tc>
                <w:tcPr>
                  <w:tcW w:w="926" w:type="dxa"/>
                  <w:vAlign w:val="center"/>
                </w:tcPr>
                <w:p>
                  <w:pPr>
                    <w:jc w:val="center"/>
                    <w:rPr>
                      <w:szCs w:val="21"/>
                    </w:rPr>
                  </w:pPr>
                  <w:r>
                    <w:rPr>
                      <w:kern w:val="0"/>
                      <w:sz w:val="18"/>
                      <w:szCs w:val="18"/>
                    </w:rPr>
                    <w:t>JN-B4-03</w:t>
                  </w:r>
                </w:p>
              </w:tc>
              <w:tc>
                <w:tcPr>
                  <w:tcW w:w="706" w:type="dxa"/>
                  <w:vAlign w:val="center"/>
                </w:tcPr>
                <w:p>
                  <w:pPr>
                    <w:jc w:val="center"/>
                    <w:rPr>
                      <w:szCs w:val="21"/>
                    </w:rPr>
                  </w:pPr>
                  <w:r>
                    <w:rPr>
                      <w:kern w:val="0"/>
                      <w:sz w:val="18"/>
                      <w:szCs w:val="18"/>
                    </w:rPr>
                    <w:t>汶上县</w:t>
                  </w:r>
                </w:p>
              </w:tc>
              <w:tc>
                <w:tcPr>
                  <w:tcW w:w="1109" w:type="dxa"/>
                  <w:vAlign w:val="center"/>
                </w:tcPr>
                <w:p>
                  <w:pPr>
                    <w:jc w:val="center"/>
                    <w:rPr>
                      <w:szCs w:val="21"/>
                    </w:rPr>
                  </w:pPr>
                  <w:r>
                    <w:rPr>
                      <w:kern w:val="0"/>
                      <w:sz w:val="18"/>
                      <w:szCs w:val="18"/>
                    </w:rPr>
                    <w:t>汶上县北部边界，黄河以南</w:t>
                  </w:r>
                </w:p>
              </w:tc>
              <w:tc>
                <w:tcPr>
                  <w:tcW w:w="708" w:type="dxa"/>
                  <w:vAlign w:val="center"/>
                </w:tcPr>
                <w:p>
                  <w:pPr>
                    <w:jc w:val="center"/>
                    <w:rPr>
                      <w:szCs w:val="21"/>
                    </w:rPr>
                  </w:pPr>
                  <w:r>
                    <w:rPr>
                      <w:kern w:val="0"/>
                      <w:sz w:val="18"/>
                      <w:szCs w:val="18"/>
                    </w:rPr>
                    <w:t>9.84</w:t>
                  </w:r>
                </w:p>
              </w:tc>
              <w:tc>
                <w:tcPr>
                  <w:tcW w:w="986" w:type="dxa"/>
                  <w:vAlign w:val="center"/>
                </w:tcPr>
                <w:p>
                  <w:pPr>
                    <w:jc w:val="center"/>
                    <w:rPr>
                      <w:szCs w:val="21"/>
                    </w:rPr>
                  </w:pPr>
                  <w:r>
                    <w:rPr>
                      <w:kern w:val="0"/>
                      <w:sz w:val="18"/>
                      <w:szCs w:val="18"/>
                    </w:rPr>
                    <w:t>汶上县北部边界，黄河以南</w:t>
                  </w:r>
                </w:p>
              </w:tc>
              <w:tc>
                <w:tcPr>
                  <w:tcW w:w="636" w:type="dxa"/>
                  <w:vAlign w:val="center"/>
                </w:tcPr>
                <w:p>
                  <w:pPr>
                    <w:jc w:val="center"/>
                    <w:rPr>
                      <w:szCs w:val="21"/>
                    </w:rPr>
                  </w:pPr>
                  <w:r>
                    <w:rPr>
                      <w:szCs w:val="21"/>
                    </w:rPr>
                    <w:t>5.4</w:t>
                  </w:r>
                </w:p>
              </w:tc>
              <w:tc>
                <w:tcPr>
                  <w:tcW w:w="576" w:type="dxa"/>
                  <w:vAlign w:val="center"/>
                </w:tcPr>
                <w:p>
                  <w:pPr>
                    <w:widowControl/>
                    <w:jc w:val="center"/>
                    <w:rPr>
                      <w:kern w:val="0"/>
                      <w:sz w:val="18"/>
                      <w:szCs w:val="18"/>
                    </w:rPr>
                  </w:pPr>
                  <w:r>
                    <w:rPr>
                      <w:kern w:val="0"/>
                      <w:sz w:val="18"/>
                      <w:szCs w:val="18"/>
                    </w:rPr>
                    <w:t>生物多样性维护、水源涵养</w:t>
                  </w:r>
                </w:p>
              </w:tc>
              <w:tc>
                <w:tcPr>
                  <w:tcW w:w="576" w:type="dxa"/>
                  <w:vAlign w:val="center"/>
                </w:tcPr>
                <w:p>
                  <w:pPr>
                    <w:widowControl/>
                    <w:jc w:val="center"/>
                    <w:rPr>
                      <w:kern w:val="0"/>
                      <w:sz w:val="18"/>
                      <w:szCs w:val="18"/>
                    </w:rPr>
                  </w:pPr>
                  <w:r>
                    <w:rPr>
                      <w:kern w:val="0"/>
                      <w:sz w:val="18"/>
                      <w:szCs w:val="18"/>
                    </w:rPr>
                    <w:t>森林</w:t>
                  </w:r>
                </w:p>
              </w:tc>
              <w:tc>
                <w:tcPr>
                  <w:tcW w:w="1256" w:type="dxa"/>
                  <w:vAlign w:val="center"/>
                </w:tcPr>
                <w:p>
                  <w:pPr>
                    <w:widowControl/>
                    <w:jc w:val="center"/>
                    <w:rPr>
                      <w:kern w:val="0"/>
                      <w:sz w:val="18"/>
                      <w:szCs w:val="18"/>
                    </w:rPr>
                  </w:pPr>
                  <w:r>
                    <w:rPr>
                      <w:kern w:val="0"/>
                      <w:sz w:val="18"/>
                      <w:szCs w:val="18"/>
                    </w:rPr>
                    <w:t>图7-3</w:t>
                  </w:r>
                </w:p>
                <w:p>
                  <w:pPr>
                    <w:jc w:val="center"/>
                    <w:rPr>
                      <w:szCs w:val="21"/>
                    </w:rPr>
                  </w:pPr>
                  <w:r>
                    <w:rPr>
                      <w:kern w:val="0"/>
                      <w:sz w:val="18"/>
                      <w:szCs w:val="18"/>
                    </w:rPr>
                    <w:t>包含汶上大汶河省级湿地公园.该区块为省级生态保护红线，对应SD-08--B4-03区块。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26" w:type="dxa"/>
                  <w:vAlign w:val="center"/>
                </w:tcPr>
                <w:p>
                  <w:pPr>
                    <w:jc w:val="center"/>
                    <w:rPr>
                      <w:szCs w:val="21"/>
                    </w:rPr>
                  </w:pPr>
                  <w:r>
                    <w:rPr>
                      <w:szCs w:val="21"/>
                    </w:rPr>
                    <w:t>2</w:t>
                  </w:r>
                </w:p>
              </w:tc>
              <w:tc>
                <w:tcPr>
                  <w:tcW w:w="921" w:type="dxa"/>
                  <w:vAlign w:val="center"/>
                </w:tcPr>
                <w:p>
                  <w:pPr>
                    <w:widowControl/>
                    <w:jc w:val="center"/>
                    <w:rPr>
                      <w:kern w:val="0"/>
                      <w:sz w:val="18"/>
                      <w:szCs w:val="18"/>
                    </w:rPr>
                  </w:pPr>
                  <w:r>
                    <w:rPr>
                      <w:kern w:val="0"/>
                      <w:sz w:val="18"/>
                      <w:szCs w:val="18"/>
                    </w:rPr>
                    <w:t>汶上莲花湖湿地土壤保持生态保护红线区</w:t>
                  </w:r>
                </w:p>
              </w:tc>
              <w:tc>
                <w:tcPr>
                  <w:tcW w:w="926" w:type="dxa"/>
                  <w:vAlign w:val="center"/>
                </w:tcPr>
                <w:p>
                  <w:pPr>
                    <w:widowControl/>
                    <w:jc w:val="center"/>
                    <w:rPr>
                      <w:kern w:val="0"/>
                      <w:sz w:val="18"/>
                      <w:szCs w:val="18"/>
                    </w:rPr>
                  </w:pPr>
                  <w:r>
                    <w:rPr>
                      <w:kern w:val="0"/>
                      <w:sz w:val="18"/>
                      <w:szCs w:val="18"/>
                    </w:rPr>
                    <w:t>JN-B2-01</w:t>
                  </w:r>
                </w:p>
              </w:tc>
              <w:tc>
                <w:tcPr>
                  <w:tcW w:w="706" w:type="dxa"/>
                  <w:vAlign w:val="center"/>
                </w:tcPr>
                <w:p>
                  <w:pPr>
                    <w:widowControl/>
                    <w:jc w:val="center"/>
                    <w:rPr>
                      <w:kern w:val="0"/>
                      <w:sz w:val="18"/>
                      <w:szCs w:val="18"/>
                    </w:rPr>
                  </w:pPr>
                  <w:r>
                    <w:rPr>
                      <w:kern w:val="0"/>
                      <w:sz w:val="18"/>
                      <w:szCs w:val="18"/>
                    </w:rPr>
                    <w:t>汶上县</w:t>
                  </w:r>
                </w:p>
              </w:tc>
              <w:tc>
                <w:tcPr>
                  <w:tcW w:w="1109" w:type="dxa"/>
                  <w:vAlign w:val="center"/>
                </w:tcPr>
                <w:p>
                  <w:pPr>
                    <w:widowControl/>
                    <w:jc w:val="center"/>
                    <w:rPr>
                      <w:kern w:val="0"/>
                      <w:sz w:val="18"/>
                      <w:szCs w:val="18"/>
                    </w:rPr>
                  </w:pPr>
                  <w:r>
                    <w:rPr>
                      <w:kern w:val="0"/>
                      <w:sz w:val="18"/>
                      <w:szCs w:val="18"/>
                    </w:rPr>
                    <w:t>汶上县中部南北向的狭长地带</w:t>
                  </w:r>
                </w:p>
              </w:tc>
              <w:tc>
                <w:tcPr>
                  <w:tcW w:w="708" w:type="dxa"/>
                  <w:vAlign w:val="center"/>
                </w:tcPr>
                <w:p>
                  <w:pPr>
                    <w:widowControl/>
                    <w:jc w:val="center"/>
                    <w:rPr>
                      <w:kern w:val="0"/>
                      <w:sz w:val="18"/>
                      <w:szCs w:val="18"/>
                    </w:rPr>
                  </w:pPr>
                  <w:r>
                    <w:rPr>
                      <w:kern w:val="0"/>
                      <w:sz w:val="18"/>
                      <w:szCs w:val="18"/>
                    </w:rPr>
                    <w:t>21.93</w:t>
                  </w:r>
                </w:p>
              </w:tc>
              <w:tc>
                <w:tcPr>
                  <w:tcW w:w="986" w:type="dxa"/>
                  <w:vAlign w:val="center"/>
                </w:tcPr>
                <w:p>
                  <w:pPr>
                    <w:widowControl/>
                    <w:jc w:val="center"/>
                    <w:rPr>
                      <w:kern w:val="0"/>
                      <w:sz w:val="18"/>
                      <w:szCs w:val="18"/>
                    </w:rPr>
                  </w:pPr>
                  <w:r>
                    <w:rPr>
                      <w:kern w:val="0"/>
                      <w:sz w:val="18"/>
                      <w:szCs w:val="18"/>
                    </w:rPr>
                    <w:t>汶上县中部南北向的狭长地带</w:t>
                  </w:r>
                </w:p>
              </w:tc>
              <w:tc>
                <w:tcPr>
                  <w:tcW w:w="636" w:type="dxa"/>
                  <w:vAlign w:val="center"/>
                </w:tcPr>
                <w:p>
                  <w:pPr>
                    <w:widowControl/>
                    <w:jc w:val="center"/>
                    <w:rPr>
                      <w:kern w:val="0"/>
                      <w:sz w:val="18"/>
                      <w:szCs w:val="18"/>
                    </w:rPr>
                  </w:pPr>
                  <w:r>
                    <w:rPr>
                      <w:kern w:val="0"/>
                      <w:sz w:val="18"/>
                      <w:szCs w:val="18"/>
                    </w:rPr>
                    <w:t>2.06</w:t>
                  </w:r>
                </w:p>
              </w:tc>
              <w:tc>
                <w:tcPr>
                  <w:tcW w:w="576" w:type="dxa"/>
                  <w:vAlign w:val="center"/>
                </w:tcPr>
                <w:p>
                  <w:pPr>
                    <w:widowControl/>
                    <w:jc w:val="center"/>
                    <w:rPr>
                      <w:kern w:val="0"/>
                      <w:sz w:val="18"/>
                      <w:szCs w:val="18"/>
                    </w:rPr>
                  </w:pPr>
                  <w:r>
                    <w:rPr>
                      <w:kern w:val="0"/>
                      <w:sz w:val="18"/>
                      <w:szCs w:val="18"/>
                    </w:rPr>
                    <w:t>土壤保持</w:t>
                  </w:r>
                </w:p>
              </w:tc>
              <w:tc>
                <w:tcPr>
                  <w:tcW w:w="576" w:type="dxa"/>
                  <w:vAlign w:val="center"/>
                </w:tcPr>
                <w:p>
                  <w:pPr>
                    <w:widowControl/>
                    <w:jc w:val="center"/>
                    <w:rPr>
                      <w:kern w:val="0"/>
                      <w:sz w:val="18"/>
                      <w:szCs w:val="18"/>
                    </w:rPr>
                  </w:pPr>
                  <w:r>
                    <w:rPr>
                      <w:kern w:val="0"/>
                      <w:sz w:val="18"/>
                      <w:szCs w:val="18"/>
                    </w:rPr>
                    <w:t>湿地</w:t>
                  </w:r>
                </w:p>
              </w:tc>
              <w:tc>
                <w:tcPr>
                  <w:tcW w:w="1256" w:type="dxa"/>
                  <w:vAlign w:val="center"/>
                </w:tcPr>
                <w:p>
                  <w:pPr>
                    <w:widowControl/>
                    <w:jc w:val="center"/>
                    <w:rPr>
                      <w:kern w:val="0"/>
                      <w:sz w:val="18"/>
                      <w:szCs w:val="18"/>
                    </w:rPr>
                  </w:pPr>
                  <w:r>
                    <w:rPr>
                      <w:kern w:val="0"/>
                      <w:sz w:val="18"/>
                      <w:szCs w:val="18"/>
                    </w:rPr>
                    <w:t>图7-4</w:t>
                  </w:r>
                </w:p>
                <w:p>
                  <w:pPr>
                    <w:widowControl/>
                    <w:jc w:val="center"/>
                    <w:rPr>
                      <w:kern w:val="0"/>
                      <w:sz w:val="18"/>
                      <w:szCs w:val="18"/>
                    </w:rPr>
                  </w:pPr>
                  <w:r>
                    <w:rPr>
                      <w:kern w:val="0"/>
                      <w:sz w:val="18"/>
                      <w:szCs w:val="18"/>
                    </w:rPr>
                    <w:t>为汶上莲花湖省级湿地公园。该区块为省级生态保护红线，对应SD-08--B2-01区块。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pPr>
                    <w:jc w:val="center"/>
                    <w:rPr>
                      <w:szCs w:val="21"/>
                    </w:rPr>
                  </w:pPr>
                  <w:r>
                    <w:rPr>
                      <w:szCs w:val="21"/>
                    </w:rPr>
                    <w:t>3</w:t>
                  </w:r>
                </w:p>
              </w:tc>
              <w:tc>
                <w:tcPr>
                  <w:tcW w:w="921" w:type="dxa"/>
                  <w:vAlign w:val="center"/>
                </w:tcPr>
                <w:p>
                  <w:pPr>
                    <w:widowControl/>
                    <w:jc w:val="center"/>
                    <w:rPr>
                      <w:kern w:val="0"/>
                      <w:sz w:val="18"/>
                      <w:szCs w:val="18"/>
                    </w:rPr>
                  </w:pPr>
                  <w:r>
                    <w:rPr>
                      <w:kern w:val="0"/>
                      <w:sz w:val="18"/>
                      <w:szCs w:val="18"/>
                    </w:rPr>
                    <w:t>汶上县水源涵养生态保护红线区</w:t>
                  </w:r>
                </w:p>
              </w:tc>
              <w:tc>
                <w:tcPr>
                  <w:tcW w:w="926" w:type="dxa"/>
                  <w:vAlign w:val="center"/>
                </w:tcPr>
                <w:p>
                  <w:pPr>
                    <w:widowControl/>
                    <w:jc w:val="center"/>
                    <w:rPr>
                      <w:kern w:val="0"/>
                      <w:sz w:val="18"/>
                      <w:szCs w:val="18"/>
                    </w:rPr>
                  </w:pPr>
                  <w:r>
                    <w:rPr>
                      <w:kern w:val="0"/>
                      <w:sz w:val="18"/>
                      <w:szCs w:val="18"/>
                    </w:rPr>
                    <w:t>JN-B1-01</w:t>
                  </w:r>
                </w:p>
              </w:tc>
              <w:tc>
                <w:tcPr>
                  <w:tcW w:w="706" w:type="dxa"/>
                  <w:vAlign w:val="center"/>
                </w:tcPr>
                <w:p>
                  <w:pPr>
                    <w:widowControl/>
                    <w:jc w:val="center"/>
                    <w:rPr>
                      <w:kern w:val="0"/>
                      <w:sz w:val="18"/>
                      <w:szCs w:val="18"/>
                    </w:rPr>
                  </w:pPr>
                  <w:r>
                    <w:rPr>
                      <w:kern w:val="0"/>
                      <w:sz w:val="18"/>
                      <w:szCs w:val="18"/>
                    </w:rPr>
                    <w:t>汶上县</w:t>
                  </w:r>
                </w:p>
              </w:tc>
              <w:tc>
                <w:tcPr>
                  <w:tcW w:w="1109" w:type="dxa"/>
                  <w:vAlign w:val="center"/>
                </w:tcPr>
                <w:p>
                  <w:pPr>
                    <w:widowControl/>
                    <w:jc w:val="center"/>
                    <w:rPr>
                      <w:kern w:val="0"/>
                      <w:sz w:val="18"/>
                      <w:szCs w:val="18"/>
                    </w:rPr>
                  </w:pPr>
                  <w:r>
                    <w:rPr>
                      <w:kern w:val="0"/>
                      <w:sz w:val="18"/>
                      <w:szCs w:val="18"/>
                    </w:rPr>
                    <w:t>W5以半径50m划定保护区，其余以水源井外接多边形划定的区域</w:t>
                  </w:r>
                </w:p>
              </w:tc>
              <w:tc>
                <w:tcPr>
                  <w:tcW w:w="708" w:type="dxa"/>
                  <w:vAlign w:val="center"/>
                </w:tcPr>
                <w:p>
                  <w:pPr>
                    <w:widowControl/>
                    <w:jc w:val="center"/>
                    <w:rPr>
                      <w:kern w:val="0"/>
                      <w:sz w:val="18"/>
                      <w:szCs w:val="18"/>
                    </w:rPr>
                  </w:pPr>
                  <w:r>
                    <w:rPr>
                      <w:kern w:val="0"/>
                      <w:sz w:val="18"/>
                      <w:szCs w:val="18"/>
                    </w:rPr>
                    <w:t>0.006</w:t>
                  </w:r>
                </w:p>
              </w:tc>
              <w:tc>
                <w:tcPr>
                  <w:tcW w:w="986" w:type="dxa"/>
                  <w:vAlign w:val="center"/>
                </w:tcPr>
                <w:p>
                  <w:pPr>
                    <w:widowControl/>
                    <w:jc w:val="center"/>
                    <w:rPr>
                      <w:kern w:val="0"/>
                      <w:sz w:val="18"/>
                      <w:szCs w:val="18"/>
                    </w:rPr>
                  </w:pPr>
                  <w:r>
                    <w:rPr>
                      <w:kern w:val="0"/>
                      <w:sz w:val="18"/>
                      <w:szCs w:val="18"/>
                    </w:rPr>
                    <w:t>W5以半径50m划定保护区，其余以水源井外接多边形划定的区域</w:t>
                  </w:r>
                </w:p>
              </w:tc>
              <w:tc>
                <w:tcPr>
                  <w:tcW w:w="636" w:type="dxa"/>
                  <w:vAlign w:val="center"/>
                </w:tcPr>
                <w:p>
                  <w:pPr>
                    <w:widowControl/>
                    <w:jc w:val="center"/>
                    <w:rPr>
                      <w:kern w:val="0"/>
                      <w:sz w:val="18"/>
                      <w:szCs w:val="18"/>
                    </w:rPr>
                  </w:pPr>
                  <w:r>
                    <w:rPr>
                      <w:kern w:val="0"/>
                      <w:sz w:val="18"/>
                      <w:szCs w:val="18"/>
                    </w:rPr>
                    <w:t>0.006</w:t>
                  </w:r>
                </w:p>
              </w:tc>
              <w:tc>
                <w:tcPr>
                  <w:tcW w:w="576" w:type="dxa"/>
                  <w:vAlign w:val="center"/>
                </w:tcPr>
                <w:p>
                  <w:pPr>
                    <w:widowControl/>
                    <w:jc w:val="center"/>
                    <w:rPr>
                      <w:kern w:val="0"/>
                      <w:sz w:val="18"/>
                      <w:szCs w:val="18"/>
                    </w:rPr>
                  </w:pPr>
                  <w:r>
                    <w:rPr>
                      <w:kern w:val="0"/>
                      <w:sz w:val="18"/>
                      <w:szCs w:val="18"/>
                    </w:rPr>
                    <w:t>水源涵养</w:t>
                  </w:r>
                </w:p>
              </w:tc>
              <w:tc>
                <w:tcPr>
                  <w:tcW w:w="576" w:type="dxa"/>
                  <w:vAlign w:val="center"/>
                </w:tcPr>
                <w:p>
                  <w:pPr>
                    <w:widowControl/>
                    <w:jc w:val="center"/>
                    <w:rPr>
                      <w:kern w:val="0"/>
                      <w:sz w:val="18"/>
                      <w:szCs w:val="18"/>
                    </w:rPr>
                  </w:pPr>
                  <w:r>
                    <w:rPr>
                      <w:kern w:val="0"/>
                      <w:sz w:val="18"/>
                      <w:szCs w:val="18"/>
                    </w:rPr>
                    <w:t>湿地</w:t>
                  </w:r>
                </w:p>
              </w:tc>
              <w:tc>
                <w:tcPr>
                  <w:tcW w:w="1256" w:type="dxa"/>
                  <w:vAlign w:val="center"/>
                </w:tcPr>
                <w:p>
                  <w:pPr>
                    <w:widowControl/>
                    <w:jc w:val="center"/>
                    <w:rPr>
                      <w:kern w:val="0"/>
                      <w:sz w:val="18"/>
                      <w:szCs w:val="18"/>
                    </w:rPr>
                  </w:pPr>
                  <w:r>
                    <w:rPr>
                      <w:kern w:val="0"/>
                      <w:sz w:val="18"/>
                      <w:szCs w:val="18"/>
                    </w:rPr>
                    <w:t>图7-5</w:t>
                  </w:r>
                </w:p>
                <w:p>
                  <w:pPr>
                    <w:widowControl/>
                    <w:jc w:val="center"/>
                    <w:rPr>
                      <w:kern w:val="0"/>
                      <w:sz w:val="18"/>
                      <w:szCs w:val="18"/>
                    </w:rPr>
                  </w:pPr>
                  <w:r>
                    <w:rPr>
                      <w:kern w:val="0"/>
                      <w:sz w:val="18"/>
                      <w:szCs w:val="18"/>
                    </w:rPr>
                    <w:t>为汶上县饮用水水源地保护区。该区块为省级生态保护红线，对应SD-08--B1-01区块。</w:t>
                  </w:r>
                </w:p>
              </w:tc>
            </w:tr>
          </w:tbl>
          <w:p>
            <w:pPr>
              <w:widowControl/>
              <w:spacing w:line="360" w:lineRule="auto"/>
              <w:ind w:firstLine="480" w:firstLineChars="200"/>
              <w:jc w:val="left"/>
              <w:rPr>
                <w:kern w:val="0"/>
                <w:sz w:val="24"/>
              </w:rPr>
            </w:pPr>
            <w:r>
              <w:rPr>
                <w:kern w:val="0"/>
                <w:sz w:val="24"/>
              </w:rPr>
              <w:t xml:space="preserve">  根据以上分析，本矿区的建设总体规划比较合理。</w:t>
            </w:r>
          </w:p>
          <w:p>
            <w:pPr>
              <w:spacing w:line="360" w:lineRule="auto"/>
              <w:ind w:firstLine="480" w:firstLineChars="200"/>
              <w:rPr>
                <w:sz w:val="24"/>
              </w:rPr>
            </w:pPr>
            <w:r>
              <w:rPr>
                <w:sz w:val="24"/>
              </w:rPr>
              <w:t>2、项目与产业政策符合性分析</w:t>
            </w:r>
          </w:p>
          <w:p>
            <w:pPr>
              <w:spacing w:line="360" w:lineRule="auto"/>
              <w:ind w:firstLine="480" w:firstLineChars="200"/>
              <w:rPr>
                <w:rFonts w:hAnsi="宋体"/>
                <w:sz w:val="24"/>
              </w:rPr>
            </w:pPr>
            <w:r>
              <w:rPr>
                <w:rFonts w:hAnsi="宋体"/>
                <w:sz w:val="24"/>
              </w:rPr>
              <w:t>根据</w:t>
            </w:r>
            <w:r>
              <w:rPr>
                <w:sz w:val="24"/>
              </w:rPr>
              <w:t>国家发改委《产业结构调整指导目录(2011年本)》(2013修正)，</w:t>
            </w:r>
            <w:r>
              <w:rPr>
                <w:rFonts w:hint="eastAsia"/>
                <w:sz w:val="24"/>
              </w:rPr>
              <w:t>石材矿山平台平整、切割、分离、吊装、运输等工序均为机械化作业，符合《产业结构调整指导目录》（2011年本）（修正），第十二类第10条：机械化石材矿山开采</w:t>
            </w:r>
            <w:r>
              <w:rPr>
                <w:rFonts w:hAnsi="宋体"/>
                <w:sz w:val="24"/>
              </w:rPr>
              <w:t>，属于</w:t>
            </w:r>
            <w:r>
              <w:rPr>
                <w:rFonts w:hint="eastAsia" w:hAnsi="宋体"/>
                <w:sz w:val="24"/>
              </w:rPr>
              <w:t>鼓励</w:t>
            </w:r>
            <w:r>
              <w:rPr>
                <w:rFonts w:hAnsi="宋体"/>
                <w:sz w:val="24"/>
              </w:rPr>
              <w:t>类项目，符合国家产业政策要求。</w:t>
            </w:r>
          </w:p>
          <w:p>
            <w:pPr>
              <w:spacing w:line="360" w:lineRule="auto"/>
              <w:ind w:firstLine="480" w:firstLineChars="200"/>
              <w:rPr>
                <w:sz w:val="24"/>
              </w:rPr>
            </w:pPr>
            <w:r>
              <w:rPr>
                <w:sz w:val="24"/>
              </w:rPr>
              <w:t>3、建设项目与《限制用地项目目录》和《禁止用地项目目录》符合性分析</w:t>
            </w:r>
          </w:p>
          <w:p>
            <w:pPr>
              <w:spacing w:line="360" w:lineRule="auto"/>
              <w:ind w:firstLine="480" w:firstLineChars="200"/>
              <w:rPr>
                <w:sz w:val="24"/>
              </w:rPr>
            </w:pPr>
            <w:r>
              <w:rPr>
                <w:sz w:val="24"/>
              </w:rPr>
              <w:t>根据《限制用地项目目录》(2012年本)和《禁止用地项目目录》(2012年本)，凡列入《限制目录》第七类的建设项目或者采用所列工艺技术、装备的建设项目，各级国土资源管理部门和投资管理部门一律不得办理相关手续；凡列入((限制目录》第一至第六类的建设项目，必须符合目录规定条件，各级国土资源管理部门和投资管理部门方可办理相关手续；凡列入《禁止目录》的建设项目或者采用所列工艺技术、装备的建设项目，各级国土资源管理部门和投资管理部门一律不得办理相关手续；按照国务院批准的《产业结构调整指导目录》，凡采用明令淘汰的落后工艺技术、装备或者生产明令淘汰产品的建设项目，各级国土资源管理部门和投资管理部门一律不得办理相关手续。</w:t>
            </w:r>
          </w:p>
          <w:p>
            <w:pPr>
              <w:spacing w:line="360" w:lineRule="auto"/>
              <w:ind w:firstLine="480" w:firstLineChars="200"/>
              <w:rPr>
                <w:sz w:val="24"/>
              </w:rPr>
            </w:pPr>
            <w:r>
              <w:rPr>
                <w:sz w:val="24"/>
              </w:rPr>
              <w:t>本项目不属于国土资发《限制用地项目目录》(2012年本)和《禁止用地项目目录》(2012年本)限批、禁批的范围。</w:t>
            </w:r>
          </w:p>
          <w:p>
            <w:pPr>
              <w:spacing w:line="360" w:lineRule="auto"/>
              <w:ind w:firstLine="480" w:firstLineChars="200"/>
              <w:rPr>
                <w:sz w:val="24"/>
              </w:rPr>
            </w:pPr>
            <w:r>
              <w:rPr>
                <w:rFonts w:hint="eastAsia"/>
                <w:sz w:val="24"/>
              </w:rPr>
              <w:t>4</w:t>
            </w:r>
            <w:r>
              <w:rPr>
                <w:sz w:val="24"/>
              </w:rPr>
              <w:t>、项目与《关于以改善环境质量为核心加强环境影响评价管理的通知》（环环评[2016]150号）的符合性</w:t>
            </w:r>
            <w:r>
              <w:rPr>
                <w:rFonts w:hint="eastAsia"/>
                <w:sz w:val="24"/>
              </w:rPr>
              <w:t>分析</w:t>
            </w:r>
            <w:r>
              <w:rPr>
                <w:sz w:val="24"/>
              </w:rPr>
              <w:t>符合性分析</w:t>
            </w:r>
            <w:r>
              <w:rPr>
                <w:rFonts w:hint="eastAsia"/>
                <w:sz w:val="24"/>
              </w:rPr>
              <w:t>。</w:t>
            </w:r>
          </w:p>
          <w:p>
            <w:pPr>
              <w:pStyle w:val="22"/>
              <w:ind w:firstLine="0" w:firstLineChars="0"/>
              <w:jc w:val="center"/>
              <w:rPr>
                <w:rFonts w:eastAsia="宋体"/>
                <w:b/>
              </w:rPr>
            </w:pPr>
            <w:r>
              <w:rPr>
                <w:rFonts w:hAnsi="宋体" w:eastAsia="宋体"/>
                <w:b/>
              </w:rPr>
              <w:t>表</w:t>
            </w:r>
            <w:r>
              <w:rPr>
                <w:rFonts w:eastAsia="宋体"/>
                <w:b/>
              </w:rPr>
              <w:t>1-</w:t>
            </w:r>
            <w:r>
              <w:rPr>
                <w:rFonts w:hint="eastAsia" w:eastAsia="宋体"/>
                <w:b/>
              </w:rPr>
              <w:t>6</w:t>
            </w:r>
            <w:r>
              <w:rPr>
                <w:rFonts w:hAnsi="宋体" w:eastAsia="宋体"/>
                <w:b/>
              </w:rPr>
              <w:t>本项目与环环评</w:t>
            </w:r>
            <w:r>
              <w:rPr>
                <w:rFonts w:eastAsia="宋体"/>
                <w:b/>
              </w:rPr>
              <w:t>[2016]150</w:t>
            </w:r>
            <w:r>
              <w:rPr>
                <w:rFonts w:hAnsi="宋体" w:eastAsia="宋体"/>
                <w:b/>
              </w:rPr>
              <w:t>号文符合情况</w:t>
            </w:r>
          </w:p>
          <w:tbl>
            <w:tblPr>
              <w:tblStyle w:val="15"/>
              <w:tblW w:w="8505" w:type="dxa"/>
              <w:jc w:val="center"/>
              <w:tblLayout w:type="fixed"/>
              <w:tblCellMar>
                <w:top w:w="0" w:type="dxa"/>
                <w:left w:w="0" w:type="dxa"/>
                <w:bottom w:w="0" w:type="dxa"/>
                <w:right w:w="0" w:type="dxa"/>
              </w:tblCellMar>
            </w:tblPr>
            <w:tblGrid>
              <w:gridCol w:w="638"/>
              <w:gridCol w:w="5193"/>
              <w:gridCol w:w="1897"/>
              <w:gridCol w:w="777"/>
            </w:tblGrid>
            <w:tr>
              <w:tblPrEx>
                <w:tblCellMar>
                  <w:top w:w="0" w:type="dxa"/>
                  <w:left w:w="0" w:type="dxa"/>
                  <w:bottom w:w="0" w:type="dxa"/>
                  <w:right w:w="0" w:type="dxa"/>
                </w:tblCellMar>
              </w:tblPrEx>
              <w:trPr>
                <w:trHeight w:val="368" w:hRule="atLeast"/>
                <w:jc w:val="center"/>
              </w:trPr>
              <w:tc>
                <w:tcPr>
                  <w:tcW w:w="638" w:type="dxa"/>
                  <w:tcBorders>
                    <w:top w:val="single" w:color="auto" w:sz="12" w:space="0"/>
                    <w:left w:val="single" w:color="auto" w:sz="2" w:space="0"/>
                    <w:bottom w:val="single" w:color="auto" w:sz="6" w:space="0"/>
                    <w:right w:val="single" w:color="auto" w:sz="6" w:space="0"/>
                  </w:tcBorders>
                  <w:vAlign w:val="center"/>
                </w:tcPr>
                <w:p>
                  <w:pPr>
                    <w:adjustRightInd w:val="0"/>
                    <w:snapToGrid w:val="0"/>
                    <w:jc w:val="center"/>
                  </w:pPr>
                  <w:r>
                    <w:t>序号</w:t>
                  </w:r>
                </w:p>
              </w:tc>
              <w:tc>
                <w:tcPr>
                  <w:tcW w:w="5193" w:type="dxa"/>
                  <w:tcBorders>
                    <w:top w:val="single" w:color="auto" w:sz="12" w:space="0"/>
                    <w:left w:val="nil"/>
                    <w:bottom w:val="single" w:color="auto" w:sz="6" w:space="0"/>
                    <w:right w:val="single" w:color="auto" w:sz="6" w:space="0"/>
                  </w:tcBorders>
                  <w:vAlign w:val="center"/>
                </w:tcPr>
                <w:p>
                  <w:pPr>
                    <w:adjustRightInd w:val="0"/>
                    <w:snapToGrid w:val="0"/>
                    <w:jc w:val="center"/>
                  </w:pPr>
                  <w:r>
                    <w:t>具体要求</w:t>
                  </w:r>
                </w:p>
              </w:tc>
              <w:tc>
                <w:tcPr>
                  <w:tcW w:w="1897" w:type="dxa"/>
                  <w:tcBorders>
                    <w:top w:val="single" w:color="auto" w:sz="12" w:space="0"/>
                    <w:left w:val="nil"/>
                    <w:bottom w:val="single" w:color="auto" w:sz="6" w:space="0"/>
                    <w:right w:val="single" w:color="auto" w:sz="6" w:space="0"/>
                  </w:tcBorders>
                  <w:vAlign w:val="center"/>
                </w:tcPr>
                <w:p>
                  <w:pPr>
                    <w:adjustRightInd w:val="0"/>
                    <w:snapToGrid w:val="0"/>
                    <w:jc w:val="center"/>
                  </w:pPr>
                  <w:r>
                    <w:t>本工程情况</w:t>
                  </w:r>
                </w:p>
              </w:tc>
              <w:tc>
                <w:tcPr>
                  <w:tcW w:w="777" w:type="dxa"/>
                  <w:tcBorders>
                    <w:top w:val="single" w:color="auto" w:sz="12" w:space="0"/>
                    <w:left w:val="nil"/>
                    <w:bottom w:val="single" w:color="auto" w:sz="6" w:space="0"/>
                    <w:right w:val="single" w:color="auto" w:sz="2" w:space="0"/>
                  </w:tcBorders>
                  <w:vAlign w:val="center"/>
                </w:tcPr>
                <w:p>
                  <w:pPr>
                    <w:adjustRightInd w:val="0"/>
                    <w:snapToGrid w:val="0"/>
                    <w:jc w:val="center"/>
                  </w:pPr>
                  <w:r>
                    <w:t>符合性</w:t>
                  </w:r>
                </w:p>
              </w:tc>
            </w:tr>
            <w:tr>
              <w:tblPrEx>
                <w:tblCellMar>
                  <w:top w:w="0" w:type="dxa"/>
                  <w:left w:w="0" w:type="dxa"/>
                  <w:bottom w:w="0" w:type="dxa"/>
                  <w:right w:w="0" w:type="dxa"/>
                </w:tblCellMar>
              </w:tblPrEx>
              <w:trPr>
                <w:trHeight w:val="2449" w:hRule="atLeast"/>
                <w:jc w:val="center"/>
              </w:trPr>
              <w:tc>
                <w:tcPr>
                  <w:tcW w:w="638" w:type="dxa"/>
                  <w:tcBorders>
                    <w:top w:val="single" w:color="auto" w:sz="6" w:space="0"/>
                    <w:left w:val="single" w:color="auto" w:sz="2" w:space="0"/>
                    <w:bottom w:val="single" w:color="auto" w:sz="6" w:space="0"/>
                    <w:right w:val="single" w:color="auto" w:sz="6" w:space="0"/>
                  </w:tcBorders>
                  <w:vAlign w:val="center"/>
                </w:tcPr>
                <w:p>
                  <w:pPr>
                    <w:adjustRightInd w:val="0"/>
                    <w:snapToGrid w:val="0"/>
                    <w:jc w:val="center"/>
                  </w:pPr>
                  <w:r>
                    <w:t>1</w:t>
                  </w:r>
                </w:p>
              </w:tc>
              <w:tc>
                <w:tcPr>
                  <w:tcW w:w="5193" w:type="dxa"/>
                  <w:tcBorders>
                    <w:top w:val="single" w:color="auto" w:sz="6" w:space="0"/>
                    <w:left w:val="nil"/>
                    <w:bottom w:val="single" w:color="auto" w:sz="6" w:space="0"/>
                    <w:right w:val="single" w:color="auto" w:sz="6" w:space="0"/>
                  </w:tcBorders>
                  <w:vAlign w:val="center"/>
                </w:tcPr>
                <w:p>
                  <w:pPr>
                    <w:adjustRightInd w:val="0"/>
                    <w:snapToGrid w:val="0"/>
                    <w:jc w:val="center"/>
                  </w:pPr>
                  <w: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897" w:type="dxa"/>
                  <w:tcBorders>
                    <w:top w:val="single" w:color="auto" w:sz="6" w:space="0"/>
                    <w:left w:val="nil"/>
                    <w:bottom w:val="single" w:color="auto" w:sz="6" w:space="0"/>
                    <w:right w:val="single" w:color="auto" w:sz="6" w:space="0"/>
                  </w:tcBorders>
                  <w:vAlign w:val="center"/>
                </w:tcPr>
                <w:p>
                  <w:pPr>
                    <w:adjustRightInd w:val="0"/>
                    <w:snapToGrid w:val="0"/>
                    <w:jc w:val="center"/>
                  </w:pPr>
                  <w:r>
                    <w:t>本项目不在生态保护红线范围内</w:t>
                  </w:r>
                </w:p>
              </w:tc>
              <w:tc>
                <w:tcPr>
                  <w:tcW w:w="777" w:type="dxa"/>
                  <w:tcBorders>
                    <w:top w:val="single" w:color="auto" w:sz="6" w:space="0"/>
                    <w:left w:val="nil"/>
                    <w:bottom w:val="single" w:color="auto" w:sz="6" w:space="0"/>
                    <w:right w:val="single" w:color="auto" w:sz="2" w:space="0"/>
                  </w:tcBorders>
                  <w:vAlign w:val="center"/>
                </w:tcPr>
                <w:p>
                  <w:pPr>
                    <w:adjustRightInd w:val="0"/>
                    <w:snapToGrid w:val="0"/>
                    <w:jc w:val="center"/>
                  </w:pPr>
                  <w:r>
                    <w:t>符合</w:t>
                  </w:r>
                </w:p>
              </w:tc>
            </w:tr>
            <w:tr>
              <w:tblPrEx>
                <w:tblCellMar>
                  <w:top w:w="0" w:type="dxa"/>
                  <w:left w:w="0" w:type="dxa"/>
                  <w:bottom w:w="0" w:type="dxa"/>
                  <w:right w:w="0" w:type="dxa"/>
                </w:tblCellMar>
              </w:tblPrEx>
              <w:trPr>
                <w:trHeight w:val="1908" w:hRule="atLeast"/>
                <w:jc w:val="center"/>
              </w:trPr>
              <w:tc>
                <w:tcPr>
                  <w:tcW w:w="638" w:type="dxa"/>
                  <w:tcBorders>
                    <w:top w:val="single" w:color="auto" w:sz="6" w:space="0"/>
                    <w:left w:val="single" w:color="auto" w:sz="2" w:space="0"/>
                    <w:bottom w:val="single" w:color="auto" w:sz="6" w:space="0"/>
                    <w:right w:val="single" w:color="auto" w:sz="6" w:space="0"/>
                  </w:tcBorders>
                  <w:vAlign w:val="center"/>
                </w:tcPr>
                <w:p>
                  <w:pPr>
                    <w:adjustRightInd w:val="0"/>
                    <w:snapToGrid w:val="0"/>
                    <w:jc w:val="center"/>
                  </w:pPr>
                  <w:r>
                    <w:t>2</w:t>
                  </w:r>
                </w:p>
              </w:tc>
              <w:tc>
                <w:tcPr>
                  <w:tcW w:w="5193" w:type="dxa"/>
                  <w:tcBorders>
                    <w:top w:val="single" w:color="auto" w:sz="6" w:space="0"/>
                    <w:left w:val="nil"/>
                    <w:bottom w:val="single" w:color="auto" w:sz="6" w:space="0"/>
                    <w:right w:val="single" w:color="auto" w:sz="6" w:space="0"/>
                  </w:tcBorders>
                  <w:vAlign w:val="center"/>
                </w:tcPr>
                <w:p>
                  <w:pPr>
                    <w:adjustRightInd w:val="0"/>
                    <w:snapToGrid w:val="0"/>
                    <w:jc w:val="center"/>
                  </w:pPr>
                  <w: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1897" w:type="dxa"/>
                  <w:tcBorders>
                    <w:top w:val="single" w:color="auto" w:sz="6" w:space="0"/>
                    <w:left w:val="nil"/>
                    <w:bottom w:val="single" w:color="auto" w:sz="6" w:space="0"/>
                    <w:right w:val="single" w:color="auto" w:sz="6" w:space="0"/>
                  </w:tcBorders>
                  <w:vAlign w:val="center"/>
                </w:tcPr>
                <w:p>
                  <w:pPr>
                    <w:adjustRightInd w:val="0"/>
                    <w:snapToGrid w:val="0"/>
                    <w:jc w:val="center"/>
                  </w:pPr>
                  <w:r>
                    <w:t>本项目已对照区域环境质量目标，深入分析预测项目建设对环境质量的影响，强化污染防治措施和污染物排放控制要求</w:t>
                  </w:r>
                </w:p>
              </w:tc>
              <w:tc>
                <w:tcPr>
                  <w:tcW w:w="777" w:type="dxa"/>
                  <w:tcBorders>
                    <w:top w:val="single" w:color="auto" w:sz="6" w:space="0"/>
                    <w:left w:val="nil"/>
                    <w:bottom w:val="single" w:color="auto" w:sz="6" w:space="0"/>
                    <w:right w:val="single" w:color="auto" w:sz="2" w:space="0"/>
                  </w:tcBorders>
                  <w:vAlign w:val="center"/>
                </w:tcPr>
                <w:p>
                  <w:pPr>
                    <w:adjustRightInd w:val="0"/>
                    <w:snapToGrid w:val="0"/>
                    <w:jc w:val="center"/>
                  </w:pPr>
                  <w:r>
                    <w:t>符合</w:t>
                  </w:r>
                </w:p>
              </w:tc>
            </w:tr>
            <w:tr>
              <w:tblPrEx>
                <w:tblCellMar>
                  <w:top w:w="0" w:type="dxa"/>
                  <w:left w:w="0" w:type="dxa"/>
                  <w:bottom w:w="0" w:type="dxa"/>
                  <w:right w:w="0" w:type="dxa"/>
                </w:tblCellMar>
              </w:tblPrEx>
              <w:trPr>
                <w:trHeight w:val="1874" w:hRule="atLeast"/>
                <w:jc w:val="center"/>
              </w:trPr>
              <w:tc>
                <w:tcPr>
                  <w:tcW w:w="638" w:type="dxa"/>
                  <w:tcBorders>
                    <w:top w:val="single" w:color="auto" w:sz="6" w:space="0"/>
                    <w:left w:val="single" w:color="auto" w:sz="2" w:space="0"/>
                    <w:bottom w:val="single" w:color="auto" w:sz="6" w:space="0"/>
                    <w:right w:val="single" w:color="auto" w:sz="6" w:space="0"/>
                  </w:tcBorders>
                  <w:vAlign w:val="center"/>
                </w:tcPr>
                <w:p>
                  <w:pPr>
                    <w:adjustRightInd w:val="0"/>
                    <w:snapToGrid w:val="0"/>
                    <w:jc w:val="center"/>
                  </w:pPr>
                  <w:r>
                    <w:t>3</w:t>
                  </w:r>
                </w:p>
              </w:tc>
              <w:tc>
                <w:tcPr>
                  <w:tcW w:w="5193" w:type="dxa"/>
                  <w:tcBorders>
                    <w:top w:val="single" w:color="auto" w:sz="6" w:space="0"/>
                    <w:left w:val="nil"/>
                    <w:bottom w:val="single" w:color="auto" w:sz="6" w:space="0"/>
                    <w:right w:val="single" w:color="auto" w:sz="6" w:space="0"/>
                  </w:tcBorders>
                  <w:vAlign w:val="center"/>
                </w:tcPr>
                <w:p>
                  <w:pPr>
                    <w:pStyle w:val="9"/>
                    <w:jc w:val="center"/>
                    <w:rPr>
                      <w:sz w:val="21"/>
                      <w:szCs w:val="24"/>
                    </w:rPr>
                  </w:pPr>
                  <w:r>
                    <w:rPr>
                      <w:sz w:val="21"/>
                      <w:szCs w:val="24"/>
                    </w:rPr>
                    <w:t>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1897" w:type="dxa"/>
                  <w:tcBorders>
                    <w:top w:val="single" w:color="auto" w:sz="6" w:space="0"/>
                    <w:left w:val="nil"/>
                    <w:bottom w:val="single" w:color="auto" w:sz="6" w:space="0"/>
                    <w:right w:val="single" w:color="auto" w:sz="6" w:space="0"/>
                  </w:tcBorders>
                  <w:vAlign w:val="center"/>
                </w:tcPr>
                <w:p>
                  <w:pPr>
                    <w:jc w:val="center"/>
                  </w:pPr>
                  <w:r>
                    <w:t>本项目所在地资源完全能够满足本项目需求</w:t>
                  </w:r>
                </w:p>
              </w:tc>
              <w:tc>
                <w:tcPr>
                  <w:tcW w:w="777" w:type="dxa"/>
                  <w:tcBorders>
                    <w:top w:val="single" w:color="auto" w:sz="6" w:space="0"/>
                    <w:left w:val="nil"/>
                    <w:bottom w:val="single" w:color="auto" w:sz="6" w:space="0"/>
                    <w:right w:val="single" w:color="auto" w:sz="2" w:space="0"/>
                  </w:tcBorders>
                  <w:vAlign w:val="center"/>
                </w:tcPr>
                <w:p>
                  <w:pPr>
                    <w:adjustRightInd w:val="0"/>
                    <w:snapToGrid w:val="0"/>
                    <w:jc w:val="center"/>
                  </w:pPr>
                  <w:r>
                    <w:t>符合</w:t>
                  </w:r>
                </w:p>
              </w:tc>
            </w:tr>
            <w:tr>
              <w:tblPrEx>
                <w:tblCellMar>
                  <w:top w:w="0" w:type="dxa"/>
                  <w:left w:w="0" w:type="dxa"/>
                  <w:bottom w:w="0" w:type="dxa"/>
                  <w:right w:w="0" w:type="dxa"/>
                </w:tblCellMar>
              </w:tblPrEx>
              <w:trPr>
                <w:trHeight w:val="1904" w:hRule="atLeast"/>
                <w:jc w:val="center"/>
              </w:trPr>
              <w:tc>
                <w:tcPr>
                  <w:tcW w:w="638" w:type="dxa"/>
                  <w:tcBorders>
                    <w:top w:val="single" w:color="auto" w:sz="6" w:space="0"/>
                    <w:left w:val="single" w:color="auto" w:sz="2" w:space="0"/>
                    <w:bottom w:val="single" w:color="auto" w:sz="12" w:space="0"/>
                    <w:right w:val="single" w:color="auto" w:sz="6" w:space="0"/>
                  </w:tcBorders>
                  <w:vAlign w:val="center"/>
                </w:tcPr>
                <w:p>
                  <w:pPr>
                    <w:adjustRightInd w:val="0"/>
                    <w:snapToGrid w:val="0"/>
                    <w:jc w:val="center"/>
                  </w:pPr>
                  <w:r>
                    <w:t>4</w:t>
                  </w:r>
                </w:p>
              </w:tc>
              <w:tc>
                <w:tcPr>
                  <w:tcW w:w="5193" w:type="dxa"/>
                  <w:tcBorders>
                    <w:top w:val="single" w:color="auto" w:sz="6" w:space="0"/>
                    <w:left w:val="nil"/>
                    <w:bottom w:val="single" w:color="auto" w:sz="12" w:space="0"/>
                    <w:right w:val="single" w:color="auto" w:sz="6" w:space="0"/>
                  </w:tcBorders>
                  <w:vAlign w:val="center"/>
                </w:tcPr>
                <w:p>
                  <w:pPr>
                    <w:pStyle w:val="9"/>
                    <w:jc w:val="center"/>
                    <w:rPr>
                      <w:sz w:val="21"/>
                      <w:szCs w:val="24"/>
                    </w:rPr>
                  </w:pPr>
                  <w:r>
                    <w:rPr>
                      <w:sz w:val="21"/>
                      <w:szCs w:val="24"/>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1897" w:type="dxa"/>
                  <w:tcBorders>
                    <w:top w:val="single" w:color="auto" w:sz="6" w:space="0"/>
                    <w:left w:val="nil"/>
                    <w:bottom w:val="single" w:color="auto" w:sz="12" w:space="0"/>
                    <w:right w:val="single" w:color="auto" w:sz="6" w:space="0"/>
                  </w:tcBorders>
                  <w:vAlign w:val="center"/>
                </w:tcPr>
                <w:p>
                  <w:pPr>
                    <w:jc w:val="center"/>
                  </w:pPr>
                  <w:r>
                    <w:t>本项目符合产业政策的规划。</w:t>
                  </w:r>
                </w:p>
              </w:tc>
              <w:tc>
                <w:tcPr>
                  <w:tcW w:w="777" w:type="dxa"/>
                  <w:tcBorders>
                    <w:top w:val="single" w:color="auto" w:sz="6" w:space="0"/>
                    <w:left w:val="nil"/>
                    <w:bottom w:val="single" w:color="auto" w:sz="12" w:space="0"/>
                    <w:right w:val="single" w:color="auto" w:sz="2" w:space="0"/>
                  </w:tcBorders>
                  <w:vAlign w:val="center"/>
                </w:tcPr>
                <w:p>
                  <w:pPr>
                    <w:adjustRightInd w:val="0"/>
                    <w:snapToGrid w:val="0"/>
                    <w:jc w:val="center"/>
                  </w:pPr>
                  <w:r>
                    <w:t>符合</w:t>
                  </w:r>
                </w:p>
              </w:tc>
            </w:tr>
          </w:tbl>
          <w:p>
            <w:pPr>
              <w:spacing w:line="360" w:lineRule="auto"/>
              <w:ind w:firstLine="480"/>
              <w:rPr>
                <w:bCs/>
                <w:sz w:val="24"/>
              </w:rPr>
            </w:pPr>
            <w:r>
              <w:rPr>
                <w:rFonts w:hint="eastAsia"/>
                <w:bCs/>
                <w:sz w:val="24"/>
              </w:rPr>
              <w:t>5、与《水污染防治行动计划》（国发[2015]17号）的符合性分析</w:t>
            </w:r>
          </w:p>
          <w:p>
            <w:pPr>
              <w:adjustRightInd w:val="0"/>
              <w:snapToGrid w:val="0"/>
              <w:spacing w:line="360" w:lineRule="auto"/>
              <w:ind w:firstLine="480" w:firstLineChars="200"/>
              <w:rPr>
                <w:sz w:val="24"/>
              </w:rPr>
            </w:pPr>
            <w:r>
              <w:rPr>
                <w:sz w:val="24"/>
              </w:rPr>
              <w:t>本项目</w:t>
            </w:r>
            <w:r>
              <w:rPr>
                <w:rFonts w:hint="eastAsia"/>
                <w:sz w:val="24"/>
              </w:rPr>
              <w:t>不在饮用水水源地一级、二级及准保护区内</w:t>
            </w:r>
            <w:r>
              <w:rPr>
                <w:sz w:val="24"/>
              </w:rPr>
              <w:t>。</w:t>
            </w:r>
            <w:r>
              <w:rPr>
                <w:rFonts w:hint="eastAsia"/>
                <w:sz w:val="24"/>
              </w:rPr>
              <w:t>国务院于2015年2月29日发布了《水污染防治行动计划》（国发[2015]17号）文件，本项目与国发[2015]17号文件符合性见下表。</w:t>
            </w:r>
          </w:p>
          <w:p>
            <w:pPr>
              <w:adjustRightInd w:val="0"/>
              <w:snapToGrid w:val="0"/>
              <w:spacing w:line="360" w:lineRule="auto"/>
              <w:ind w:firstLine="425"/>
              <w:jc w:val="center"/>
              <w:textAlignment w:val="baseline"/>
              <w:rPr>
                <w:b/>
                <w:sz w:val="24"/>
              </w:rPr>
            </w:pPr>
            <w:r>
              <w:rPr>
                <w:b/>
                <w:sz w:val="24"/>
              </w:rPr>
              <w:t>表</w:t>
            </w:r>
            <w:r>
              <w:rPr>
                <w:rFonts w:hint="eastAsia"/>
                <w:b/>
                <w:sz w:val="24"/>
              </w:rPr>
              <w:t>1-7</w:t>
            </w:r>
            <w:r>
              <w:rPr>
                <w:b/>
                <w:sz w:val="24"/>
              </w:rPr>
              <w:t>本项目与国发[2015]17号符合情况</w:t>
            </w:r>
          </w:p>
          <w:tbl>
            <w:tblPr>
              <w:tblStyle w:val="1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367"/>
              <w:gridCol w:w="4037"/>
              <w:gridCol w:w="2714"/>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exact"/>
              </w:trPr>
              <w:tc>
                <w:tcPr>
                  <w:tcW w:w="5404" w:type="dxa"/>
                  <w:gridSpan w:val="2"/>
                  <w:vAlign w:val="center"/>
                </w:tcPr>
                <w:p>
                  <w:pPr>
                    <w:adjustRightInd w:val="0"/>
                    <w:snapToGrid w:val="0"/>
                    <w:jc w:val="center"/>
                    <w:textAlignment w:val="baseline"/>
                    <w:rPr>
                      <w:b/>
                      <w:bCs/>
                      <w:szCs w:val="21"/>
                    </w:rPr>
                  </w:pPr>
                  <w:r>
                    <w:rPr>
                      <w:b/>
                      <w:bCs/>
                      <w:szCs w:val="21"/>
                    </w:rPr>
                    <w:t>水污染防治行动计划</w:t>
                  </w:r>
                </w:p>
              </w:tc>
              <w:tc>
                <w:tcPr>
                  <w:tcW w:w="2714" w:type="dxa"/>
                  <w:vAlign w:val="center"/>
                </w:tcPr>
                <w:p>
                  <w:pPr>
                    <w:adjustRightInd w:val="0"/>
                    <w:snapToGrid w:val="0"/>
                    <w:jc w:val="center"/>
                    <w:textAlignment w:val="baseline"/>
                    <w:rPr>
                      <w:b/>
                      <w:bCs/>
                      <w:szCs w:val="21"/>
                    </w:rPr>
                  </w:pPr>
                  <w:r>
                    <w:rPr>
                      <w:b/>
                      <w:bCs/>
                      <w:szCs w:val="21"/>
                    </w:rPr>
                    <w:t>本项目情况</w:t>
                  </w:r>
                </w:p>
              </w:tc>
              <w:tc>
                <w:tcPr>
                  <w:tcW w:w="942" w:type="dxa"/>
                  <w:vAlign w:val="center"/>
                </w:tcPr>
                <w:p>
                  <w:pPr>
                    <w:adjustRightInd w:val="0"/>
                    <w:snapToGrid w:val="0"/>
                    <w:jc w:val="center"/>
                    <w:textAlignment w:val="baseline"/>
                    <w:rPr>
                      <w:b/>
                      <w:bCs/>
                      <w:szCs w:val="21"/>
                    </w:rPr>
                  </w:pPr>
                  <w:r>
                    <w:rPr>
                      <w:b/>
                      <w:bCs/>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367" w:type="dxa"/>
                  <w:vAlign w:val="center"/>
                </w:tcPr>
                <w:p>
                  <w:pPr>
                    <w:adjustRightInd w:val="0"/>
                    <w:snapToGrid w:val="0"/>
                    <w:textAlignment w:val="baseline"/>
                    <w:rPr>
                      <w:szCs w:val="21"/>
                    </w:rPr>
                  </w:pPr>
                  <w:r>
                    <w:rPr>
                      <w:rFonts w:hint="eastAsia"/>
                      <w:szCs w:val="21"/>
                    </w:rPr>
                    <w:t>一、（一）</w:t>
                  </w:r>
                  <w:r>
                    <w:rPr>
                      <w:szCs w:val="21"/>
                    </w:rPr>
                    <w:t>专项整治十大重点行业</w:t>
                  </w:r>
                </w:p>
              </w:tc>
              <w:tc>
                <w:tcPr>
                  <w:tcW w:w="4037" w:type="dxa"/>
                  <w:vAlign w:val="center"/>
                </w:tcPr>
                <w:p>
                  <w:pPr>
                    <w:adjustRightInd w:val="0"/>
                    <w:snapToGrid w:val="0"/>
                    <w:textAlignment w:val="baseline"/>
                    <w:rPr>
                      <w:szCs w:val="21"/>
                    </w:rPr>
                  </w:pPr>
                  <w:r>
                    <w:rPr>
                      <w:szCs w:val="21"/>
                    </w:rPr>
                    <w:t>制定造纸、焦化、氮肥、有色金属、印染、农副食品加工、原料药制造、制革、农药、电镀等行业专项治理方案，实施清洁化改造。新建、改建、扩建上述行业建设项目实行主要污染物排放等量或减量置换。2017年底前，造纸行业力争完成纸浆无元素氯漂白改造或采取其他低污染制浆技术，钢铁企业焦炉完成干熄焦技术改造，氮肥行业尿素生产完成工艺冷凝液水解解析技术改造，印染行业实施低排水染整工艺改造，制药(抗生素、维生素)行业实施绿色酶法生产技术改造，制革行业实施铬减量化和封闭循环利用技术改造。</w:t>
                  </w:r>
                </w:p>
              </w:tc>
              <w:tc>
                <w:tcPr>
                  <w:tcW w:w="2714" w:type="dxa"/>
                  <w:vAlign w:val="center"/>
                </w:tcPr>
                <w:p>
                  <w:pPr>
                    <w:adjustRightInd w:val="0"/>
                    <w:snapToGrid w:val="0"/>
                    <w:textAlignment w:val="baseline"/>
                    <w:rPr>
                      <w:szCs w:val="21"/>
                    </w:rPr>
                  </w:pPr>
                  <w:r>
                    <w:rPr>
                      <w:rFonts w:hint="eastAsia"/>
                      <w:szCs w:val="21"/>
                    </w:rPr>
                    <w:t>本项目不属于十大重点行业类别。</w:t>
                  </w:r>
                </w:p>
              </w:tc>
              <w:tc>
                <w:tcPr>
                  <w:tcW w:w="942" w:type="dxa"/>
                  <w:vAlign w:val="center"/>
                </w:tcPr>
                <w:p>
                  <w:pPr>
                    <w:adjustRightInd w:val="0"/>
                    <w:snapToGrid w:val="0"/>
                    <w:jc w:val="center"/>
                    <w:textAlignment w:val="baseline"/>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367" w:type="dxa"/>
                  <w:vAlign w:val="center"/>
                </w:tcPr>
                <w:p>
                  <w:pPr>
                    <w:adjustRightInd w:val="0"/>
                    <w:snapToGrid w:val="0"/>
                    <w:textAlignment w:val="baseline"/>
                    <w:rPr>
                      <w:szCs w:val="21"/>
                    </w:rPr>
                  </w:pPr>
                  <w:r>
                    <w:rPr>
                      <w:szCs w:val="21"/>
                    </w:rPr>
                    <w:t>二、（五）调整产业结构。依法淘汰落后产能。</w:t>
                  </w:r>
                </w:p>
              </w:tc>
              <w:tc>
                <w:tcPr>
                  <w:tcW w:w="4037" w:type="dxa"/>
                  <w:vAlign w:val="center"/>
                </w:tcPr>
                <w:p>
                  <w:pPr>
                    <w:adjustRightInd w:val="0"/>
                    <w:snapToGrid w:val="0"/>
                    <w:textAlignment w:val="baseline"/>
                    <w:rPr>
                      <w:szCs w:val="21"/>
                    </w:rPr>
                  </w:pPr>
                  <w:r>
                    <w:rPr>
                      <w:szCs w:val="21"/>
                    </w:rPr>
                    <w:t>自2015年起，各地要依据部分工业行业淘汰落后生产工艺装备和产品指导目录、产业结构调整指导目录及相关行业污染物排放标准，结合水质改善要求及产业发展情况，制定并实施分年度的落后产能淘汰方案，报工业和信息化部、环境保护部备案</w:t>
                  </w:r>
                  <w:r>
                    <w:rPr>
                      <w:rFonts w:hint="eastAsia"/>
                      <w:szCs w:val="21"/>
                    </w:rPr>
                    <w:t>。</w:t>
                  </w:r>
                </w:p>
              </w:tc>
              <w:tc>
                <w:tcPr>
                  <w:tcW w:w="2714" w:type="dxa"/>
                  <w:vAlign w:val="center"/>
                </w:tcPr>
                <w:p>
                  <w:pPr>
                    <w:adjustRightInd w:val="0"/>
                    <w:snapToGrid w:val="0"/>
                    <w:textAlignment w:val="baseline"/>
                    <w:rPr>
                      <w:szCs w:val="21"/>
                    </w:rPr>
                  </w:pPr>
                  <w:r>
                    <w:rPr>
                      <w:szCs w:val="21"/>
                    </w:rPr>
                    <w:t>本项目符合《产业结构调整指导目录（2011年本）（修正）》</w:t>
                  </w:r>
                  <w:r>
                    <w:rPr>
                      <w:rFonts w:hint="eastAsia"/>
                      <w:szCs w:val="21"/>
                    </w:rPr>
                    <w:t>的相关</w:t>
                  </w:r>
                  <w:r>
                    <w:rPr>
                      <w:szCs w:val="21"/>
                    </w:rPr>
                    <w:t>要求</w:t>
                  </w:r>
                  <w:r>
                    <w:rPr>
                      <w:rFonts w:hint="eastAsia"/>
                      <w:szCs w:val="21"/>
                    </w:rPr>
                    <w:t>。</w:t>
                  </w:r>
                </w:p>
              </w:tc>
              <w:tc>
                <w:tcPr>
                  <w:tcW w:w="942" w:type="dxa"/>
                  <w:vAlign w:val="center"/>
                </w:tcPr>
                <w:p>
                  <w:pPr>
                    <w:adjustRightInd w:val="0"/>
                    <w:snapToGrid w:val="0"/>
                    <w:jc w:val="center"/>
                    <w:textAlignment w:val="baseline"/>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367" w:type="dxa"/>
                  <w:vAlign w:val="center"/>
                </w:tcPr>
                <w:p>
                  <w:pPr>
                    <w:adjustRightInd w:val="0"/>
                    <w:snapToGrid w:val="0"/>
                    <w:textAlignment w:val="baseline"/>
                    <w:rPr>
                      <w:szCs w:val="21"/>
                    </w:rPr>
                  </w:pPr>
                  <w:r>
                    <w:rPr>
                      <w:rFonts w:hint="eastAsia"/>
                      <w:szCs w:val="21"/>
                    </w:rPr>
                    <w:t>二</w:t>
                  </w:r>
                  <w:r>
                    <w:rPr>
                      <w:szCs w:val="21"/>
                    </w:rPr>
                    <w:t>、(六)优化空间布局。</w:t>
                  </w:r>
                </w:p>
              </w:tc>
              <w:tc>
                <w:tcPr>
                  <w:tcW w:w="4037" w:type="dxa"/>
                  <w:vAlign w:val="center"/>
                </w:tcPr>
                <w:p>
                  <w:pPr>
                    <w:adjustRightInd w:val="0"/>
                    <w:snapToGrid w:val="0"/>
                    <w:textAlignment w:val="baseline"/>
                    <w:rPr>
                      <w:szCs w:val="21"/>
                    </w:rPr>
                  </w:pPr>
                  <w:r>
                    <w:rPr>
                      <w:szCs w:val="21"/>
                    </w:rPr>
                    <w:t>积极保护生态空间。严格城市规划蓝线管理，城市规划区范围内应保留一定比例的水域面积。新建项目一律不得违规占用水域。严格水域岸线用途管制，土地开发利用应按照有关法律法规和技术标准要求，留足河道、湖泊和滨海地带的管理和保护范围，非法挤占的应限期退出。</w:t>
                  </w:r>
                </w:p>
              </w:tc>
              <w:tc>
                <w:tcPr>
                  <w:tcW w:w="2714" w:type="dxa"/>
                  <w:vAlign w:val="center"/>
                </w:tcPr>
                <w:p>
                  <w:pPr>
                    <w:adjustRightInd w:val="0"/>
                    <w:snapToGrid w:val="0"/>
                    <w:textAlignment w:val="baseline"/>
                    <w:rPr>
                      <w:szCs w:val="21"/>
                    </w:rPr>
                  </w:pPr>
                  <w:r>
                    <w:rPr>
                      <w:szCs w:val="21"/>
                    </w:rPr>
                    <w:t>本项目</w:t>
                  </w:r>
                  <w:r>
                    <w:rPr>
                      <w:rFonts w:hint="eastAsia"/>
                      <w:szCs w:val="21"/>
                    </w:rPr>
                    <w:t>符合规划要求，选址合理。</w:t>
                  </w:r>
                </w:p>
              </w:tc>
              <w:tc>
                <w:tcPr>
                  <w:tcW w:w="942" w:type="dxa"/>
                  <w:vAlign w:val="center"/>
                </w:tcPr>
                <w:p>
                  <w:pPr>
                    <w:adjustRightInd w:val="0"/>
                    <w:snapToGrid w:val="0"/>
                    <w:jc w:val="center"/>
                    <w:textAlignment w:val="baseline"/>
                    <w:rPr>
                      <w:szCs w:val="21"/>
                    </w:rPr>
                  </w:pPr>
                  <w:r>
                    <w:rPr>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367" w:type="dxa"/>
                  <w:vAlign w:val="center"/>
                </w:tcPr>
                <w:p>
                  <w:pPr>
                    <w:adjustRightInd w:val="0"/>
                    <w:snapToGrid w:val="0"/>
                    <w:textAlignment w:val="baseline"/>
                    <w:rPr>
                      <w:szCs w:val="21"/>
                    </w:rPr>
                  </w:pPr>
                  <w:r>
                    <w:rPr>
                      <w:szCs w:val="21"/>
                    </w:rPr>
                    <w:t>八</w:t>
                  </w:r>
                  <w:r>
                    <w:rPr>
                      <w:rFonts w:hint="eastAsia"/>
                      <w:szCs w:val="21"/>
                    </w:rPr>
                    <w:t>、（二十四）保障饮用水水源安全</w:t>
                  </w:r>
                </w:p>
              </w:tc>
              <w:tc>
                <w:tcPr>
                  <w:tcW w:w="4037" w:type="dxa"/>
                  <w:vAlign w:val="center"/>
                </w:tcPr>
                <w:p>
                  <w:pPr>
                    <w:adjustRightInd w:val="0"/>
                    <w:snapToGrid w:val="0"/>
                    <w:textAlignment w:val="baseline"/>
                    <w:rPr>
                      <w:szCs w:val="21"/>
                    </w:rPr>
                  </w:pPr>
                  <w:r>
                    <w:rPr>
                      <w:rFonts w:hint="eastAsia"/>
                      <w:szCs w:val="21"/>
                    </w:rPr>
                    <w:t>强化饮用水水源环境保护。开展饮用水水源规范化建设，依法清理饮用水水源保护区内违法建筑和排污口。</w:t>
                  </w:r>
                </w:p>
                <w:p>
                  <w:pPr>
                    <w:adjustRightInd w:val="0"/>
                    <w:snapToGrid w:val="0"/>
                    <w:textAlignment w:val="baseline"/>
                    <w:rPr>
                      <w:szCs w:val="21"/>
                    </w:rPr>
                  </w:pPr>
                  <w:r>
                    <w:rPr>
                      <w:rFonts w:hint="eastAsia"/>
                      <w:szCs w:val="21"/>
                    </w:rPr>
                    <w:t>防治地下水污染。定期调查评估集中式地下水型饮用水水源补给区等区域环境状况。</w:t>
                  </w:r>
                </w:p>
              </w:tc>
              <w:tc>
                <w:tcPr>
                  <w:tcW w:w="2714" w:type="dxa"/>
                  <w:vAlign w:val="center"/>
                </w:tcPr>
                <w:p>
                  <w:pPr>
                    <w:adjustRightInd w:val="0"/>
                    <w:snapToGrid w:val="0"/>
                    <w:textAlignment w:val="baseline"/>
                    <w:rPr>
                      <w:szCs w:val="21"/>
                    </w:rPr>
                  </w:pPr>
                  <w:r>
                    <w:rPr>
                      <w:rFonts w:hint="eastAsia"/>
                      <w:szCs w:val="21"/>
                    </w:rPr>
                    <w:t>不在饮用水水源地一级、二级及准保护区内。</w:t>
                  </w:r>
                </w:p>
                <w:p>
                  <w:pPr>
                    <w:adjustRightInd w:val="0"/>
                    <w:snapToGrid w:val="0"/>
                    <w:textAlignment w:val="baseline"/>
                    <w:rPr>
                      <w:szCs w:val="21"/>
                    </w:rPr>
                  </w:pPr>
                  <w:r>
                    <w:rPr>
                      <w:rFonts w:hint="eastAsia"/>
                      <w:szCs w:val="21"/>
                    </w:rPr>
                    <w:t>本项目废水不外排，本项目对饮用水水源基本无影响。</w:t>
                  </w:r>
                </w:p>
              </w:tc>
              <w:tc>
                <w:tcPr>
                  <w:tcW w:w="942" w:type="dxa"/>
                  <w:vAlign w:val="center"/>
                </w:tcPr>
                <w:p>
                  <w:pPr>
                    <w:adjustRightInd w:val="0"/>
                    <w:snapToGrid w:val="0"/>
                    <w:jc w:val="center"/>
                    <w:textAlignment w:val="baseline"/>
                    <w:rPr>
                      <w:szCs w:val="21"/>
                    </w:rPr>
                  </w:pPr>
                  <w:r>
                    <w:rPr>
                      <w:szCs w:val="21"/>
                    </w:rPr>
                    <w:t>符合</w:t>
                  </w:r>
                </w:p>
              </w:tc>
            </w:tr>
          </w:tbl>
          <w:p>
            <w:pPr>
              <w:pStyle w:val="3"/>
              <w:numPr>
                <w:ilvl w:val="0"/>
                <w:numId w:val="2"/>
              </w:numPr>
              <w:spacing w:before="0" w:after="0" w:line="360" w:lineRule="auto"/>
              <w:outlineLvl w:val="2"/>
              <w:rPr>
                <w:rFonts w:eastAsia="新宋体"/>
                <w:b w:val="0"/>
                <w:bCs w:val="0"/>
                <w:sz w:val="24"/>
                <w:szCs w:val="24"/>
              </w:rPr>
            </w:pPr>
            <w:r>
              <w:rPr>
                <w:rFonts w:eastAsia="新宋体"/>
                <w:b w:val="0"/>
                <w:bCs w:val="0"/>
                <w:sz w:val="24"/>
                <w:szCs w:val="24"/>
              </w:rPr>
              <w:t>项目与《</w:t>
            </w:r>
            <w:r>
              <w:rPr>
                <w:rFonts w:hint="eastAsia" w:eastAsia="新宋体"/>
                <w:b w:val="0"/>
                <w:bCs w:val="0"/>
                <w:sz w:val="24"/>
                <w:szCs w:val="24"/>
              </w:rPr>
              <w:t>济宁市露天非煤矿山开采行业大气污染治理技术导则（试行）</w:t>
            </w:r>
            <w:r>
              <w:rPr>
                <w:rFonts w:eastAsia="新宋体"/>
                <w:b w:val="0"/>
                <w:bCs w:val="0"/>
                <w:sz w:val="24"/>
                <w:szCs w:val="24"/>
              </w:rPr>
              <w:t>》的符合性</w:t>
            </w:r>
            <w:r>
              <w:rPr>
                <w:rFonts w:hint="eastAsia" w:eastAsia="新宋体"/>
                <w:b w:val="0"/>
                <w:bCs w:val="0"/>
                <w:sz w:val="24"/>
                <w:szCs w:val="24"/>
              </w:rPr>
              <w:t>分析</w:t>
            </w:r>
            <w:r>
              <w:rPr>
                <w:rFonts w:eastAsia="新宋体"/>
                <w:b w:val="0"/>
                <w:bCs w:val="0"/>
                <w:sz w:val="24"/>
                <w:szCs w:val="24"/>
              </w:rPr>
              <w:t>符合性分析</w:t>
            </w:r>
            <w:r>
              <w:rPr>
                <w:rFonts w:hint="eastAsia" w:eastAsia="新宋体"/>
                <w:b w:val="0"/>
                <w:bCs w:val="0"/>
                <w:sz w:val="24"/>
                <w:szCs w:val="24"/>
              </w:rPr>
              <w:t>。</w:t>
            </w:r>
          </w:p>
          <w:p>
            <w:pPr>
              <w:jc w:val="center"/>
              <w:rPr>
                <w:b/>
                <w:bCs/>
                <w:sz w:val="24"/>
              </w:rPr>
            </w:pPr>
            <w:r>
              <w:rPr>
                <w:rFonts w:hint="eastAsia"/>
                <w:b/>
                <w:bCs/>
                <w:sz w:val="24"/>
              </w:rPr>
              <w:t>本项目与</w:t>
            </w:r>
            <w:r>
              <w:rPr>
                <w:rFonts w:hint="eastAsia" w:eastAsia="新宋体"/>
                <w:b/>
                <w:bCs/>
                <w:sz w:val="24"/>
              </w:rPr>
              <w:t>济宁市露天非煤矿山开采行业大气污染治理技术导则（试行）</w:t>
            </w:r>
            <w:r>
              <w:rPr>
                <w:rFonts w:hAnsi="宋体"/>
                <w:b/>
                <w:bCs/>
                <w:sz w:val="24"/>
              </w:rPr>
              <w:t>符合情况</w:t>
            </w:r>
          </w:p>
          <w:tbl>
            <w:tblPr>
              <w:tblStyle w:val="16"/>
              <w:tblW w:w="87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3135"/>
              <w:gridCol w:w="2325"/>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vAlign w:val="center"/>
                </w:tcPr>
                <w:p>
                  <w:pPr>
                    <w:jc w:val="center"/>
                  </w:pPr>
                  <w:r>
                    <w:t>序号</w:t>
                  </w:r>
                </w:p>
              </w:tc>
              <w:tc>
                <w:tcPr>
                  <w:tcW w:w="3135" w:type="dxa"/>
                  <w:vAlign w:val="center"/>
                </w:tcPr>
                <w:p>
                  <w:pPr>
                    <w:jc w:val="center"/>
                  </w:pPr>
                  <w:r>
                    <w:t>具体要求</w:t>
                  </w:r>
                </w:p>
              </w:tc>
              <w:tc>
                <w:tcPr>
                  <w:tcW w:w="2325" w:type="dxa"/>
                  <w:vAlign w:val="center"/>
                </w:tcPr>
                <w:p>
                  <w:pPr>
                    <w:jc w:val="center"/>
                  </w:pPr>
                  <w:r>
                    <w:t>本工程情况</w:t>
                  </w:r>
                </w:p>
              </w:tc>
              <w:tc>
                <w:tcPr>
                  <w:tcW w:w="2322" w:type="dxa"/>
                  <w:vAlign w:val="center"/>
                </w:tcPr>
                <w:p>
                  <w:pPr>
                    <w:jc w:val="center"/>
                  </w:pPr>
                  <w: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vAlign w:val="center"/>
                </w:tcPr>
                <w:p>
                  <w:pPr>
                    <w:jc w:val="center"/>
                  </w:pPr>
                  <w:r>
                    <w:rPr>
                      <w:rFonts w:hint="eastAsia"/>
                    </w:rPr>
                    <w:t>1</w:t>
                  </w:r>
                </w:p>
              </w:tc>
              <w:tc>
                <w:tcPr>
                  <w:tcW w:w="3135" w:type="dxa"/>
                  <w:vAlign w:val="center"/>
                </w:tcPr>
                <w:p>
                  <w:pPr>
                    <w:adjustRightInd w:val="0"/>
                    <w:snapToGrid w:val="0"/>
                    <w:jc w:val="left"/>
                    <w:textAlignment w:val="baseline"/>
                    <w:rPr>
                      <w:szCs w:val="21"/>
                    </w:rPr>
                  </w:pPr>
                  <w:r>
                    <w:rPr>
                      <w:rFonts w:hint="eastAsia"/>
                      <w:szCs w:val="21"/>
                    </w:rPr>
                    <w:t>露天非煤矿山的开采采面设置喷淋设施或带水作业（使用锯石机开采的），以不产生扬尘为目标。</w:t>
                  </w:r>
                </w:p>
                <w:p>
                  <w:pPr>
                    <w:adjustRightInd w:val="0"/>
                    <w:snapToGrid w:val="0"/>
                    <w:jc w:val="left"/>
                    <w:textAlignment w:val="baseline"/>
                  </w:pPr>
                  <w:r>
                    <w:rPr>
                      <w:rFonts w:hint="eastAsia"/>
                      <w:szCs w:val="21"/>
                    </w:rPr>
                    <w:t>喷洒水系统可采用集中控制和分散控制，以集中控制为宜。</w:t>
                  </w:r>
                </w:p>
              </w:tc>
              <w:tc>
                <w:tcPr>
                  <w:tcW w:w="2325" w:type="dxa"/>
                  <w:vAlign w:val="center"/>
                </w:tcPr>
                <w:p>
                  <w:pPr>
                    <w:jc w:val="left"/>
                  </w:pPr>
                  <w:r>
                    <w:rPr>
                      <w:rFonts w:hint="eastAsia"/>
                      <w:szCs w:val="21"/>
                    </w:rPr>
                    <w:t>本项目在切割的时候进行水喷淋降尘处理喷淋设施集中控制。</w:t>
                  </w:r>
                </w:p>
              </w:tc>
              <w:tc>
                <w:tcPr>
                  <w:tcW w:w="2322" w:type="dxa"/>
                  <w:vAlign w:val="center"/>
                </w:tcPr>
                <w:p>
                  <w:pPr>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vAlign w:val="center"/>
                </w:tcPr>
                <w:p>
                  <w:pPr>
                    <w:jc w:val="center"/>
                  </w:pPr>
                  <w:r>
                    <w:rPr>
                      <w:rFonts w:hint="eastAsia"/>
                    </w:rPr>
                    <w:t>2</w:t>
                  </w:r>
                </w:p>
              </w:tc>
              <w:tc>
                <w:tcPr>
                  <w:tcW w:w="3135" w:type="dxa"/>
                  <w:vAlign w:val="center"/>
                </w:tcPr>
                <w:p>
                  <w:pPr>
                    <w:adjustRightInd w:val="0"/>
                    <w:snapToGrid w:val="0"/>
                    <w:jc w:val="left"/>
                    <w:textAlignment w:val="baseline"/>
                    <w:rPr>
                      <w:szCs w:val="21"/>
                    </w:rPr>
                  </w:pPr>
                  <w:r>
                    <w:rPr>
                      <w:rFonts w:hint="eastAsia"/>
                      <w:szCs w:val="21"/>
                    </w:rPr>
                    <w:t>装载机（如铲车）上料时，上料口应在封闭的空间内部，必须有洒水装置或灰尘收集装置。</w:t>
                  </w:r>
                </w:p>
                <w:p>
                  <w:pPr>
                    <w:adjustRightInd w:val="0"/>
                    <w:snapToGrid w:val="0"/>
                    <w:jc w:val="left"/>
                    <w:textAlignment w:val="baseline"/>
                    <w:rPr>
                      <w:szCs w:val="21"/>
                    </w:rPr>
                  </w:pPr>
                  <w:r>
                    <w:rPr>
                      <w:rFonts w:hint="eastAsia"/>
                      <w:szCs w:val="21"/>
                    </w:rPr>
                    <w:t>加工设施包括搅拌机、原料仓、粉碎仓、输送机等。加工过程要在封闭的环境内进行，并采取集尘、喷淋等方式防治扬尘污染。</w:t>
                  </w:r>
                </w:p>
              </w:tc>
              <w:tc>
                <w:tcPr>
                  <w:tcW w:w="2325" w:type="dxa"/>
                  <w:vAlign w:val="center"/>
                </w:tcPr>
                <w:p>
                  <w:pPr>
                    <w:jc w:val="left"/>
                  </w:pPr>
                  <w:r>
                    <w:rPr>
                      <w:rFonts w:hint="eastAsia"/>
                    </w:rPr>
                    <w:t>本项目上料口在密闭空间，并洒水抑尘</w:t>
                  </w:r>
                </w:p>
              </w:tc>
              <w:tc>
                <w:tcPr>
                  <w:tcW w:w="2322" w:type="dxa"/>
                  <w:vAlign w:val="center"/>
                </w:tcPr>
                <w:p>
                  <w:pPr>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06" w:type="dxa"/>
                  <w:vAlign w:val="center"/>
                </w:tcPr>
                <w:p>
                  <w:pPr>
                    <w:jc w:val="center"/>
                  </w:pPr>
                  <w:r>
                    <w:rPr>
                      <w:rFonts w:hint="eastAsia"/>
                    </w:rPr>
                    <w:t>3</w:t>
                  </w:r>
                </w:p>
              </w:tc>
              <w:tc>
                <w:tcPr>
                  <w:tcW w:w="3135" w:type="dxa"/>
                  <w:vAlign w:val="center"/>
                </w:tcPr>
                <w:p>
                  <w:pPr>
                    <w:jc w:val="left"/>
                  </w:pPr>
                  <w:r>
                    <w:rPr>
                      <w:rFonts w:hint="eastAsia"/>
                    </w:rPr>
                    <w:t>矿产品堆场必须实现地面基本硬化；对于未全部硬化的，必须改造。</w:t>
                  </w:r>
                </w:p>
                <w:p>
                  <w:pPr>
                    <w:jc w:val="left"/>
                  </w:pPr>
                  <w:r>
                    <w:rPr>
                      <w:rFonts w:hint="eastAsia"/>
                    </w:rPr>
                    <w:t>堆场与运输料口之间，除留出用于装卸的专用通道外，其他周围必须建设防风抑尘网，防风抑尘网高度不得低于堆垛高度。</w:t>
                  </w:r>
                </w:p>
                <w:p>
                  <w:pPr>
                    <w:jc w:val="left"/>
                  </w:pPr>
                  <w:r>
                    <w:rPr>
                      <w:rFonts w:hint="eastAsia"/>
                    </w:rPr>
                    <w:t>露天堆场应设置喷淋设施或用覆盖网（布）覆盖。</w:t>
                  </w:r>
                </w:p>
              </w:tc>
              <w:tc>
                <w:tcPr>
                  <w:tcW w:w="2325" w:type="dxa"/>
                  <w:vAlign w:val="center"/>
                </w:tcPr>
                <w:p>
                  <w:pPr>
                    <w:jc w:val="left"/>
                  </w:pPr>
                  <w:r>
                    <w:rPr>
                      <w:rFonts w:hint="eastAsia"/>
                    </w:rPr>
                    <w:t>项目矿产品堆场硬化，防风抑尘网符合要求。并对矿产品堆场洒水抑尘。</w:t>
                  </w:r>
                </w:p>
                <w:p>
                  <w:pPr>
                    <w:jc w:val="left"/>
                  </w:pPr>
                </w:p>
              </w:tc>
              <w:tc>
                <w:tcPr>
                  <w:tcW w:w="2322" w:type="dxa"/>
                  <w:vAlign w:val="center"/>
                </w:tcPr>
                <w:p>
                  <w:pPr>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vAlign w:val="center"/>
                </w:tcPr>
                <w:p>
                  <w:pPr>
                    <w:jc w:val="center"/>
                  </w:pPr>
                  <w:r>
                    <w:rPr>
                      <w:rFonts w:hint="eastAsia"/>
                    </w:rPr>
                    <w:t>4</w:t>
                  </w:r>
                </w:p>
              </w:tc>
              <w:tc>
                <w:tcPr>
                  <w:tcW w:w="3135" w:type="dxa"/>
                  <w:vAlign w:val="center"/>
                </w:tcPr>
                <w:p>
                  <w:pPr>
                    <w:jc w:val="left"/>
                  </w:pPr>
                  <w:r>
                    <w:rPr>
                      <w:rFonts w:hint="eastAsia"/>
                    </w:rPr>
                    <w:t>出场的运输车辆必须覆盖严实。</w:t>
                  </w:r>
                </w:p>
                <w:p>
                  <w:pPr>
                    <w:jc w:val="left"/>
                  </w:pPr>
                  <w:r>
                    <w:rPr>
                      <w:rFonts w:hint="eastAsia"/>
                    </w:rPr>
                    <w:t>进出场的运输车辆必须清扫干净。</w:t>
                  </w:r>
                </w:p>
                <w:p>
                  <w:pPr>
                    <w:jc w:val="left"/>
                  </w:pPr>
                  <w:r>
                    <w:rPr>
                      <w:rFonts w:hint="eastAsia"/>
                    </w:rPr>
                    <w:t>对于进出场的运输车辆必须设置洗车台。</w:t>
                  </w:r>
                </w:p>
                <w:p>
                  <w:pPr>
                    <w:jc w:val="left"/>
                  </w:pPr>
                  <w:r>
                    <w:rPr>
                      <w:rFonts w:hint="eastAsia"/>
                    </w:rPr>
                    <w:t>未安装洗车台的应按照上述规定安装；已有洗车台不符合标准的，应进行改造。</w:t>
                  </w:r>
                </w:p>
              </w:tc>
              <w:tc>
                <w:tcPr>
                  <w:tcW w:w="2325" w:type="dxa"/>
                  <w:vAlign w:val="center"/>
                </w:tcPr>
                <w:p>
                  <w:pPr>
                    <w:jc w:val="left"/>
                  </w:pPr>
                  <w:r>
                    <w:rPr>
                      <w:rFonts w:hint="eastAsia"/>
                    </w:rPr>
                    <w:t>本项目设置洗车台，运输车辆覆盖严实并清扫干净。</w:t>
                  </w:r>
                </w:p>
              </w:tc>
              <w:tc>
                <w:tcPr>
                  <w:tcW w:w="2322" w:type="dxa"/>
                  <w:vAlign w:val="center"/>
                </w:tcPr>
                <w:p>
                  <w:pPr>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vAlign w:val="center"/>
                </w:tcPr>
                <w:p>
                  <w:pPr>
                    <w:jc w:val="center"/>
                  </w:pPr>
                  <w:r>
                    <w:rPr>
                      <w:rFonts w:hint="eastAsia"/>
                    </w:rPr>
                    <w:t>5</w:t>
                  </w:r>
                </w:p>
              </w:tc>
              <w:tc>
                <w:tcPr>
                  <w:tcW w:w="3135" w:type="dxa"/>
                  <w:vAlign w:val="center"/>
                </w:tcPr>
                <w:p>
                  <w:pPr>
                    <w:jc w:val="left"/>
                  </w:pPr>
                  <w:r>
                    <w:rPr>
                      <w:rFonts w:hint="eastAsia"/>
                    </w:rPr>
                    <w:t>矿产品运输道路必须全部硬化。</w:t>
                  </w:r>
                </w:p>
                <w:p>
                  <w:pPr>
                    <w:jc w:val="left"/>
                  </w:pPr>
                  <w:r>
                    <w:rPr>
                      <w:rFonts w:hint="eastAsia"/>
                    </w:rPr>
                    <w:t>道路每天清扫不得少于 2 次，洒水不得少于 4 次，恶劣天气时要加大清扫、洒水频率，以不产生扬尘为目标。</w:t>
                  </w:r>
                </w:p>
                <w:p>
                  <w:pPr>
                    <w:jc w:val="left"/>
                  </w:pPr>
                  <w:r>
                    <w:rPr>
                      <w:rFonts w:hint="eastAsia"/>
                    </w:rPr>
                    <w:t>必须配备清扫设施、洒水车或喷洒两用车。建立专职或兼职保洁队伍。</w:t>
                  </w:r>
                </w:p>
                <w:p>
                  <w:pPr>
                    <w:jc w:val="left"/>
                  </w:pPr>
                </w:p>
              </w:tc>
              <w:tc>
                <w:tcPr>
                  <w:tcW w:w="2325" w:type="dxa"/>
                  <w:vAlign w:val="center"/>
                </w:tcPr>
                <w:p>
                  <w:pPr>
                    <w:jc w:val="left"/>
                  </w:pPr>
                  <w:r>
                    <w:rPr>
                      <w:rFonts w:hint="eastAsia"/>
                    </w:rPr>
                    <w:t>本项目道路硬化，每天道路定期打扫2次，洒水4次。</w:t>
                  </w:r>
                </w:p>
              </w:tc>
              <w:tc>
                <w:tcPr>
                  <w:tcW w:w="2322" w:type="dxa"/>
                  <w:vAlign w:val="center"/>
                </w:tcPr>
                <w:p>
                  <w:pPr>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vAlign w:val="center"/>
                </w:tcPr>
                <w:p>
                  <w:pPr>
                    <w:jc w:val="center"/>
                  </w:pPr>
                  <w:r>
                    <w:rPr>
                      <w:rFonts w:hint="eastAsia"/>
                    </w:rPr>
                    <w:t>6</w:t>
                  </w:r>
                </w:p>
              </w:tc>
              <w:tc>
                <w:tcPr>
                  <w:tcW w:w="3135" w:type="dxa"/>
                  <w:vAlign w:val="center"/>
                </w:tcPr>
                <w:p>
                  <w:pPr>
                    <w:jc w:val="left"/>
                  </w:pPr>
                  <w:r>
                    <w:rPr>
                      <w:rFonts w:hint="eastAsia"/>
                    </w:rPr>
                    <w:t>厂区内部裸露土地和周围必须种植适应当地自然条件、经济合理、节水耐旱、可满足吸尘和减弱风速的树种，增加防尘效果。</w:t>
                  </w:r>
                </w:p>
              </w:tc>
              <w:tc>
                <w:tcPr>
                  <w:tcW w:w="2325" w:type="dxa"/>
                  <w:vAlign w:val="center"/>
                </w:tcPr>
                <w:p>
                  <w:pPr>
                    <w:jc w:val="left"/>
                  </w:pPr>
                  <w:r>
                    <w:rPr>
                      <w:rFonts w:hint="eastAsia"/>
                    </w:rPr>
                    <w:t>本项目绿化面积符合要求</w:t>
                  </w:r>
                </w:p>
              </w:tc>
              <w:tc>
                <w:tcPr>
                  <w:tcW w:w="2322" w:type="dxa"/>
                  <w:vAlign w:val="center"/>
                </w:tcPr>
                <w:p>
                  <w:pPr>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06" w:type="dxa"/>
                  <w:vAlign w:val="center"/>
                </w:tcPr>
                <w:p>
                  <w:pPr>
                    <w:jc w:val="center"/>
                  </w:pPr>
                  <w:r>
                    <w:rPr>
                      <w:rFonts w:hint="eastAsia"/>
                    </w:rPr>
                    <w:t>7</w:t>
                  </w:r>
                </w:p>
              </w:tc>
              <w:tc>
                <w:tcPr>
                  <w:tcW w:w="3135" w:type="dxa"/>
                  <w:vAlign w:val="center"/>
                </w:tcPr>
                <w:p>
                  <w:pPr>
                    <w:jc w:val="left"/>
                  </w:pPr>
                  <w:r>
                    <w:rPr>
                      <w:rFonts w:hint="eastAsia"/>
                    </w:rPr>
                    <w:t>矿山企业必须安装“地上矿山远程视频监控”系统，做到全覆盖、无盲区、24 小时全时段监控，监控范围包括采面、加工、储存、矿界、道路等地方。</w:t>
                  </w:r>
                </w:p>
                <w:p>
                  <w:pPr>
                    <w:jc w:val="left"/>
                  </w:pPr>
                  <w:r>
                    <w:rPr>
                      <w:rFonts w:hint="eastAsia"/>
                    </w:rPr>
                    <w:t>摄像头要采用分辨率高、质量好并具备防水、防尘等功能的高清红外线摄像头，保证图像清晰。安装硬盘录象机用于存储图像，保证存储时间至少 1—2 个月。</w:t>
                  </w:r>
                </w:p>
                <w:p>
                  <w:pPr>
                    <w:jc w:val="left"/>
                  </w:pPr>
                  <w:r>
                    <w:rPr>
                      <w:rFonts w:hint="eastAsia"/>
                    </w:rPr>
                    <w:t>安装矿山空气质量监测设备，能够监测上传矿山空气质量信息。</w:t>
                  </w:r>
                </w:p>
                <w:p>
                  <w:pPr>
                    <w:jc w:val="left"/>
                  </w:pPr>
                  <w:r>
                    <w:rPr>
                      <w:rFonts w:hint="eastAsia"/>
                    </w:rPr>
                    <w:t>加强监控数据的使用维护，不得影响对矿区重点区域的实时监控和有关信息、产量数据的调取，不得出现人为损毁现象，确保视频监控和空气质量监测设备的正常运行。</w:t>
                  </w:r>
                </w:p>
              </w:tc>
              <w:tc>
                <w:tcPr>
                  <w:tcW w:w="2325" w:type="dxa"/>
                  <w:vAlign w:val="center"/>
                </w:tcPr>
                <w:p>
                  <w:pPr>
                    <w:jc w:val="left"/>
                  </w:pPr>
                  <w:r>
                    <w:rPr>
                      <w:rFonts w:hint="eastAsia"/>
                    </w:rPr>
                    <w:t>本项目监控系统符合要求</w:t>
                  </w:r>
                </w:p>
              </w:tc>
              <w:tc>
                <w:tcPr>
                  <w:tcW w:w="2322" w:type="dxa"/>
                  <w:vAlign w:val="center"/>
                </w:tcPr>
                <w:p>
                  <w:pPr>
                    <w:jc w:val="cente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vAlign w:val="center"/>
                </w:tcPr>
                <w:p>
                  <w:pPr>
                    <w:jc w:val="center"/>
                  </w:pPr>
                  <w:r>
                    <w:rPr>
                      <w:rFonts w:hint="eastAsia"/>
                    </w:rPr>
                    <w:t>8</w:t>
                  </w:r>
                </w:p>
              </w:tc>
              <w:tc>
                <w:tcPr>
                  <w:tcW w:w="3135" w:type="dxa"/>
                  <w:vAlign w:val="center"/>
                </w:tcPr>
                <w:p>
                  <w:pPr>
                    <w:jc w:val="left"/>
                  </w:pPr>
                  <w:r>
                    <w:rPr>
                      <w:rFonts w:hint="eastAsia"/>
                    </w:rPr>
                    <w:t>矿区内必须安装 PM10 监控设施，并与主管部门联网，实现对扬尘污染源的实时监控。</w:t>
                  </w:r>
                </w:p>
                <w:p>
                  <w:pPr>
                    <w:jc w:val="left"/>
                  </w:pPr>
                  <w:r>
                    <w:rPr>
                      <w:rFonts w:hint="eastAsia"/>
                    </w:rPr>
                    <w:t>监测点位的设置应按照《环境空气质量监测规范（试行）》中的要求执行。</w:t>
                  </w:r>
                </w:p>
                <w:p>
                  <w:pPr>
                    <w:jc w:val="left"/>
                  </w:pPr>
                  <w:r>
                    <w:rPr>
                      <w:rFonts w:hint="eastAsia"/>
                    </w:rPr>
                    <w:t>监测的采样环境、采样高度及采样频率等应满足 HJ 655-2013 的要求；</w:t>
                  </w:r>
                </w:p>
                <w:p>
                  <w:pPr>
                    <w:jc w:val="left"/>
                  </w:pPr>
                  <w:r>
                    <w:rPr>
                      <w:rFonts w:hint="eastAsia"/>
                    </w:rPr>
                    <w:t>分析方法应准确可靠，能够保证 24 小时实时监测矿区PM10的浓度。开展 PM10微站监测试点，试点安装率不低于 30%。</w:t>
                  </w:r>
                </w:p>
                <w:p>
                  <w:pPr>
                    <w:jc w:val="left"/>
                  </w:pPr>
                  <w:r>
                    <w:rPr>
                      <w:rFonts w:hint="eastAsia"/>
                    </w:rPr>
                    <w:t>应保证监测数据的准确性、续性和完整性，不得人为干预监测和评价结果。</w:t>
                  </w:r>
                </w:p>
              </w:tc>
              <w:tc>
                <w:tcPr>
                  <w:tcW w:w="2325" w:type="dxa"/>
                  <w:vAlign w:val="center"/>
                </w:tcPr>
                <w:p>
                  <w:pPr>
                    <w:jc w:val="left"/>
                  </w:pPr>
                  <w:r>
                    <w:rPr>
                      <w:rFonts w:hint="eastAsia"/>
                    </w:rPr>
                    <w:t>本项目污染源监控符合要求</w:t>
                  </w:r>
                </w:p>
              </w:tc>
              <w:tc>
                <w:tcPr>
                  <w:tcW w:w="2322" w:type="dxa"/>
                  <w:vAlign w:val="center"/>
                </w:tcPr>
                <w:p>
                  <w:pPr>
                    <w:jc w:val="center"/>
                  </w:pPr>
                  <w:r>
                    <w:rPr>
                      <w:rFonts w:hint="eastAsia"/>
                    </w:rPr>
                    <w:t>符合</w:t>
                  </w:r>
                </w:p>
              </w:tc>
            </w:tr>
          </w:tbl>
          <w:p>
            <w:pPr>
              <w:pStyle w:val="3"/>
              <w:spacing w:before="0" w:after="0" w:line="360" w:lineRule="auto"/>
              <w:ind w:firstLine="480" w:firstLineChars="200"/>
              <w:outlineLvl w:val="2"/>
              <w:rPr>
                <w:rFonts w:eastAsia="新宋体"/>
                <w:b w:val="0"/>
                <w:sz w:val="24"/>
                <w:szCs w:val="24"/>
              </w:rPr>
            </w:pPr>
            <w:r>
              <w:rPr>
                <w:rFonts w:hint="eastAsia" w:eastAsia="新宋体"/>
                <w:b w:val="0"/>
                <w:sz w:val="24"/>
                <w:szCs w:val="24"/>
              </w:rPr>
              <w:t>7</w:t>
            </w:r>
            <w:r>
              <w:rPr>
                <w:rFonts w:eastAsia="新宋体"/>
                <w:b w:val="0"/>
                <w:sz w:val="24"/>
                <w:szCs w:val="24"/>
              </w:rPr>
              <w:t>、项目与南水北调工程的关系</w:t>
            </w:r>
          </w:p>
          <w:p>
            <w:pPr>
              <w:spacing w:line="360" w:lineRule="auto"/>
              <w:ind w:firstLine="480" w:firstLineChars="200"/>
              <w:rPr>
                <w:b/>
                <w:sz w:val="24"/>
              </w:rPr>
            </w:pPr>
            <w:r>
              <w:rPr>
                <w:rFonts w:eastAsia="新宋体"/>
                <w:sz w:val="24"/>
              </w:rPr>
              <w:t>项目所在地属于山东省南水北调一般保护区内。项目运营期产生的</w:t>
            </w:r>
            <w:r>
              <w:rPr>
                <w:rFonts w:eastAsia="新宋体"/>
                <w:kern w:val="0"/>
                <w:sz w:val="24"/>
              </w:rPr>
              <w:t>生活污水经</w:t>
            </w:r>
            <w:r>
              <w:rPr>
                <w:rFonts w:hint="eastAsia" w:eastAsia="新宋体"/>
                <w:kern w:val="0"/>
                <w:sz w:val="24"/>
              </w:rPr>
              <w:t>化粪池收集后委托环卫部门清运</w:t>
            </w:r>
            <w:r>
              <w:rPr>
                <w:rFonts w:eastAsia="新宋体"/>
                <w:kern w:val="0"/>
                <w:sz w:val="24"/>
              </w:rPr>
              <w:t>，</w:t>
            </w:r>
            <w:r>
              <w:rPr>
                <w:rFonts w:eastAsia="新宋体"/>
                <w:snapToGrid w:val="0"/>
                <w:sz w:val="24"/>
              </w:rPr>
              <w:t>不外排。</w:t>
            </w:r>
            <w:r>
              <w:rPr>
                <w:rFonts w:eastAsia="新宋体"/>
                <w:sz w:val="24"/>
              </w:rPr>
              <w:t>因此，项目对南水北调工程影响较小。</w:t>
            </w:r>
          </w:p>
          <w:p>
            <w:pPr>
              <w:spacing w:line="360" w:lineRule="auto"/>
              <w:ind w:firstLine="481" w:firstLineChars="200"/>
              <w:rPr>
                <w:b/>
                <w:sz w:val="24"/>
              </w:rPr>
            </w:pPr>
            <w:r>
              <w:rPr>
                <w:rFonts w:hint="eastAsia"/>
                <w:b/>
                <w:sz w:val="24"/>
              </w:rPr>
              <w:t>十</w:t>
            </w:r>
            <w:r>
              <w:rPr>
                <w:b/>
                <w:sz w:val="24"/>
              </w:rPr>
              <w:t xml:space="preserve">、经济技术指标及工作制度 </w:t>
            </w:r>
          </w:p>
          <w:p>
            <w:pPr>
              <w:spacing w:line="360" w:lineRule="auto"/>
              <w:ind w:firstLine="480" w:firstLineChars="200"/>
              <w:rPr>
                <w:sz w:val="24"/>
              </w:rPr>
            </w:pPr>
            <w:r>
              <w:rPr>
                <w:sz w:val="24"/>
              </w:rPr>
              <w:t>本项目</w:t>
            </w:r>
            <w:r>
              <w:rPr>
                <w:rFonts w:hint="eastAsia"/>
                <w:sz w:val="24"/>
              </w:rPr>
              <w:t>主要经济技术指标见下表：</w:t>
            </w:r>
          </w:p>
          <w:p>
            <w:pPr>
              <w:spacing w:line="360" w:lineRule="auto"/>
              <w:jc w:val="center"/>
              <w:rPr>
                <w:b/>
                <w:sz w:val="24"/>
              </w:rPr>
            </w:pPr>
            <w:r>
              <w:rPr>
                <w:rFonts w:hint="eastAsia"/>
                <w:b/>
                <w:sz w:val="24"/>
              </w:rPr>
              <w:t>表1-8  项目主要技术经济指标</w:t>
            </w:r>
          </w:p>
          <w:tbl>
            <w:tblPr>
              <w:tblStyle w:val="1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3242"/>
              <w:gridCol w:w="1328"/>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dxa"/>
                  <w:vAlign w:val="center"/>
                </w:tcPr>
                <w:p>
                  <w:pPr>
                    <w:pStyle w:val="23"/>
                    <w:widowControl w:val="0"/>
                    <w:pBdr>
                      <w:left w:val="none" w:color="auto" w:sz="0" w:space="0"/>
                      <w:bottom w:val="none" w:color="auto" w:sz="0" w:space="0"/>
                      <w:right w:val="none" w:color="auto" w:sz="0" w:space="0"/>
                    </w:pBdr>
                    <w:tabs>
                      <w:tab w:val="left" w:pos="1440"/>
                    </w:tabs>
                    <w:spacing w:before="0" w:beforeAutospacing="0" w:after="0" w:afterAutospacing="0"/>
                    <w:textAlignment w:val="auto"/>
                    <w:rPr>
                      <w:rFonts w:ascii="Times New Roman" w:hAnsi="Times New Roman" w:eastAsia="宋体"/>
                      <w:kern w:val="2"/>
                      <w:sz w:val="21"/>
                      <w:szCs w:val="21"/>
                    </w:rPr>
                  </w:pPr>
                  <w:r>
                    <w:rPr>
                      <w:rFonts w:ascii="Times New Roman" w:hAnsi="Times New Roman" w:eastAsia="宋体"/>
                      <w:kern w:val="2"/>
                      <w:sz w:val="21"/>
                      <w:szCs w:val="21"/>
                    </w:rPr>
                    <w:t>序 号</w:t>
                  </w:r>
                </w:p>
              </w:tc>
              <w:tc>
                <w:tcPr>
                  <w:tcW w:w="3242" w:type="dxa"/>
                  <w:vAlign w:val="center"/>
                </w:tcPr>
                <w:p>
                  <w:pPr>
                    <w:tabs>
                      <w:tab w:val="left" w:pos="1440"/>
                    </w:tabs>
                    <w:jc w:val="center"/>
                    <w:rPr>
                      <w:szCs w:val="21"/>
                    </w:rPr>
                  </w:pPr>
                  <w:r>
                    <w:rPr>
                      <w:szCs w:val="21"/>
                    </w:rPr>
                    <w:t>指标名称</w:t>
                  </w:r>
                </w:p>
              </w:tc>
              <w:tc>
                <w:tcPr>
                  <w:tcW w:w="1328" w:type="dxa"/>
                  <w:vAlign w:val="center"/>
                </w:tcPr>
                <w:p>
                  <w:pPr>
                    <w:tabs>
                      <w:tab w:val="left" w:pos="1440"/>
                    </w:tabs>
                    <w:jc w:val="center"/>
                    <w:rPr>
                      <w:szCs w:val="21"/>
                    </w:rPr>
                  </w:pPr>
                  <w:r>
                    <w:rPr>
                      <w:szCs w:val="21"/>
                    </w:rPr>
                    <w:t>单 位</w:t>
                  </w:r>
                </w:p>
              </w:tc>
              <w:tc>
                <w:tcPr>
                  <w:tcW w:w="2918" w:type="dxa"/>
                  <w:vAlign w:val="center"/>
                </w:tcPr>
                <w:p>
                  <w:pPr>
                    <w:tabs>
                      <w:tab w:val="left" w:pos="1440"/>
                    </w:tabs>
                    <w:jc w:val="center"/>
                    <w:rPr>
                      <w:szCs w:val="21"/>
                    </w:rPr>
                  </w:pPr>
                  <w:r>
                    <w:rPr>
                      <w:szCs w:val="21"/>
                    </w:rPr>
                    <w:t>数 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dxa"/>
                  <w:vAlign w:val="center"/>
                </w:tcPr>
                <w:p>
                  <w:pPr>
                    <w:pStyle w:val="23"/>
                    <w:widowControl w:val="0"/>
                    <w:pBdr>
                      <w:left w:val="none" w:color="auto" w:sz="0" w:space="0"/>
                      <w:bottom w:val="none" w:color="auto" w:sz="0" w:space="0"/>
                      <w:right w:val="none" w:color="auto" w:sz="0" w:space="0"/>
                    </w:pBdr>
                    <w:tabs>
                      <w:tab w:val="left" w:pos="1440"/>
                    </w:tabs>
                    <w:spacing w:before="0" w:beforeAutospacing="0" w:after="0" w:afterAutospacing="0"/>
                    <w:textAlignment w:val="auto"/>
                    <w:rPr>
                      <w:rFonts w:ascii="Times New Roman" w:hAnsi="Times New Roman" w:eastAsia="宋体"/>
                      <w:kern w:val="2"/>
                      <w:sz w:val="21"/>
                      <w:szCs w:val="21"/>
                    </w:rPr>
                  </w:pPr>
                  <w:r>
                    <w:rPr>
                      <w:rFonts w:hint="eastAsia" w:ascii="Times New Roman" w:hAnsi="Times New Roman" w:eastAsia="宋体"/>
                      <w:kern w:val="2"/>
                      <w:sz w:val="21"/>
                      <w:szCs w:val="21"/>
                    </w:rPr>
                    <w:t>一</w:t>
                  </w:r>
                </w:p>
              </w:tc>
              <w:tc>
                <w:tcPr>
                  <w:tcW w:w="3242" w:type="dxa"/>
                  <w:vAlign w:val="center"/>
                </w:tcPr>
                <w:p>
                  <w:pPr>
                    <w:tabs>
                      <w:tab w:val="left" w:pos="1440"/>
                    </w:tabs>
                    <w:jc w:val="center"/>
                    <w:rPr>
                      <w:szCs w:val="21"/>
                    </w:rPr>
                  </w:pPr>
                  <w:r>
                    <w:rPr>
                      <w:szCs w:val="21"/>
                    </w:rPr>
                    <w:t>矿区范围内资源储量</w:t>
                  </w:r>
                </w:p>
              </w:tc>
              <w:tc>
                <w:tcPr>
                  <w:tcW w:w="1328" w:type="dxa"/>
                  <w:vAlign w:val="center"/>
                </w:tcPr>
                <w:p>
                  <w:pPr>
                    <w:tabs>
                      <w:tab w:val="left" w:pos="1440"/>
                    </w:tabs>
                    <w:jc w:val="center"/>
                    <w:rPr>
                      <w:szCs w:val="21"/>
                    </w:rPr>
                  </w:pPr>
                </w:p>
              </w:tc>
              <w:tc>
                <w:tcPr>
                  <w:tcW w:w="2918" w:type="dxa"/>
                  <w:vAlign w:val="center"/>
                </w:tcPr>
                <w:p>
                  <w:pPr>
                    <w:tabs>
                      <w:tab w:val="left" w:pos="1440"/>
                    </w:tabs>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dxa"/>
                  <w:vAlign w:val="center"/>
                </w:tcPr>
                <w:p>
                  <w:pPr>
                    <w:tabs>
                      <w:tab w:val="left" w:pos="1440"/>
                    </w:tabs>
                    <w:jc w:val="center"/>
                    <w:rPr>
                      <w:szCs w:val="21"/>
                    </w:rPr>
                  </w:pPr>
                  <w:r>
                    <w:rPr>
                      <w:szCs w:val="21"/>
                    </w:rPr>
                    <w:t>1</w:t>
                  </w:r>
                </w:p>
              </w:tc>
              <w:tc>
                <w:tcPr>
                  <w:tcW w:w="3242" w:type="dxa"/>
                  <w:vAlign w:val="center"/>
                </w:tcPr>
                <w:p>
                  <w:pPr>
                    <w:tabs>
                      <w:tab w:val="left" w:pos="1440"/>
                    </w:tabs>
                    <w:jc w:val="center"/>
                    <w:rPr>
                      <w:szCs w:val="21"/>
                    </w:rPr>
                  </w:pPr>
                  <w:r>
                    <w:rPr>
                      <w:szCs w:val="21"/>
                    </w:rPr>
                    <w:t>矿石（122b）</w:t>
                  </w:r>
                </w:p>
              </w:tc>
              <w:tc>
                <w:tcPr>
                  <w:tcW w:w="1328" w:type="dxa"/>
                  <w:vAlign w:val="center"/>
                </w:tcPr>
                <w:p>
                  <w:pPr>
                    <w:tabs>
                      <w:tab w:val="left" w:pos="1440"/>
                    </w:tabs>
                    <w:jc w:val="center"/>
                    <w:rPr>
                      <w:szCs w:val="21"/>
                    </w:rPr>
                  </w:pPr>
                  <w:r>
                    <w:rPr>
                      <w:szCs w:val="21"/>
                    </w:rPr>
                    <w:t>万m</w:t>
                  </w:r>
                  <w:r>
                    <w:rPr>
                      <w:szCs w:val="21"/>
                      <w:vertAlign w:val="superscript"/>
                    </w:rPr>
                    <w:t>3</w:t>
                  </w:r>
                </w:p>
              </w:tc>
              <w:tc>
                <w:tcPr>
                  <w:tcW w:w="2918" w:type="dxa"/>
                  <w:vAlign w:val="center"/>
                </w:tcPr>
                <w:p>
                  <w:pPr>
                    <w:tabs>
                      <w:tab w:val="left" w:pos="1440"/>
                    </w:tabs>
                    <w:jc w:val="center"/>
                    <w:rPr>
                      <w:szCs w:val="21"/>
                    </w:rPr>
                  </w:pPr>
                  <w:r>
                    <w:rPr>
                      <w:szCs w:val="21"/>
                    </w:rPr>
                    <w:t>99</w:t>
                  </w:r>
                  <w:r>
                    <w:rPr>
                      <w:rFonts w:hint="eastAsia"/>
                      <w:szCs w:val="21"/>
                    </w:rPr>
                    <w:t>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17" w:type="dxa"/>
                  <w:vAlign w:val="center"/>
                </w:tcPr>
                <w:p>
                  <w:pPr>
                    <w:tabs>
                      <w:tab w:val="left" w:pos="1440"/>
                    </w:tabs>
                    <w:jc w:val="center"/>
                    <w:rPr>
                      <w:szCs w:val="21"/>
                    </w:rPr>
                  </w:pPr>
                  <w:r>
                    <w:rPr>
                      <w:szCs w:val="21"/>
                    </w:rPr>
                    <w:t>二</w:t>
                  </w:r>
                </w:p>
              </w:tc>
              <w:tc>
                <w:tcPr>
                  <w:tcW w:w="3242" w:type="dxa"/>
                  <w:vAlign w:val="center"/>
                </w:tcPr>
                <w:p>
                  <w:pPr>
                    <w:tabs>
                      <w:tab w:val="left" w:pos="1440"/>
                    </w:tabs>
                    <w:jc w:val="center"/>
                    <w:rPr>
                      <w:szCs w:val="21"/>
                    </w:rPr>
                  </w:pPr>
                  <w:r>
                    <w:rPr>
                      <w:szCs w:val="21"/>
                    </w:rPr>
                    <w:t>设计开采储量</w:t>
                  </w:r>
                </w:p>
              </w:tc>
              <w:tc>
                <w:tcPr>
                  <w:tcW w:w="1328" w:type="dxa"/>
                  <w:vAlign w:val="center"/>
                </w:tcPr>
                <w:p>
                  <w:pPr>
                    <w:tabs>
                      <w:tab w:val="left" w:pos="1440"/>
                    </w:tabs>
                    <w:jc w:val="center"/>
                    <w:rPr>
                      <w:szCs w:val="21"/>
                    </w:rPr>
                  </w:pPr>
                </w:p>
              </w:tc>
              <w:tc>
                <w:tcPr>
                  <w:tcW w:w="2918" w:type="dxa"/>
                  <w:vAlign w:val="center"/>
                </w:tcPr>
                <w:p>
                  <w:pPr>
                    <w:tabs>
                      <w:tab w:val="left" w:pos="1440"/>
                    </w:tabs>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dxa"/>
                  <w:vAlign w:val="center"/>
                </w:tcPr>
                <w:p>
                  <w:pPr>
                    <w:tabs>
                      <w:tab w:val="left" w:pos="1440"/>
                    </w:tabs>
                    <w:jc w:val="center"/>
                    <w:rPr>
                      <w:szCs w:val="21"/>
                    </w:rPr>
                  </w:pPr>
                  <w:r>
                    <w:rPr>
                      <w:szCs w:val="21"/>
                    </w:rPr>
                    <w:t>1</w:t>
                  </w:r>
                </w:p>
              </w:tc>
              <w:tc>
                <w:tcPr>
                  <w:tcW w:w="3242" w:type="dxa"/>
                  <w:vAlign w:val="center"/>
                </w:tcPr>
                <w:p>
                  <w:pPr>
                    <w:tabs>
                      <w:tab w:val="left" w:pos="1440"/>
                    </w:tabs>
                    <w:jc w:val="center"/>
                    <w:rPr>
                      <w:szCs w:val="21"/>
                    </w:rPr>
                  </w:pPr>
                  <w:r>
                    <w:rPr>
                      <w:szCs w:val="21"/>
                    </w:rPr>
                    <w:t>设计可利用资源量</w:t>
                  </w:r>
                </w:p>
              </w:tc>
              <w:tc>
                <w:tcPr>
                  <w:tcW w:w="1328" w:type="dxa"/>
                  <w:vAlign w:val="center"/>
                </w:tcPr>
                <w:p>
                  <w:pPr>
                    <w:tabs>
                      <w:tab w:val="left" w:pos="1440"/>
                    </w:tabs>
                    <w:jc w:val="center"/>
                    <w:rPr>
                      <w:szCs w:val="21"/>
                    </w:rPr>
                  </w:pPr>
                  <w:r>
                    <w:rPr>
                      <w:szCs w:val="21"/>
                    </w:rPr>
                    <w:t>万m</w:t>
                  </w:r>
                  <w:r>
                    <w:rPr>
                      <w:szCs w:val="21"/>
                      <w:vertAlign w:val="superscript"/>
                    </w:rPr>
                    <w:t>3</w:t>
                  </w:r>
                </w:p>
              </w:tc>
              <w:tc>
                <w:tcPr>
                  <w:tcW w:w="2918" w:type="dxa"/>
                  <w:vAlign w:val="center"/>
                </w:tcPr>
                <w:p>
                  <w:pPr>
                    <w:tabs>
                      <w:tab w:val="left" w:pos="1440"/>
                    </w:tabs>
                    <w:jc w:val="center"/>
                    <w:rPr>
                      <w:kern w:val="0"/>
                      <w:szCs w:val="21"/>
                    </w:rPr>
                  </w:pPr>
                  <w:r>
                    <w:rPr>
                      <w:rFonts w:hint="eastAsia"/>
                      <w:kern w:val="0"/>
                      <w:szCs w:val="21"/>
                    </w:rPr>
                    <w:t>872.64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dxa"/>
                  <w:vAlign w:val="center"/>
                </w:tcPr>
                <w:p>
                  <w:pPr>
                    <w:tabs>
                      <w:tab w:val="left" w:pos="1440"/>
                    </w:tabs>
                    <w:jc w:val="center"/>
                    <w:rPr>
                      <w:szCs w:val="21"/>
                    </w:rPr>
                  </w:pPr>
                  <w:r>
                    <w:rPr>
                      <w:szCs w:val="21"/>
                    </w:rPr>
                    <w:t>2</w:t>
                  </w:r>
                </w:p>
              </w:tc>
              <w:tc>
                <w:tcPr>
                  <w:tcW w:w="3242" w:type="dxa"/>
                  <w:vAlign w:val="center"/>
                </w:tcPr>
                <w:p>
                  <w:pPr>
                    <w:tabs>
                      <w:tab w:val="left" w:pos="1440"/>
                    </w:tabs>
                    <w:jc w:val="center"/>
                    <w:rPr>
                      <w:szCs w:val="21"/>
                    </w:rPr>
                  </w:pPr>
                  <w:r>
                    <w:rPr>
                      <w:szCs w:val="21"/>
                    </w:rPr>
                    <w:t>采出资源量</w:t>
                  </w:r>
                </w:p>
              </w:tc>
              <w:tc>
                <w:tcPr>
                  <w:tcW w:w="1328" w:type="dxa"/>
                  <w:vAlign w:val="center"/>
                </w:tcPr>
                <w:p>
                  <w:pPr>
                    <w:tabs>
                      <w:tab w:val="left" w:pos="1440"/>
                    </w:tabs>
                    <w:jc w:val="center"/>
                    <w:rPr>
                      <w:szCs w:val="21"/>
                    </w:rPr>
                  </w:pPr>
                  <w:r>
                    <w:rPr>
                      <w:szCs w:val="21"/>
                    </w:rPr>
                    <w:t>万m</w:t>
                  </w:r>
                  <w:r>
                    <w:rPr>
                      <w:szCs w:val="21"/>
                      <w:vertAlign w:val="superscript"/>
                    </w:rPr>
                    <w:t>3</w:t>
                  </w:r>
                </w:p>
              </w:tc>
              <w:tc>
                <w:tcPr>
                  <w:tcW w:w="2918" w:type="dxa"/>
                  <w:vAlign w:val="center"/>
                </w:tcPr>
                <w:p>
                  <w:pPr>
                    <w:tabs>
                      <w:tab w:val="left" w:pos="1440"/>
                    </w:tabs>
                    <w:jc w:val="center"/>
                    <w:rPr>
                      <w:kern w:val="0"/>
                      <w:szCs w:val="21"/>
                    </w:rPr>
                  </w:pPr>
                  <w:r>
                    <w:rPr>
                      <w:rFonts w:hint="eastAsia"/>
                      <w:kern w:val="0"/>
                      <w:szCs w:val="21"/>
                    </w:rPr>
                    <w:t>855.1872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dxa"/>
                  <w:vAlign w:val="center"/>
                </w:tcPr>
                <w:p>
                  <w:pPr>
                    <w:tabs>
                      <w:tab w:val="left" w:pos="1440"/>
                    </w:tabs>
                    <w:jc w:val="center"/>
                    <w:rPr>
                      <w:szCs w:val="21"/>
                    </w:rPr>
                  </w:pPr>
                  <w:r>
                    <w:rPr>
                      <w:szCs w:val="21"/>
                    </w:rPr>
                    <w:t>三</w:t>
                  </w:r>
                </w:p>
              </w:tc>
              <w:tc>
                <w:tcPr>
                  <w:tcW w:w="3242" w:type="dxa"/>
                  <w:vAlign w:val="center"/>
                </w:tcPr>
                <w:p>
                  <w:pPr>
                    <w:tabs>
                      <w:tab w:val="left" w:pos="1440"/>
                    </w:tabs>
                    <w:jc w:val="center"/>
                    <w:rPr>
                      <w:szCs w:val="21"/>
                    </w:rPr>
                  </w:pPr>
                  <w:r>
                    <w:rPr>
                      <w:szCs w:val="21"/>
                    </w:rPr>
                    <w:t>开采境界</w:t>
                  </w:r>
                </w:p>
              </w:tc>
              <w:tc>
                <w:tcPr>
                  <w:tcW w:w="1328" w:type="dxa"/>
                  <w:vAlign w:val="center"/>
                </w:tcPr>
                <w:p>
                  <w:pPr>
                    <w:tabs>
                      <w:tab w:val="left" w:pos="1440"/>
                    </w:tabs>
                    <w:jc w:val="center"/>
                    <w:rPr>
                      <w:szCs w:val="21"/>
                    </w:rPr>
                  </w:pPr>
                </w:p>
              </w:tc>
              <w:tc>
                <w:tcPr>
                  <w:tcW w:w="2918" w:type="dxa"/>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17" w:type="dxa"/>
                  <w:vAlign w:val="center"/>
                </w:tcPr>
                <w:p>
                  <w:pPr>
                    <w:tabs>
                      <w:tab w:val="left" w:pos="1440"/>
                    </w:tabs>
                    <w:jc w:val="center"/>
                    <w:rPr>
                      <w:szCs w:val="21"/>
                    </w:rPr>
                  </w:pPr>
                  <w:r>
                    <w:rPr>
                      <w:szCs w:val="21"/>
                    </w:rPr>
                    <w:t>1</w:t>
                  </w:r>
                </w:p>
              </w:tc>
              <w:tc>
                <w:tcPr>
                  <w:tcW w:w="3242" w:type="dxa"/>
                  <w:vAlign w:val="center"/>
                </w:tcPr>
                <w:p>
                  <w:pPr>
                    <w:tabs>
                      <w:tab w:val="left" w:pos="1440"/>
                    </w:tabs>
                    <w:jc w:val="center"/>
                    <w:rPr>
                      <w:szCs w:val="21"/>
                    </w:rPr>
                  </w:pPr>
                  <w:r>
                    <w:rPr>
                      <w:szCs w:val="21"/>
                    </w:rPr>
                    <w:t>境界最高标高</w:t>
                  </w:r>
                </w:p>
              </w:tc>
              <w:tc>
                <w:tcPr>
                  <w:tcW w:w="1328" w:type="dxa"/>
                  <w:vAlign w:val="center"/>
                </w:tcPr>
                <w:p>
                  <w:pPr>
                    <w:tabs>
                      <w:tab w:val="left" w:pos="1440"/>
                    </w:tabs>
                    <w:jc w:val="center"/>
                    <w:rPr>
                      <w:szCs w:val="21"/>
                    </w:rPr>
                  </w:pPr>
                  <w:r>
                    <w:rPr>
                      <w:szCs w:val="21"/>
                    </w:rPr>
                    <w:t>m</w:t>
                  </w:r>
                </w:p>
              </w:tc>
              <w:tc>
                <w:tcPr>
                  <w:tcW w:w="2918" w:type="dxa"/>
                  <w:vAlign w:val="center"/>
                </w:tcPr>
                <w:p>
                  <w:pPr>
                    <w:jc w:val="center"/>
                    <w:rPr>
                      <w:szCs w:val="21"/>
                    </w:rPr>
                  </w:pPr>
                  <w:r>
                    <w:rPr>
                      <w:szCs w:val="21"/>
                    </w:rPr>
                    <w:t>+</w:t>
                  </w:r>
                  <w:r>
                    <w:rPr>
                      <w:rFonts w:hint="eastAsia"/>
                      <w:szCs w:val="21"/>
                    </w:rPr>
                    <w:t>76.27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dxa"/>
                  <w:vAlign w:val="center"/>
                </w:tcPr>
                <w:p>
                  <w:pPr>
                    <w:tabs>
                      <w:tab w:val="left" w:pos="1440"/>
                    </w:tabs>
                    <w:jc w:val="center"/>
                    <w:rPr>
                      <w:szCs w:val="21"/>
                    </w:rPr>
                  </w:pPr>
                  <w:r>
                    <w:rPr>
                      <w:szCs w:val="21"/>
                    </w:rPr>
                    <w:t>2</w:t>
                  </w:r>
                </w:p>
              </w:tc>
              <w:tc>
                <w:tcPr>
                  <w:tcW w:w="3242" w:type="dxa"/>
                  <w:vAlign w:val="center"/>
                </w:tcPr>
                <w:p>
                  <w:pPr>
                    <w:tabs>
                      <w:tab w:val="left" w:pos="1440"/>
                    </w:tabs>
                    <w:jc w:val="center"/>
                    <w:rPr>
                      <w:szCs w:val="21"/>
                    </w:rPr>
                  </w:pPr>
                  <w:r>
                    <w:rPr>
                      <w:szCs w:val="21"/>
                    </w:rPr>
                    <w:t>最低开采水平</w:t>
                  </w:r>
                </w:p>
              </w:tc>
              <w:tc>
                <w:tcPr>
                  <w:tcW w:w="1328" w:type="dxa"/>
                  <w:vAlign w:val="center"/>
                </w:tcPr>
                <w:p>
                  <w:pPr>
                    <w:tabs>
                      <w:tab w:val="left" w:pos="1440"/>
                    </w:tabs>
                    <w:jc w:val="center"/>
                    <w:rPr>
                      <w:szCs w:val="21"/>
                    </w:rPr>
                  </w:pPr>
                  <w:r>
                    <w:rPr>
                      <w:szCs w:val="21"/>
                    </w:rPr>
                    <w:t>m</w:t>
                  </w:r>
                </w:p>
              </w:tc>
              <w:tc>
                <w:tcPr>
                  <w:tcW w:w="2918" w:type="dxa"/>
                  <w:vAlign w:val="center"/>
                </w:tcPr>
                <w:p>
                  <w:pPr>
                    <w:jc w:val="center"/>
                    <w:rPr>
                      <w:szCs w:val="21"/>
                    </w:rPr>
                  </w:pPr>
                  <w:r>
                    <w:rPr>
                      <w:szCs w:val="21"/>
                    </w:rPr>
                    <w:t>+</w:t>
                  </w:r>
                  <w:r>
                    <w:rPr>
                      <w:rFonts w:hint="eastAsia"/>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dxa"/>
                  <w:vAlign w:val="center"/>
                </w:tcPr>
                <w:p>
                  <w:pPr>
                    <w:tabs>
                      <w:tab w:val="left" w:pos="1440"/>
                    </w:tabs>
                    <w:jc w:val="center"/>
                    <w:rPr>
                      <w:szCs w:val="21"/>
                    </w:rPr>
                  </w:pPr>
                  <w:r>
                    <w:rPr>
                      <w:szCs w:val="21"/>
                    </w:rPr>
                    <w:t>3</w:t>
                  </w:r>
                </w:p>
              </w:tc>
              <w:tc>
                <w:tcPr>
                  <w:tcW w:w="3242" w:type="dxa"/>
                  <w:vAlign w:val="center"/>
                </w:tcPr>
                <w:p>
                  <w:pPr>
                    <w:tabs>
                      <w:tab w:val="left" w:pos="1440"/>
                    </w:tabs>
                    <w:jc w:val="center"/>
                    <w:rPr>
                      <w:szCs w:val="21"/>
                    </w:rPr>
                  </w:pPr>
                  <w:r>
                    <w:rPr>
                      <w:szCs w:val="21"/>
                    </w:rPr>
                    <w:t>最终边坡角</w:t>
                  </w:r>
                </w:p>
              </w:tc>
              <w:tc>
                <w:tcPr>
                  <w:tcW w:w="1328" w:type="dxa"/>
                  <w:vAlign w:val="center"/>
                </w:tcPr>
                <w:p>
                  <w:pPr>
                    <w:tabs>
                      <w:tab w:val="left" w:pos="1440"/>
                    </w:tabs>
                    <w:jc w:val="center"/>
                    <w:rPr>
                      <w:szCs w:val="21"/>
                    </w:rPr>
                  </w:pPr>
                  <w:r>
                    <w:rPr>
                      <w:szCs w:val="21"/>
                    </w:rPr>
                    <w:t>°</w:t>
                  </w:r>
                </w:p>
              </w:tc>
              <w:tc>
                <w:tcPr>
                  <w:tcW w:w="2918" w:type="dxa"/>
                  <w:vAlign w:val="center"/>
                </w:tcPr>
                <w:p>
                  <w:pPr>
                    <w:jc w:val="center"/>
                    <w:rPr>
                      <w:szCs w:val="21"/>
                    </w:rPr>
                  </w:pPr>
                  <w:r>
                    <w:rPr>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dxa"/>
                  <w:vAlign w:val="center"/>
                </w:tcPr>
                <w:p>
                  <w:pPr>
                    <w:tabs>
                      <w:tab w:val="left" w:pos="1440"/>
                    </w:tabs>
                    <w:jc w:val="center"/>
                    <w:rPr>
                      <w:szCs w:val="21"/>
                    </w:rPr>
                  </w:pPr>
                  <w:r>
                    <w:rPr>
                      <w:szCs w:val="21"/>
                    </w:rPr>
                    <w:t>4</w:t>
                  </w:r>
                </w:p>
              </w:tc>
              <w:tc>
                <w:tcPr>
                  <w:tcW w:w="3242" w:type="dxa"/>
                  <w:vAlign w:val="center"/>
                </w:tcPr>
                <w:p>
                  <w:pPr>
                    <w:tabs>
                      <w:tab w:val="left" w:pos="1440"/>
                    </w:tabs>
                    <w:jc w:val="center"/>
                    <w:rPr>
                      <w:szCs w:val="21"/>
                    </w:rPr>
                  </w:pPr>
                  <w:r>
                    <w:rPr>
                      <w:szCs w:val="21"/>
                    </w:rPr>
                    <w:t>工作台阶坡面角</w:t>
                  </w:r>
                </w:p>
              </w:tc>
              <w:tc>
                <w:tcPr>
                  <w:tcW w:w="1328" w:type="dxa"/>
                  <w:vAlign w:val="center"/>
                </w:tcPr>
                <w:p>
                  <w:pPr>
                    <w:tabs>
                      <w:tab w:val="left" w:pos="1440"/>
                    </w:tabs>
                    <w:jc w:val="center"/>
                    <w:rPr>
                      <w:szCs w:val="21"/>
                    </w:rPr>
                  </w:pPr>
                  <w:r>
                    <w:rPr>
                      <w:szCs w:val="21"/>
                    </w:rPr>
                    <w:t>°</w:t>
                  </w:r>
                </w:p>
              </w:tc>
              <w:tc>
                <w:tcPr>
                  <w:tcW w:w="2918" w:type="dxa"/>
                  <w:vAlign w:val="center"/>
                </w:tcPr>
                <w:p>
                  <w:pPr>
                    <w:jc w:val="center"/>
                    <w:rPr>
                      <w:szCs w:val="21"/>
                    </w:rPr>
                  </w:pPr>
                  <w:r>
                    <w:rPr>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17" w:type="dxa"/>
                  <w:vAlign w:val="center"/>
                </w:tcPr>
                <w:p>
                  <w:pPr>
                    <w:tabs>
                      <w:tab w:val="left" w:pos="1440"/>
                    </w:tabs>
                    <w:jc w:val="center"/>
                    <w:rPr>
                      <w:szCs w:val="21"/>
                    </w:rPr>
                  </w:pPr>
                  <w:r>
                    <w:rPr>
                      <w:szCs w:val="21"/>
                    </w:rPr>
                    <w:t>5</w:t>
                  </w:r>
                </w:p>
              </w:tc>
              <w:tc>
                <w:tcPr>
                  <w:tcW w:w="3242" w:type="dxa"/>
                  <w:vAlign w:val="center"/>
                </w:tcPr>
                <w:p>
                  <w:pPr>
                    <w:tabs>
                      <w:tab w:val="left" w:pos="1440"/>
                    </w:tabs>
                    <w:jc w:val="center"/>
                    <w:rPr>
                      <w:szCs w:val="21"/>
                    </w:rPr>
                  </w:pPr>
                  <w:r>
                    <w:rPr>
                      <w:szCs w:val="21"/>
                    </w:rPr>
                    <w:t>台段高度</w:t>
                  </w:r>
                </w:p>
              </w:tc>
              <w:tc>
                <w:tcPr>
                  <w:tcW w:w="1328" w:type="dxa"/>
                  <w:vAlign w:val="center"/>
                </w:tcPr>
                <w:p>
                  <w:pPr>
                    <w:tabs>
                      <w:tab w:val="left" w:pos="1440"/>
                    </w:tabs>
                    <w:jc w:val="center"/>
                    <w:rPr>
                      <w:szCs w:val="21"/>
                    </w:rPr>
                  </w:pPr>
                  <w:r>
                    <w:rPr>
                      <w:szCs w:val="21"/>
                    </w:rPr>
                    <w:t>m</w:t>
                  </w:r>
                </w:p>
              </w:tc>
              <w:tc>
                <w:tcPr>
                  <w:tcW w:w="2918" w:type="dxa"/>
                  <w:vAlign w:val="center"/>
                </w:tcPr>
                <w:p>
                  <w:pPr>
                    <w:jc w:val="center"/>
                    <w:rPr>
                      <w:szCs w:val="21"/>
                    </w:rPr>
                  </w:pPr>
                  <w:r>
                    <w:rPr>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dxa"/>
                  <w:vAlign w:val="center"/>
                </w:tcPr>
                <w:p>
                  <w:pPr>
                    <w:tabs>
                      <w:tab w:val="left" w:pos="1440"/>
                    </w:tabs>
                    <w:jc w:val="center"/>
                    <w:rPr>
                      <w:szCs w:val="21"/>
                    </w:rPr>
                  </w:pPr>
                  <w:r>
                    <w:rPr>
                      <w:szCs w:val="21"/>
                    </w:rPr>
                    <w:t>6</w:t>
                  </w:r>
                </w:p>
              </w:tc>
              <w:tc>
                <w:tcPr>
                  <w:tcW w:w="3242" w:type="dxa"/>
                  <w:vAlign w:val="center"/>
                </w:tcPr>
                <w:p>
                  <w:pPr>
                    <w:tabs>
                      <w:tab w:val="left" w:pos="1440"/>
                    </w:tabs>
                    <w:jc w:val="center"/>
                    <w:rPr>
                      <w:szCs w:val="21"/>
                    </w:rPr>
                  </w:pPr>
                  <w:r>
                    <w:rPr>
                      <w:szCs w:val="21"/>
                    </w:rPr>
                    <w:t>运输道路宽度</w:t>
                  </w:r>
                </w:p>
              </w:tc>
              <w:tc>
                <w:tcPr>
                  <w:tcW w:w="1328" w:type="dxa"/>
                  <w:vAlign w:val="center"/>
                </w:tcPr>
                <w:p>
                  <w:pPr>
                    <w:tabs>
                      <w:tab w:val="left" w:pos="1440"/>
                    </w:tabs>
                    <w:jc w:val="center"/>
                    <w:rPr>
                      <w:szCs w:val="21"/>
                    </w:rPr>
                  </w:pPr>
                  <w:r>
                    <w:rPr>
                      <w:szCs w:val="21"/>
                    </w:rPr>
                    <w:t>m</w:t>
                  </w:r>
                </w:p>
              </w:tc>
              <w:tc>
                <w:tcPr>
                  <w:tcW w:w="2918" w:type="dxa"/>
                  <w:vAlign w:val="center"/>
                </w:tcPr>
                <w:p>
                  <w:pPr>
                    <w:jc w:val="center"/>
                    <w:rPr>
                      <w:szCs w:val="21"/>
                    </w:rPr>
                  </w:pPr>
                  <w:r>
                    <w:rPr>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dxa"/>
                  <w:vAlign w:val="center"/>
                </w:tcPr>
                <w:p>
                  <w:pPr>
                    <w:tabs>
                      <w:tab w:val="left" w:pos="1440"/>
                    </w:tabs>
                    <w:jc w:val="center"/>
                    <w:rPr>
                      <w:szCs w:val="21"/>
                    </w:rPr>
                  </w:pPr>
                  <w:r>
                    <w:rPr>
                      <w:szCs w:val="21"/>
                    </w:rPr>
                    <w:t>四</w:t>
                  </w:r>
                </w:p>
              </w:tc>
              <w:tc>
                <w:tcPr>
                  <w:tcW w:w="3242" w:type="dxa"/>
                  <w:vAlign w:val="center"/>
                </w:tcPr>
                <w:p>
                  <w:pPr>
                    <w:tabs>
                      <w:tab w:val="left" w:pos="1440"/>
                    </w:tabs>
                    <w:jc w:val="center"/>
                    <w:rPr>
                      <w:szCs w:val="21"/>
                    </w:rPr>
                  </w:pPr>
                  <w:r>
                    <w:rPr>
                      <w:szCs w:val="21"/>
                    </w:rPr>
                    <w:t>采矿生产指标</w:t>
                  </w:r>
                </w:p>
              </w:tc>
              <w:tc>
                <w:tcPr>
                  <w:tcW w:w="1328" w:type="dxa"/>
                  <w:vAlign w:val="center"/>
                </w:tcPr>
                <w:p>
                  <w:pPr>
                    <w:tabs>
                      <w:tab w:val="left" w:pos="1440"/>
                    </w:tabs>
                    <w:jc w:val="center"/>
                    <w:rPr>
                      <w:szCs w:val="21"/>
                    </w:rPr>
                  </w:pPr>
                </w:p>
              </w:tc>
              <w:tc>
                <w:tcPr>
                  <w:tcW w:w="2918" w:type="dxa"/>
                  <w:vAlign w:val="center"/>
                </w:tcPr>
                <w:p>
                  <w:pPr>
                    <w:tabs>
                      <w:tab w:val="left" w:pos="1440"/>
                    </w:tabs>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dxa"/>
                  <w:vAlign w:val="center"/>
                </w:tcPr>
                <w:p>
                  <w:pPr>
                    <w:tabs>
                      <w:tab w:val="left" w:pos="1440"/>
                    </w:tabs>
                    <w:jc w:val="center"/>
                    <w:rPr>
                      <w:szCs w:val="21"/>
                    </w:rPr>
                  </w:pPr>
                  <w:r>
                    <w:rPr>
                      <w:szCs w:val="21"/>
                    </w:rPr>
                    <w:t>1</w:t>
                  </w:r>
                </w:p>
              </w:tc>
              <w:tc>
                <w:tcPr>
                  <w:tcW w:w="3242" w:type="dxa"/>
                  <w:vAlign w:val="center"/>
                </w:tcPr>
                <w:p>
                  <w:pPr>
                    <w:tabs>
                      <w:tab w:val="left" w:pos="1440"/>
                    </w:tabs>
                    <w:jc w:val="center"/>
                    <w:rPr>
                      <w:szCs w:val="21"/>
                    </w:rPr>
                  </w:pPr>
                  <w:r>
                    <w:rPr>
                      <w:szCs w:val="21"/>
                    </w:rPr>
                    <w:t>矿山设计开采规模</w:t>
                  </w:r>
                </w:p>
              </w:tc>
              <w:tc>
                <w:tcPr>
                  <w:tcW w:w="1328" w:type="dxa"/>
                  <w:vAlign w:val="center"/>
                </w:tcPr>
                <w:p>
                  <w:pPr>
                    <w:tabs>
                      <w:tab w:val="left" w:pos="1440"/>
                    </w:tabs>
                    <w:jc w:val="center"/>
                    <w:rPr>
                      <w:szCs w:val="21"/>
                    </w:rPr>
                  </w:pPr>
                  <w:r>
                    <w:rPr>
                      <w:szCs w:val="21"/>
                    </w:rPr>
                    <w:t>万m</w:t>
                  </w:r>
                  <w:r>
                    <w:rPr>
                      <w:szCs w:val="21"/>
                      <w:vertAlign w:val="superscript"/>
                    </w:rPr>
                    <w:t>3</w:t>
                  </w:r>
                  <w:r>
                    <w:rPr>
                      <w:szCs w:val="21"/>
                    </w:rPr>
                    <w:t>/a</w:t>
                  </w:r>
                </w:p>
              </w:tc>
              <w:tc>
                <w:tcPr>
                  <w:tcW w:w="2918" w:type="dxa"/>
                  <w:vAlign w:val="center"/>
                </w:tcPr>
                <w:p>
                  <w:pPr>
                    <w:tabs>
                      <w:tab w:val="left" w:pos="1440"/>
                    </w:tabs>
                    <w:jc w:val="center"/>
                    <w:rPr>
                      <w:szCs w:val="21"/>
                    </w:rPr>
                  </w:pPr>
                  <w:r>
                    <w:rPr>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17" w:type="dxa"/>
                  <w:vAlign w:val="center"/>
                </w:tcPr>
                <w:p>
                  <w:pPr>
                    <w:tabs>
                      <w:tab w:val="left" w:pos="1440"/>
                    </w:tabs>
                    <w:jc w:val="center"/>
                    <w:rPr>
                      <w:szCs w:val="21"/>
                    </w:rPr>
                  </w:pPr>
                  <w:r>
                    <w:rPr>
                      <w:szCs w:val="21"/>
                    </w:rPr>
                    <w:t>2</w:t>
                  </w:r>
                </w:p>
              </w:tc>
              <w:tc>
                <w:tcPr>
                  <w:tcW w:w="3242" w:type="dxa"/>
                  <w:vAlign w:val="center"/>
                </w:tcPr>
                <w:p>
                  <w:pPr>
                    <w:tabs>
                      <w:tab w:val="left" w:pos="1440"/>
                    </w:tabs>
                    <w:jc w:val="center"/>
                    <w:rPr>
                      <w:szCs w:val="21"/>
                    </w:rPr>
                  </w:pPr>
                  <w:r>
                    <w:rPr>
                      <w:szCs w:val="21"/>
                    </w:rPr>
                    <w:t>矿山服务年限</w:t>
                  </w:r>
                </w:p>
              </w:tc>
              <w:tc>
                <w:tcPr>
                  <w:tcW w:w="1328" w:type="dxa"/>
                  <w:vAlign w:val="center"/>
                </w:tcPr>
                <w:p>
                  <w:pPr>
                    <w:tabs>
                      <w:tab w:val="left" w:pos="1440"/>
                    </w:tabs>
                    <w:jc w:val="center"/>
                    <w:rPr>
                      <w:szCs w:val="21"/>
                    </w:rPr>
                  </w:pPr>
                  <w:r>
                    <w:rPr>
                      <w:szCs w:val="21"/>
                    </w:rPr>
                    <w:t>a</w:t>
                  </w:r>
                </w:p>
              </w:tc>
              <w:tc>
                <w:tcPr>
                  <w:tcW w:w="2918" w:type="dxa"/>
                  <w:vAlign w:val="center"/>
                </w:tcPr>
                <w:p>
                  <w:pPr>
                    <w:tabs>
                      <w:tab w:val="left" w:pos="1440"/>
                    </w:tabs>
                    <w:jc w:val="center"/>
                    <w:rPr>
                      <w:szCs w:val="21"/>
                    </w:rPr>
                  </w:pP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dxa"/>
                  <w:vAlign w:val="center"/>
                </w:tcPr>
                <w:p>
                  <w:pPr>
                    <w:tabs>
                      <w:tab w:val="left" w:pos="1440"/>
                    </w:tabs>
                    <w:jc w:val="center"/>
                    <w:rPr>
                      <w:szCs w:val="21"/>
                    </w:rPr>
                  </w:pPr>
                  <w:r>
                    <w:rPr>
                      <w:rFonts w:hint="eastAsia"/>
                      <w:szCs w:val="21"/>
                    </w:rPr>
                    <w:t>3</w:t>
                  </w:r>
                </w:p>
              </w:tc>
              <w:tc>
                <w:tcPr>
                  <w:tcW w:w="3242" w:type="dxa"/>
                  <w:vAlign w:val="center"/>
                </w:tcPr>
                <w:p>
                  <w:pPr>
                    <w:tabs>
                      <w:tab w:val="left" w:pos="1440"/>
                    </w:tabs>
                    <w:jc w:val="center"/>
                    <w:rPr>
                      <w:szCs w:val="21"/>
                    </w:rPr>
                  </w:pPr>
                  <w:r>
                    <w:rPr>
                      <w:szCs w:val="21"/>
                    </w:rPr>
                    <w:t>矿石开采损失率</w:t>
                  </w:r>
                </w:p>
              </w:tc>
              <w:tc>
                <w:tcPr>
                  <w:tcW w:w="1328" w:type="dxa"/>
                  <w:vAlign w:val="center"/>
                </w:tcPr>
                <w:p>
                  <w:pPr>
                    <w:tabs>
                      <w:tab w:val="left" w:pos="1440"/>
                    </w:tabs>
                    <w:jc w:val="center"/>
                    <w:rPr>
                      <w:szCs w:val="21"/>
                    </w:rPr>
                  </w:pPr>
                  <w:r>
                    <w:rPr>
                      <w:szCs w:val="21"/>
                    </w:rPr>
                    <w:t>％</w:t>
                  </w:r>
                </w:p>
              </w:tc>
              <w:tc>
                <w:tcPr>
                  <w:tcW w:w="2918" w:type="dxa"/>
                  <w:vAlign w:val="center"/>
                </w:tcPr>
                <w:p>
                  <w:pPr>
                    <w:tabs>
                      <w:tab w:val="left" w:pos="1440"/>
                    </w:tabs>
                    <w:jc w:val="center"/>
                    <w:rPr>
                      <w:szCs w:val="21"/>
                    </w:rPr>
                  </w:pPr>
                  <w:r>
                    <w:rPr>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dxa"/>
                  <w:vAlign w:val="center"/>
                </w:tcPr>
                <w:p>
                  <w:pPr>
                    <w:tabs>
                      <w:tab w:val="left" w:pos="1440"/>
                    </w:tabs>
                    <w:jc w:val="center"/>
                    <w:rPr>
                      <w:szCs w:val="21"/>
                    </w:rPr>
                  </w:pPr>
                  <w:r>
                    <w:rPr>
                      <w:rFonts w:hint="eastAsia"/>
                      <w:szCs w:val="21"/>
                    </w:rPr>
                    <w:t>4</w:t>
                  </w:r>
                </w:p>
              </w:tc>
              <w:tc>
                <w:tcPr>
                  <w:tcW w:w="3242" w:type="dxa"/>
                  <w:vAlign w:val="center"/>
                </w:tcPr>
                <w:p>
                  <w:pPr>
                    <w:tabs>
                      <w:tab w:val="left" w:pos="1440"/>
                    </w:tabs>
                    <w:jc w:val="center"/>
                    <w:rPr>
                      <w:szCs w:val="21"/>
                    </w:rPr>
                  </w:pPr>
                  <w:r>
                    <w:rPr>
                      <w:szCs w:val="21"/>
                    </w:rPr>
                    <w:t>矿石回采率</w:t>
                  </w:r>
                </w:p>
              </w:tc>
              <w:tc>
                <w:tcPr>
                  <w:tcW w:w="1328" w:type="dxa"/>
                  <w:vAlign w:val="center"/>
                </w:tcPr>
                <w:p>
                  <w:pPr>
                    <w:tabs>
                      <w:tab w:val="left" w:pos="1440"/>
                    </w:tabs>
                    <w:jc w:val="center"/>
                    <w:rPr>
                      <w:szCs w:val="21"/>
                    </w:rPr>
                  </w:pPr>
                  <w:r>
                    <w:rPr>
                      <w:szCs w:val="21"/>
                    </w:rPr>
                    <w:t>％</w:t>
                  </w:r>
                </w:p>
              </w:tc>
              <w:tc>
                <w:tcPr>
                  <w:tcW w:w="2918" w:type="dxa"/>
                  <w:vAlign w:val="center"/>
                </w:tcPr>
                <w:p>
                  <w:pPr>
                    <w:tabs>
                      <w:tab w:val="left" w:pos="1440"/>
                    </w:tabs>
                    <w:jc w:val="center"/>
                    <w:rPr>
                      <w:szCs w:val="21"/>
                    </w:rPr>
                  </w:pPr>
                  <w:r>
                    <w:rPr>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dxa"/>
                  <w:vAlign w:val="center"/>
                </w:tcPr>
                <w:p>
                  <w:pPr>
                    <w:tabs>
                      <w:tab w:val="left" w:pos="1440"/>
                    </w:tabs>
                    <w:jc w:val="center"/>
                    <w:rPr>
                      <w:szCs w:val="21"/>
                    </w:rPr>
                  </w:pPr>
                  <w:r>
                    <w:rPr>
                      <w:rFonts w:hint="eastAsia"/>
                      <w:szCs w:val="21"/>
                    </w:rPr>
                    <w:t>5</w:t>
                  </w:r>
                </w:p>
              </w:tc>
              <w:tc>
                <w:tcPr>
                  <w:tcW w:w="3242" w:type="dxa"/>
                  <w:vAlign w:val="center"/>
                </w:tcPr>
                <w:p>
                  <w:pPr>
                    <w:tabs>
                      <w:tab w:val="left" w:pos="1440"/>
                    </w:tabs>
                    <w:jc w:val="center"/>
                    <w:rPr>
                      <w:szCs w:val="21"/>
                    </w:rPr>
                  </w:pPr>
                  <w:r>
                    <w:rPr>
                      <w:szCs w:val="21"/>
                    </w:rPr>
                    <w:t>资源综合利用率</w:t>
                  </w:r>
                </w:p>
              </w:tc>
              <w:tc>
                <w:tcPr>
                  <w:tcW w:w="1328" w:type="dxa"/>
                  <w:vAlign w:val="center"/>
                </w:tcPr>
                <w:p>
                  <w:pPr>
                    <w:tabs>
                      <w:tab w:val="left" w:pos="1440"/>
                    </w:tabs>
                    <w:jc w:val="center"/>
                    <w:rPr>
                      <w:szCs w:val="21"/>
                    </w:rPr>
                  </w:pPr>
                  <w:r>
                    <w:rPr>
                      <w:szCs w:val="21"/>
                    </w:rPr>
                    <w:t>％</w:t>
                  </w:r>
                </w:p>
              </w:tc>
              <w:tc>
                <w:tcPr>
                  <w:tcW w:w="2918" w:type="dxa"/>
                  <w:vAlign w:val="center"/>
                </w:tcPr>
                <w:p>
                  <w:pPr>
                    <w:tabs>
                      <w:tab w:val="left" w:pos="1440"/>
                    </w:tabs>
                    <w:jc w:val="center"/>
                    <w:rPr>
                      <w:szCs w:val="21"/>
                    </w:rPr>
                  </w:pPr>
                  <w:r>
                    <w:rPr>
                      <w:rFonts w:hint="eastAsia"/>
                      <w:szCs w:val="21"/>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17" w:type="dxa"/>
                  <w:vAlign w:val="center"/>
                </w:tcPr>
                <w:p>
                  <w:pPr>
                    <w:tabs>
                      <w:tab w:val="left" w:pos="1440"/>
                    </w:tabs>
                    <w:jc w:val="center"/>
                    <w:rPr>
                      <w:szCs w:val="21"/>
                    </w:rPr>
                  </w:pPr>
                  <w:r>
                    <w:rPr>
                      <w:szCs w:val="21"/>
                    </w:rPr>
                    <w:t>六</w:t>
                  </w:r>
                </w:p>
              </w:tc>
              <w:tc>
                <w:tcPr>
                  <w:tcW w:w="3242" w:type="dxa"/>
                  <w:vAlign w:val="center"/>
                </w:tcPr>
                <w:p>
                  <w:pPr>
                    <w:tabs>
                      <w:tab w:val="left" w:pos="1440"/>
                    </w:tabs>
                    <w:jc w:val="center"/>
                    <w:rPr>
                      <w:szCs w:val="21"/>
                    </w:rPr>
                  </w:pPr>
                  <w:r>
                    <w:rPr>
                      <w:szCs w:val="21"/>
                    </w:rPr>
                    <w:t>设计矿区运输公路长度</w:t>
                  </w:r>
                </w:p>
              </w:tc>
              <w:tc>
                <w:tcPr>
                  <w:tcW w:w="1328" w:type="dxa"/>
                  <w:vAlign w:val="center"/>
                </w:tcPr>
                <w:p>
                  <w:pPr>
                    <w:tabs>
                      <w:tab w:val="left" w:pos="1440"/>
                    </w:tabs>
                    <w:jc w:val="center"/>
                    <w:rPr>
                      <w:szCs w:val="21"/>
                    </w:rPr>
                  </w:pPr>
                  <w:r>
                    <w:rPr>
                      <w:szCs w:val="21"/>
                    </w:rPr>
                    <w:t>m</w:t>
                  </w:r>
                </w:p>
              </w:tc>
              <w:tc>
                <w:tcPr>
                  <w:tcW w:w="2918" w:type="dxa"/>
                  <w:vAlign w:val="center"/>
                </w:tcPr>
                <w:p>
                  <w:pPr>
                    <w:pStyle w:val="23"/>
                    <w:widowControl w:val="0"/>
                    <w:pBdr>
                      <w:left w:val="none" w:color="auto" w:sz="0" w:space="0"/>
                      <w:bottom w:val="none" w:color="auto" w:sz="0" w:space="0"/>
                      <w:right w:val="none" w:color="auto" w:sz="0" w:space="0"/>
                    </w:pBdr>
                    <w:tabs>
                      <w:tab w:val="left" w:pos="1440"/>
                    </w:tabs>
                    <w:spacing w:before="0" w:beforeAutospacing="0" w:after="0" w:afterAutospacing="0"/>
                    <w:textAlignment w:val="auto"/>
                    <w:rPr>
                      <w:rFonts w:ascii="Times New Roman" w:hAnsi="Times New Roman" w:eastAsia="宋体"/>
                      <w:kern w:val="2"/>
                      <w:sz w:val="21"/>
                      <w:szCs w:val="21"/>
                    </w:rPr>
                  </w:pPr>
                  <w:r>
                    <w:rPr>
                      <w:rFonts w:ascii="Times New Roman" w:hAnsi="Times New Roman" w:eastAsia="宋体"/>
                      <w:kern w:val="2"/>
                      <w:sz w:val="21"/>
                      <w:szCs w:val="21"/>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dxa"/>
                  <w:vAlign w:val="center"/>
                </w:tcPr>
                <w:p>
                  <w:pPr>
                    <w:tabs>
                      <w:tab w:val="left" w:pos="1440"/>
                    </w:tabs>
                    <w:jc w:val="center"/>
                    <w:rPr>
                      <w:szCs w:val="21"/>
                    </w:rPr>
                  </w:pPr>
                  <w:r>
                    <w:rPr>
                      <w:szCs w:val="21"/>
                    </w:rPr>
                    <w:t>七</w:t>
                  </w:r>
                </w:p>
              </w:tc>
              <w:tc>
                <w:tcPr>
                  <w:tcW w:w="3242" w:type="dxa"/>
                  <w:vAlign w:val="center"/>
                </w:tcPr>
                <w:p>
                  <w:pPr>
                    <w:tabs>
                      <w:tab w:val="left" w:pos="1440"/>
                    </w:tabs>
                    <w:jc w:val="center"/>
                    <w:rPr>
                      <w:szCs w:val="21"/>
                    </w:rPr>
                  </w:pPr>
                  <w:r>
                    <w:rPr>
                      <w:szCs w:val="21"/>
                    </w:rPr>
                    <w:t>矿山工作制度</w:t>
                  </w:r>
                </w:p>
              </w:tc>
              <w:tc>
                <w:tcPr>
                  <w:tcW w:w="1328" w:type="dxa"/>
                  <w:vAlign w:val="center"/>
                </w:tcPr>
                <w:p>
                  <w:pPr>
                    <w:tabs>
                      <w:tab w:val="left" w:pos="1440"/>
                    </w:tabs>
                    <w:jc w:val="center"/>
                    <w:rPr>
                      <w:szCs w:val="21"/>
                    </w:rPr>
                  </w:pPr>
                </w:p>
              </w:tc>
              <w:tc>
                <w:tcPr>
                  <w:tcW w:w="2918" w:type="dxa"/>
                  <w:vAlign w:val="center"/>
                </w:tcPr>
                <w:p>
                  <w:pPr>
                    <w:tabs>
                      <w:tab w:val="left" w:pos="1440"/>
                    </w:tabs>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dxa"/>
                  <w:vAlign w:val="center"/>
                </w:tcPr>
                <w:p>
                  <w:pPr>
                    <w:tabs>
                      <w:tab w:val="left" w:pos="1440"/>
                    </w:tabs>
                    <w:jc w:val="center"/>
                    <w:rPr>
                      <w:szCs w:val="21"/>
                    </w:rPr>
                  </w:pPr>
                  <w:r>
                    <w:rPr>
                      <w:szCs w:val="21"/>
                    </w:rPr>
                    <w:t>1</w:t>
                  </w:r>
                </w:p>
              </w:tc>
              <w:tc>
                <w:tcPr>
                  <w:tcW w:w="3242" w:type="dxa"/>
                  <w:vAlign w:val="center"/>
                </w:tcPr>
                <w:p>
                  <w:pPr>
                    <w:tabs>
                      <w:tab w:val="left" w:pos="1440"/>
                    </w:tabs>
                    <w:jc w:val="center"/>
                    <w:rPr>
                      <w:szCs w:val="21"/>
                    </w:rPr>
                  </w:pPr>
                  <w:r>
                    <w:rPr>
                      <w:szCs w:val="21"/>
                    </w:rPr>
                    <w:t>工作制度</w:t>
                  </w:r>
                </w:p>
              </w:tc>
              <w:tc>
                <w:tcPr>
                  <w:tcW w:w="1328" w:type="dxa"/>
                  <w:vAlign w:val="center"/>
                </w:tcPr>
                <w:p>
                  <w:pPr>
                    <w:tabs>
                      <w:tab w:val="left" w:pos="1440"/>
                    </w:tabs>
                    <w:jc w:val="center"/>
                    <w:rPr>
                      <w:szCs w:val="21"/>
                    </w:rPr>
                  </w:pPr>
                </w:p>
              </w:tc>
              <w:tc>
                <w:tcPr>
                  <w:tcW w:w="2918" w:type="dxa"/>
                  <w:vAlign w:val="center"/>
                </w:tcPr>
                <w:p>
                  <w:pPr>
                    <w:tabs>
                      <w:tab w:val="left" w:pos="1440"/>
                    </w:tabs>
                    <w:jc w:val="center"/>
                    <w:rPr>
                      <w:szCs w:val="21"/>
                    </w:rPr>
                  </w:pPr>
                  <w:r>
                    <w:rPr>
                      <w:szCs w:val="21"/>
                    </w:rPr>
                    <w:t>连续工作周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dxa"/>
                  <w:vAlign w:val="center"/>
                </w:tcPr>
                <w:p>
                  <w:pPr>
                    <w:tabs>
                      <w:tab w:val="left" w:pos="1440"/>
                    </w:tabs>
                    <w:jc w:val="center"/>
                    <w:rPr>
                      <w:szCs w:val="21"/>
                    </w:rPr>
                  </w:pPr>
                  <w:r>
                    <w:rPr>
                      <w:szCs w:val="21"/>
                    </w:rPr>
                    <w:t>2</w:t>
                  </w:r>
                </w:p>
              </w:tc>
              <w:tc>
                <w:tcPr>
                  <w:tcW w:w="3242" w:type="dxa"/>
                  <w:vAlign w:val="center"/>
                </w:tcPr>
                <w:p>
                  <w:pPr>
                    <w:tabs>
                      <w:tab w:val="left" w:pos="1440"/>
                    </w:tabs>
                    <w:jc w:val="center"/>
                    <w:rPr>
                      <w:szCs w:val="21"/>
                    </w:rPr>
                  </w:pPr>
                  <w:r>
                    <w:rPr>
                      <w:szCs w:val="21"/>
                    </w:rPr>
                    <w:t>年工作天数</w:t>
                  </w:r>
                </w:p>
              </w:tc>
              <w:tc>
                <w:tcPr>
                  <w:tcW w:w="1328" w:type="dxa"/>
                  <w:vAlign w:val="center"/>
                </w:tcPr>
                <w:p>
                  <w:pPr>
                    <w:tabs>
                      <w:tab w:val="left" w:pos="1440"/>
                    </w:tabs>
                    <w:jc w:val="center"/>
                    <w:rPr>
                      <w:szCs w:val="21"/>
                    </w:rPr>
                  </w:pPr>
                  <w:r>
                    <w:rPr>
                      <w:szCs w:val="21"/>
                    </w:rPr>
                    <w:t>日/a</w:t>
                  </w:r>
                </w:p>
              </w:tc>
              <w:tc>
                <w:tcPr>
                  <w:tcW w:w="2918" w:type="dxa"/>
                  <w:vAlign w:val="center"/>
                </w:tcPr>
                <w:p>
                  <w:pPr>
                    <w:tabs>
                      <w:tab w:val="left" w:pos="1440"/>
                    </w:tabs>
                    <w:jc w:val="center"/>
                    <w:rPr>
                      <w:szCs w:val="21"/>
                    </w:rPr>
                  </w:pPr>
                  <w:r>
                    <w:rPr>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17" w:type="dxa"/>
                  <w:vAlign w:val="center"/>
                </w:tcPr>
                <w:p>
                  <w:pPr>
                    <w:tabs>
                      <w:tab w:val="left" w:pos="1440"/>
                    </w:tabs>
                    <w:jc w:val="center"/>
                    <w:rPr>
                      <w:szCs w:val="21"/>
                    </w:rPr>
                  </w:pPr>
                  <w:r>
                    <w:rPr>
                      <w:szCs w:val="21"/>
                    </w:rPr>
                    <w:t>3</w:t>
                  </w:r>
                </w:p>
              </w:tc>
              <w:tc>
                <w:tcPr>
                  <w:tcW w:w="3242" w:type="dxa"/>
                  <w:vAlign w:val="center"/>
                </w:tcPr>
                <w:p>
                  <w:pPr>
                    <w:tabs>
                      <w:tab w:val="left" w:pos="1440"/>
                    </w:tabs>
                    <w:jc w:val="center"/>
                    <w:rPr>
                      <w:szCs w:val="21"/>
                    </w:rPr>
                  </w:pPr>
                  <w:r>
                    <w:rPr>
                      <w:szCs w:val="21"/>
                    </w:rPr>
                    <w:t>每天工作班数</w:t>
                  </w:r>
                </w:p>
              </w:tc>
              <w:tc>
                <w:tcPr>
                  <w:tcW w:w="1328" w:type="dxa"/>
                  <w:vAlign w:val="center"/>
                </w:tcPr>
                <w:p>
                  <w:pPr>
                    <w:tabs>
                      <w:tab w:val="left" w:pos="1440"/>
                    </w:tabs>
                    <w:jc w:val="center"/>
                    <w:rPr>
                      <w:szCs w:val="21"/>
                    </w:rPr>
                  </w:pPr>
                  <w:r>
                    <w:rPr>
                      <w:szCs w:val="21"/>
                    </w:rPr>
                    <w:t>班/日</w:t>
                  </w:r>
                </w:p>
              </w:tc>
              <w:tc>
                <w:tcPr>
                  <w:tcW w:w="2918" w:type="dxa"/>
                  <w:vAlign w:val="center"/>
                </w:tcPr>
                <w:p>
                  <w:pPr>
                    <w:tabs>
                      <w:tab w:val="left" w:pos="1440"/>
                    </w:tabs>
                    <w:jc w:val="center"/>
                    <w:rPr>
                      <w:szCs w:val="21"/>
                    </w:rPr>
                  </w:pPr>
                  <w:r>
                    <w:rPr>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dxa"/>
                  <w:vAlign w:val="center"/>
                </w:tcPr>
                <w:p>
                  <w:pPr>
                    <w:tabs>
                      <w:tab w:val="left" w:pos="1440"/>
                    </w:tabs>
                    <w:jc w:val="center"/>
                    <w:rPr>
                      <w:szCs w:val="21"/>
                    </w:rPr>
                  </w:pPr>
                  <w:r>
                    <w:rPr>
                      <w:szCs w:val="21"/>
                    </w:rPr>
                    <w:t>八</w:t>
                  </w:r>
                </w:p>
              </w:tc>
              <w:tc>
                <w:tcPr>
                  <w:tcW w:w="3242" w:type="dxa"/>
                  <w:vAlign w:val="center"/>
                </w:tcPr>
                <w:p>
                  <w:pPr>
                    <w:tabs>
                      <w:tab w:val="left" w:pos="1440"/>
                    </w:tabs>
                    <w:jc w:val="center"/>
                    <w:rPr>
                      <w:szCs w:val="21"/>
                    </w:rPr>
                  </w:pPr>
                  <w:r>
                    <w:rPr>
                      <w:szCs w:val="21"/>
                    </w:rPr>
                    <w:t>矿山日生产能力</w:t>
                  </w:r>
                </w:p>
              </w:tc>
              <w:tc>
                <w:tcPr>
                  <w:tcW w:w="1328" w:type="dxa"/>
                  <w:vAlign w:val="center"/>
                </w:tcPr>
                <w:p>
                  <w:pPr>
                    <w:tabs>
                      <w:tab w:val="left" w:pos="1440"/>
                    </w:tabs>
                    <w:jc w:val="center"/>
                    <w:rPr>
                      <w:szCs w:val="21"/>
                    </w:rPr>
                  </w:pPr>
                  <w:r>
                    <w:rPr>
                      <w:szCs w:val="21"/>
                    </w:rPr>
                    <w:t>m</w:t>
                  </w:r>
                  <w:r>
                    <w:rPr>
                      <w:szCs w:val="21"/>
                      <w:vertAlign w:val="superscript"/>
                    </w:rPr>
                    <w:t>3</w:t>
                  </w:r>
                  <w:r>
                    <w:rPr>
                      <w:szCs w:val="21"/>
                    </w:rPr>
                    <w:t>/日</w:t>
                  </w:r>
                </w:p>
              </w:tc>
              <w:tc>
                <w:tcPr>
                  <w:tcW w:w="2918" w:type="dxa"/>
                  <w:vAlign w:val="center"/>
                </w:tcPr>
                <w:p>
                  <w:pPr>
                    <w:tabs>
                      <w:tab w:val="left" w:pos="1440"/>
                    </w:tabs>
                    <w:jc w:val="center"/>
                    <w:rPr>
                      <w:szCs w:val="21"/>
                    </w:rPr>
                  </w:pPr>
                  <w:r>
                    <w:rPr>
                      <w:szCs w:val="21"/>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dxa"/>
                  <w:vAlign w:val="center"/>
                </w:tcPr>
                <w:p>
                  <w:pPr>
                    <w:tabs>
                      <w:tab w:val="left" w:pos="1440"/>
                    </w:tabs>
                    <w:jc w:val="center"/>
                    <w:rPr>
                      <w:szCs w:val="21"/>
                    </w:rPr>
                  </w:pPr>
                  <w:r>
                    <w:rPr>
                      <w:szCs w:val="21"/>
                    </w:rPr>
                    <w:t>九</w:t>
                  </w:r>
                </w:p>
              </w:tc>
              <w:tc>
                <w:tcPr>
                  <w:tcW w:w="3242" w:type="dxa"/>
                  <w:vAlign w:val="center"/>
                </w:tcPr>
                <w:p>
                  <w:pPr>
                    <w:tabs>
                      <w:tab w:val="left" w:pos="1440"/>
                    </w:tabs>
                    <w:jc w:val="center"/>
                    <w:rPr>
                      <w:szCs w:val="21"/>
                    </w:rPr>
                  </w:pPr>
                  <w:r>
                    <w:rPr>
                      <w:szCs w:val="21"/>
                    </w:rPr>
                    <w:t>矿山职工定员</w:t>
                  </w:r>
                </w:p>
              </w:tc>
              <w:tc>
                <w:tcPr>
                  <w:tcW w:w="1328" w:type="dxa"/>
                  <w:vAlign w:val="center"/>
                </w:tcPr>
                <w:p>
                  <w:pPr>
                    <w:tabs>
                      <w:tab w:val="left" w:pos="1440"/>
                    </w:tabs>
                    <w:jc w:val="center"/>
                    <w:rPr>
                      <w:szCs w:val="21"/>
                    </w:rPr>
                  </w:pPr>
                </w:p>
              </w:tc>
              <w:tc>
                <w:tcPr>
                  <w:tcW w:w="2918" w:type="dxa"/>
                  <w:vAlign w:val="center"/>
                </w:tcPr>
                <w:p>
                  <w:pPr>
                    <w:tabs>
                      <w:tab w:val="left" w:pos="1440"/>
                    </w:tabs>
                    <w:jc w:val="center"/>
                    <w:rPr>
                      <w:szCs w:val="21"/>
                    </w:rPr>
                  </w:pPr>
                  <w:r>
                    <w:rPr>
                      <w:szCs w:val="21"/>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dxa"/>
                  <w:vMerge w:val="restart"/>
                  <w:vAlign w:val="center"/>
                </w:tcPr>
                <w:p>
                  <w:pPr>
                    <w:tabs>
                      <w:tab w:val="left" w:pos="1440"/>
                    </w:tabs>
                    <w:jc w:val="center"/>
                    <w:rPr>
                      <w:szCs w:val="21"/>
                    </w:rPr>
                  </w:pPr>
                  <w:r>
                    <w:rPr>
                      <w:szCs w:val="21"/>
                    </w:rPr>
                    <w:t>其中：</w:t>
                  </w:r>
                </w:p>
              </w:tc>
              <w:tc>
                <w:tcPr>
                  <w:tcW w:w="3242" w:type="dxa"/>
                  <w:vAlign w:val="center"/>
                </w:tcPr>
                <w:p>
                  <w:pPr>
                    <w:tabs>
                      <w:tab w:val="left" w:pos="1440"/>
                    </w:tabs>
                    <w:jc w:val="center"/>
                    <w:rPr>
                      <w:szCs w:val="21"/>
                    </w:rPr>
                  </w:pPr>
                  <w:r>
                    <w:rPr>
                      <w:szCs w:val="21"/>
                    </w:rPr>
                    <w:t>生产工人</w:t>
                  </w:r>
                </w:p>
              </w:tc>
              <w:tc>
                <w:tcPr>
                  <w:tcW w:w="1328" w:type="dxa"/>
                  <w:vAlign w:val="center"/>
                </w:tcPr>
                <w:p>
                  <w:pPr>
                    <w:tabs>
                      <w:tab w:val="left" w:pos="1440"/>
                    </w:tabs>
                    <w:jc w:val="center"/>
                    <w:rPr>
                      <w:szCs w:val="21"/>
                    </w:rPr>
                  </w:pPr>
                  <w:r>
                    <w:rPr>
                      <w:szCs w:val="21"/>
                    </w:rPr>
                    <w:t>人</w:t>
                  </w:r>
                </w:p>
              </w:tc>
              <w:tc>
                <w:tcPr>
                  <w:tcW w:w="2918" w:type="dxa"/>
                  <w:vAlign w:val="center"/>
                </w:tcPr>
                <w:p>
                  <w:pPr>
                    <w:tabs>
                      <w:tab w:val="left" w:pos="1440"/>
                    </w:tabs>
                    <w:jc w:val="center"/>
                    <w:rPr>
                      <w:szCs w:val="21"/>
                    </w:rPr>
                  </w:pPr>
                  <w:r>
                    <w:rPr>
                      <w:szCs w:val="21"/>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17" w:type="dxa"/>
                  <w:vMerge w:val="continue"/>
                  <w:vAlign w:val="center"/>
                </w:tcPr>
                <w:p>
                  <w:pPr>
                    <w:tabs>
                      <w:tab w:val="left" w:pos="1440"/>
                    </w:tabs>
                    <w:jc w:val="center"/>
                    <w:rPr>
                      <w:szCs w:val="21"/>
                    </w:rPr>
                  </w:pPr>
                </w:p>
              </w:tc>
              <w:tc>
                <w:tcPr>
                  <w:tcW w:w="3242" w:type="dxa"/>
                  <w:vAlign w:val="center"/>
                </w:tcPr>
                <w:p>
                  <w:pPr>
                    <w:tabs>
                      <w:tab w:val="left" w:pos="1440"/>
                    </w:tabs>
                    <w:jc w:val="center"/>
                    <w:rPr>
                      <w:szCs w:val="21"/>
                    </w:rPr>
                  </w:pPr>
                  <w:r>
                    <w:rPr>
                      <w:szCs w:val="21"/>
                    </w:rPr>
                    <w:t>管理技术人员</w:t>
                  </w:r>
                </w:p>
              </w:tc>
              <w:tc>
                <w:tcPr>
                  <w:tcW w:w="1328" w:type="dxa"/>
                  <w:vAlign w:val="center"/>
                </w:tcPr>
                <w:p>
                  <w:pPr>
                    <w:tabs>
                      <w:tab w:val="left" w:pos="1440"/>
                    </w:tabs>
                    <w:jc w:val="center"/>
                    <w:rPr>
                      <w:szCs w:val="21"/>
                    </w:rPr>
                  </w:pPr>
                  <w:r>
                    <w:rPr>
                      <w:szCs w:val="21"/>
                    </w:rPr>
                    <w:t>人</w:t>
                  </w:r>
                </w:p>
              </w:tc>
              <w:tc>
                <w:tcPr>
                  <w:tcW w:w="2918" w:type="dxa"/>
                  <w:vAlign w:val="center"/>
                </w:tcPr>
                <w:p>
                  <w:pPr>
                    <w:tabs>
                      <w:tab w:val="left" w:pos="1440"/>
                    </w:tabs>
                    <w:jc w:val="center"/>
                    <w:rPr>
                      <w:szCs w:val="21"/>
                    </w:rPr>
                  </w:pPr>
                  <w:r>
                    <w:rPr>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dxa"/>
                  <w:vAlign w:val="center"/>
                </w:tcPr>
                <w:p>
                  <w:pPr>
                    <w:tabs>
                      <w:tab w:val="left" w:pos="1440"/>
                    </w:tabs>
                    <w:jc w:val="center"/>
                    <w:rPr>
                      <w:szCs w:val="21"/>
                    </w:rPr>
                  </w:pPr>
                  <w:r>
                    <w:rPr>
                      <w:szCs w:val="21"/>
                    </w:rPr>
                    <w:t>十</w:t>
                  </w:r>
                </w:p>
              </w:tc>
              <w:tc>
                <w:tcPr>
                  <w:tcW w:w="3242" w:type="dxa"/>
                  <w:vAlign w:val="center"/>
                </w:tcPr>
                <w:p>
                  <w:pPr>
                    <w:tabs>
                      <w:tab w:val="left" w:pos="1440"/>
                    </w:tabs>
                    <w:jc w:val="center"/>
                    <w:rPr>
                      <w:szCs w:val="21"/>
                    </w:rPr>
                  </w:pPr>
                  <w:r>
                    <w:rPr>
                      <w:szCs w:val="21"/>
                    </w:rPr>
                    <w:t>矿山劳动生产率</w:t>
                  </w:r>
                </w:p>
              </w:tc>
              <w:tc>
                <w:tcPr>
                  <w:tcW w:w="1328" w:type="dxa"/>
                  <w:vAlign w:val="center"/>
                </w:tcPr>
                <w:p>
                  <w:pPr>
                    <w:pStyle w:val="23"/>
                    <w:widowControl w:val="0"/>
                    <w:pBdr>
                      <w:left w:val="none" w:color="auto" w:sz="0" w:space="0"/>
                      <w:bottom w:val="none" w:color="auto" w:sz="0" w:space="0"/>
                      <w:right w:val="none" w:color="auto" w:sz="0" w:space="0"/>
                    </w:pBdr>
                    <w:tabs>
                      <w:tab w:val="left" w:pos="1440"/>
                    </w:tabs>
                    <w:spacing w:before="0" w:beforeAutospacing="0" w:after="0" w:afterAutospacing="0"/>
                    <w:textAlignment w:val="auto"/>
                    <w:rPr>
                      <w:rFonts w:ascii="Times New Roman" w:hAnsi="Times New Roman" w:eastAsia="宋体"/>
                      <w:kern w:val="2"/>
                      <w:sz w:val="21"/>
                      <w:szCs w:val="21"/>
                    </w:rPr>
                  </w:pPr>
                </w:p>
              </w:tc>
              <w:tc>
                <w:tcPr>
                  <w:tcW w:w="2918" w:type="dxa"/>
                  <w:vAlign w:val="center"/>
                </w:tcPr>
                <w:p>
                  <w:pPr>
                    <w:tabs>
                      <w:tab w:val="left" w:pos="1440"/>
                    </w:tabs>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dxa"/>
                  <w:vAlign w:val="center"/>
                </w:tcPr>
                <w:p>
                  <w:pPr>
                    <w:tabs>
                      <w:tab w:val="left" w:pos="1440"/>
                    </w:tabs>
                    <w:jc w:val="center"/>
                    <w:rPr>
                      <w:szCs w:val="21"/>
                    </w:rPr>
                  </w:pPr>
                </w:p>
              </w:tc>
              <w:tc>
                <w:tcPr>
                  <w:tcW w:w="3242" w:type="dxa"/>
                  <w:vAlign w:val="center"/>
                </w:tcPr>
                <w:p>
                  <w:pPr>
                    <w:tabs>
                      <w:tab w:val="left" w:pos="1440"/>
                    </w:tabs>
                    <w:jc w:val="center"/>
                    <w:rPr>
                      <w:szCs w:val="21"/>
                    </w:rPr>
                  </w:pPr>
                  <w:r>
                    <w:rPr>
                      <w:szCs w:val="21"/>
                    </w:rPr>
                    <w:t>主要生产工人</w:t>
                  </w:r>
                </w:p>
              </w:tc>
              <w:tc>
                <w:tcPr>
                  <w:tcW w:w="1328" w:type="dxa"/>
                  <w:vAlign w:val="center"/>
                </w:tcPr>
                <w:p>
                  <w:pPr>
                    <w:pStyle w:val="23"/>
                    <w:widowControl w:val="0"/>
                    <w:pBdr>
                      <w:left w:val="none" w:color="auto" w:sz="0" w:space="0"/>
                      <w:bottom w:val="none" w:color="auto" w:sz="0" w:space="0"/>
                      <w:right w:val="none" w:color="auto" w:sz="0" w:space="0"/>
                    </w:pBdr>
                    <w:tabs>
                      <w:tab w:val="left" w:pos="1440"/>
                    </w:tabs>
                    <w:spacing w:before="0" w:beforeAutospacing="0" w:after="0" w:afterAutospacing="0"/>
                    <w:textAlignment w:val="auto"/>
                    <w:rPr>
                      <w:rFonts w:ascii="Times New Roman" w:hAnsi="Times New Roman" w:eastAsia="宋体"/>
                      <w:kern w:val="2"/>
                      <w:sz w:val="21"/>
                      <w:szCs w:val="21"/>
                    </w:rPr>
                  </w:pPr>
                  <w:r>
                    <w:rPr>
                      <w:rFonts w:ascii="Times New Roman" w:hAnsi="Times New Roman" w:eastAsia="宋体"/>
                      <w:kern w:val="2"/>
                      <w:sz w:val="21"/>
                      <w:szCs w:val="21"/>
                    </w:rPr>
                    <w:t>m</w:t>
                  </w:r>
                  <w:r>
                    <w:rPr>
                      <w:rFonts w:ascii="Times New Roman" w:hAnsi="Times New Roman" w:eastAsia="宋体"/>
                      <w:kern w:val="2"/>
                      <w:sz w:val="21"/>
                      <w:szCs w:val="21"/>
                      <w:vertAlign w:val="superscript"/>
                    </w:rPr>
                    <w:t>3</w:t>
                  </w:r>
                  <w:r>
                    <w:rPr>
                      <w:rFonts w:ascii="Times New Roman" w:hAnsi="Times New Roman" w:eastAsia="宋体"/>
                      <w:kern w:val="2"/>
                      <w:sz w:val="21"/>
                      <w:szCs w:val="21"/>
                    </w:rPr>
                    <w:t>/人·a</w:t>
                  </w:r>
                </w:p>
              </w:tc>
              <w:tc>
                <w:tcPr>
                  <w:tcW w:w="2918" w:type="dxa"/>
                  <w:vAlign w:val="center"/>
                </w:tcPr>
                <w:p>
                  <w:pPr>
                    <w:tabs>
                      <w:tab w:val="left" w:pos="1440"/>
                    </w:tabs>
                    <w:jc w:val="center"/>
                    <w:rPr>
                      <w:szCs w:val="21"/>
                    </w:rPr>
                  </w:pPr>
                  <w:r>
                    <w:rPr>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dxa"/>
                  <w:vAlign w:val="center"/>
                </w:tcPr>
                <w:p>
                  <w:pPr>
                    <w:tabs>
                      <w:tab w:val="left" w:pos="1440"/>
                    </w:tabs>
                    <w:jc w:val="center"/>
                    <w:rPr>
                      <w:szCs w:val="21"/>
                    </w:rPr>
                  </w:pPr>
                  <w:r>
                    <w:rPr>
                      <w:szCs w:val="21"/>
                    </w:rPr>
                    <w:t>十一</w:t>
                  </w:r>
                </w:p>
              </w:tc>
              <w:tc>
                <w:tcPr>
                  <w:tcW w:w="3242" w:type="dxa"/>
                  <w:vAlign w:val="center"/>
                </w:tcPr>
                <w:p>
                  <w:pPr>
                    <w:tabs>
                      <w:tab w:val="left" w:pos="1440"/>
                    </w:tabs>
                    <w:jc w:val="center"/>
                    <w:rPr>
                      <w:szCs w:val="21"/>
                    </w:rPr>
                  </w:pPr>
                  <w:r>
                    <w:rPr>
                      <w:szCs w:val="21"/>
                    </w:rPr>
                    <w:t>投资指标</w:t>
                  </w:r>
                </w:p>
              </w:tc>
              <w:tc>
                <w:tcPr>
                  <w:tcW w:w="1328" w:type="dxa"/>
                  <w:vAlign w:val="center"/>
                </w:tcPr>
                <w:p>
                  <w:pPr>
                    <w:pStyle w:val="23"/>
                    <w:widowControl w:val="0"/>
                    <w:pBdr>
                      <w:left w:val="none" w:color="auto" w:sz="0" w:space="0"/>
                      <w:bottom w:val="none" w:color="auto" w:sz="0" w:space="0"/>
                      <w:right w:val="none" w:color="auto" w:sz="0" w:space="0"/>
                    </w:pBdr>
                    <w:tabs>
                      <w:tab w:val="left" w:pos="1440"/>
                    </w:tabs>
                    <w:spacing w:before="0" w:beforeAutospacing="0" w:after="0" w:afterAutospacing="0"/>
                    <w:textAlignment w:val="auto"/>
                    <w:rPr>
                      <w:rFonts w:ascii="Times New Roman" w:hAnsi="Times New Roman" w:eastAsia="宋体"/>
                      <w:kern w:val="2"/>
                      <w:sz w:val="21"/>
                      <w:szCs w:val="21"/>
                    </w:rPr>
                  </w:pPr>
                </w:p>
              </w:tc>
              <w:tc>
                <w:tcPr>
                  <w:tcW w:w="2918" w:type="dxa"/>
                  <w:vAlign w:val="center"/>
                </w:tcPr>
                <w:p>
                  <w:pPr>
                    <w:tabs>
                      <w:tab w:val="left" w:pos="1440"/>
                    </w:tabs>
                    <w:jc w:val="center"/>
                    <w:rPr>
                      <w:szCs w:val="21"/>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17" w:type="dxa"/>
                  <w:vAlign w:val="center"/>
                </w:tcPr>
                <w:p>
                  <w:pPr>
                    <w:tabs>
                      <w:tab w:val="left" w:pos="1440"/>
                    </w:tabs>
                    <w:jc w:val="center"/>
                    <w:rPr>
                      <w:szCs w:val="21"/>
                    </w:rPr>
                  </w:pPr>
                </w:p>
              </w:tc>
              <w:tc>
                <w:tcPr>
                  <w:tcW w:w="3242" w:type="dxa"/>
                  <w:vAlign w:val="center"/>
                </w:tcPr>
                <w:p>
                  <w:pPr>
                    <w:tabs>
                      <w:tab w:val="left" w:pos="1440"/>
                    </w:tabs>
                    <w:jc w:val="center"/>
                    <w:rPr>
                      <w:szCs w:val="21"/>
                    </w:rPr>
                  </w:pPr>
                  <w:r>
                    <w:rPr>
                      <w:szCs w:val="21"/>
                    </w:rPr>
                    <w:t>矿山建设投资</w:t>
                  </w:r>
                </w:p>
              </w:tc>
              <w:tc>
                <w:tcPr>
                  <w:tcW w:w="1328" w:type="dxa"/>
                  <w:vAlign w:val="center"/>
                </w:tcPr>
                <w:p>
                  <w:pPr>
                    <w:pStyle w:val="23"/>
                    <w:widowControl w:val="0"/>
                    <w:pBdr>
                      <w:left w:val="none" w:color="auto" w:sz="0" w:space="0"/>
                      <w:bottom w:val="none" w:color="auto" w:sz="0" w:space="0"/>
                      <w:right w:val="none" w:color="auto" w:sz="0" w:space="0"/>
                    </w:pBdr>
                    <w:tabs>
                      <w:tab w:val="left" w:pos="1440"/>
                    </w:tabs>
                    <w:spacing w:before="0" w:beforeAutospacing="0" w:after="0" w:afterAutospacing="0"/>
                    <w:textAlignment w:val="auto"/>
                    <w:rPr>
                      <w:rFonts w:ascii="Times New Roman" w:hAnsi="Times New Roman" w:eastAsia="宋体"/>
                      <w:kern w:val="2"/>
                      <w:sz w:val="21"/>
                      <w:szCs w:val="21"/>
                    </w:rPr>
                  </w:pPr>
                  <w:r>
                    <w:rPr>
                      <w:rFonts w:ascii="Times New Roman" w:hAnsi="Times New Roman" w:eastAsia="宋体"/>
                      <w:kern w:val="2"/>
                      <w:sz w:val="21"/>
                      <w:szCs w:val="21"/>
                    </w:rPr>
                    <w:t>万元</w:t>
                  </w:r>
                </w:p>
              </w:tc>
              <w:tc>
                <w:tcPr>
                  <w:tcW w:w="2918" w:type="dxa"/>
                  <w:vAlign w:val="center"/>
                </w:tcPr>
                <w:p>
                  <w:pPr>
                    <w:tabs>
                      <w:tab w:val="left" w:pos="1440"/>
                    </w:tabs>
                    <w:jc w:val="center"/>
                    <w:rPr>
                      <w:szCs w:val="21"/>
                      <w:highlight w:val="red"/>
                    </w:rPr>
                  </w:pPr>
                  <w:r>
                    <w:rPr>
                      <w:rFonts w:hint="eastAsia"/>
                      <w:szCs w:val="21"/>
                    </w:rPr>
                    <w:t>7930.54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dxa"/>
                  <w:vAlign w:val="center"/>
                </w:tcPr>
                <w:p>
                  <w:pPr>
                    <w:tabs>
                      <w:tab w:val="left" w:pos="1440"/>
                    </w:tabs>
                    <w:jc w:val="center"/>
                    <w:rPr>
                      <w:szCs w:val="21"/>
                    </w:rPr>
                  </w:pPr>
                  <w:r>
                    <w:rPr>
                      <w:szCs w:val="21"/>
                    </w:rPr>
                    <w:t>十二</w:t>
                  </w:r>
                </w:p>
              </w:tc>
              <w:tc>
                <w:tcPr>
                  <w:tcW w:w="3242" w:type="dxa"/>
                  <w:vAlign w:val="center"/>
                </w:tcPr>
                <w:p>
                  <w:pPr>
                    <w:tabs>
                      <w:tab w:val="left" w:pos="1440"/>
                    </w:tabs>
                    <w:jc w:val="center"/>
                    <w:rPr>
                      <w:szCs w:val="21"/>
                    </w:rPr>
                  </w:pPr>
                  <w:r>
                    <w:rPr>
                      <w:szCs w:val="21"/>
                    </w:rPr>
                    <w:t>财务评价指标</w:t>
                  </w:r>
                </w:p>
              </w:tc>
              <w:tc>
                <w:tcPr>
                  <w:tcW w:w="1328" w:type="dxa"/>
                  <w:vAlign w:val="center"/>
                </w:tcPr>
                <w:p>
                  <w:pPr>
                    <w:pStyle w:val="23"/>
                    <w:widowControl w:val="0"/>
                    <w:pBdr>
                      <w:left w:val="none" w:color="auto" w:sz="0" w:space="0"/>
                      <w:bottom w:val="none" w:color="auto" w:sz="0" w:space="0"/>
                      <w:right w:val="none" w:color="auto" w:sz="0" w:space="0"/>
                    </w:pBdr>
                    <w:tabs>
                      <w:tab w:val="left" w:pos="1440"/>
                    </w:tabs>
                    <w:spacing w:before="0" w:beforeAutospacing="0" w:after="0" w:afterAutospacing="0"/>
                    <w:textAlignment w:val="auto"/>
                    <w:rPr>
                      <w:rFonts w:ascii="Times New Roman" w:hAnsi="Times New Roman" w:eastAsia="宋体"/>
                      <w:kern w:val="2"/>
                      <w:sz w:val="21"/>
                      <w:szCs w:val="21"/>
                    </w:rPr>
                  </w:pPr>
                </w:p>
              </w:tc>
              <w:tc>
                <w:tcPr>
                  <w:tcW w:w="2918" w:type="dxa"/>
                  <w:vAlign w:val="center"/>
                </w:tcPr>
                <w:p>
                  <w:pPr>
                    <w:tabs>
                      <w:tab w:val="left" w:pos="1440"/>
                    </w:tabs>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dxa"/>
                  <w:vAlign w:val="center"/>
                </w:tcPr>
                <w:p>
                  <w:pPr>
                    <w:tabs>
                      <w:tab w:val="left" w:pos="1440"/>
                    </w:tabs>
                    <w:jc w:val="center"/>
                    <w:rPr>
                      <w:szCs w:val="21"/>
                    </w:rPr>
                  </w:pPr>
                </w:p>
              </w:tc>
              <w:tc>
                <w:tcPr>
                  <w:tcW w:w="3242" w:type="dxa"/>
                  <w:vAlign w:val="center"/>
                </w:tcPr>
                <w:p>
                  <w:pPr>
                    <w:tabs>
                      <w:tab w:val="left" w:pos="1440"/>
                    </w:tabs>
                    <w:jc w:val="center"/>
                    <w:rPr>
                      <w:szCs w:val="21"/>
                    </w:rPr>
                  </w:pPr>
                  <w:r>
                    <w:rPr>
                      <w:szCs w:val="21"/>
                    </w:rPr>
                    <w:t>年销售收入</w:t>
                  </w:r>
                </w:p>
              </w:tc>
              <w:tc>
                <w:tcPr>
                  <w:tcW w:w="1328" w:type="dxa"/>
                  <w:vAlign w:val="center"/>
                </w:tcPr>
                <w:p>
                  <w:pPr>
                    <w:pStyle w:val="23"/>
                    <w:widowControl w:val="0"/>
                    <w:pBdr>
                      <w:left w:val="none" w:color="auto" w:sz="0" w:space="0"/>
                      <w:bottom w:val="none" w:color="auto" w:sz="0" w:space="0"/>
                      <w:right w:val="none" w:color="auto" w:sz="0" w:space="0"/>
                    </w:pBdr>
                    <w:tabs>
                      <w:tab w:val="left" w:pos="1440"/>
                    </w:tabs>
                    <w:spacing w:before="0" w:beforeAutospacing="0" w:after="0" w:afterAutospacing="0"/>
                    <w:textAlignment w:val="auto"/>
                    <w:rPr>
                      <w:rFonts w:ascii="Times New Roman" w:hAnsi="Times New Roman" w:eastAsia="宋体"/>
                      <w:kern w:val="2"/>
                      <w:sz w:val="21"/>
                      <w:szCs w:val="21"/>
                    </w:rPr>
                  </w:pPr>
                  <w:r>
                    <w:rPr>
                      <w:rFonts w:ascii="Times New Roman" w:hAnsi="Times New Roman" w:eastAsia="宋体"/>
                      <w:kern w:val="2"/>
                      <w:sz w:val="21"/>
                      <w:szCs w:val="21"/>
                    </w:rPr>
                    <w:t>万元</w:t>
                  </w:r>
                </w:p>
              </w:tc>
              <w:tc>
                <w:tcPr>
                  <w:tcW w:w="2918" w:type="dxa"/>
                  <w:vAlign w:val="center"/>
                </w:tcPr>
                <w:p>
                  <w:pPr>
                    <w:tabs>
                      <w:tab w:val="left" w:pos="1440"/>
                    </w:tabs>
                    <w:jc w:val="center"/>
                    <w:rPr>
                      <w:szCs w:val="21"/>
                    </w:rPr>
                  </w:pPr>
                  <w:r>
                    <w:rPr>
                      <w:szCs w:val="21"/>
                    </w:rPr>
                    <w:t>18400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dxa"/>
                  <w:vAlign w:val="center"/>
                </w:tcPr>
                <w:p>
                  <w:pPr>
                    <w:tabs>
                      <w:tab w:val="left" w:pos="1440"/>
                    </w:tabs>
                    <w:jc w:val="center"/>
                    <w:rPr>
                      <w:szCs w:val="21"/>
                    </w:rPr>
                  </w:pPr>
                </w:p>
              </w:tc>
              <w:tc>
                <w:tcPr>
                  <w:tcW w:w="3242" w:type="dxa"/>
                  <w:vAlign w:val="center"/>
                </w:tcPr>
                <w:p>
                  <w:pPr>
                    <w:tabs>
                      <w:tab w:val="left" w:pos="1440"/>
                    </w:tabs>
                    <w:jc w:val="center"/>
                    <w:rPr>
                      <w:szCs w:val="21"/>
                    </w:rPr>
                  </w:pPr>
                  <w:r>
                    <w:rPr>
                      <w:szCs w:val="21"/>
                    </w:rPr>
                    <w:t>年均总成本</w:t>
                  </w:r>
                </w:p>
              </w:tc>
              <w:tc>
                <w:tcPr>
                  <w:tcW w:w="1328" w:type="dxa"/>
                  <w:vAlign w:val="center"/>
                </w:tcPr>
                <w:p>
                  <w:pPr>
                    <w:pStyle w:val="23"/>
                    <w:widowControl w:val="0"/>
                    <w:pBdr>
                      <w:left w:val="none" w:color="auto" w:sz="0" w:space="0"/>
                      <w:bottom w:val="none" w:color="auto" w:sz="0" w:space="0"/>
                      <w:right w:val="none" w:color="auto" w:sz="0" w:space="0"/>
                    </w:pBdr>
                    <w:tabs>
                      <w:tab w:val="left" w:pos="1440"/>
                    </w:tabs>
                    <w:spacing w:before="0" w:beforeAutospacing="0" w:after="0" w:afterAutospacing="0"/>
                    <w:textAlignment w:val="auto"/>
                    <w:rPr>
                      <w:rFonts w:ascii="Times New Roman" w:hAnsi="Times New Roman" w:eastAsia="宋体"/>
                      <w:kern w:val="2"/>
                      <w:sz w:val="21"/>
                      <w:szCs w:val="21"/>
                    </w:rPr>
                  </w:pPr>
                  <w:r>
                    <w:rPr>
                      <w:rFonts w:ascii="Times New Roman" w:hAnsi="Times New Roman" w:eastAsia="宋体"/>
                      <w:kern w:val="2"/>
                      <w:sz w:val="21"/>
                      <w:szCs w:val="21"/>
                    </w:rPr>
                    <w:t>万元</w:t>
                  </w:r>
                </w:p>
              </w:tc>
              <w:tc>
                <w:tcPr>
                  <w:tcW w:w="2918" w:type="dxa"/>
                  <w:vAlign w:val="center"/>
                </w:tcPr>
                <w:p>
                  <w:pPr>
                    <w:tabs>
                      <w:tab w:val="left" w:pos="1440"/>
                    </w:tabs>
                    <w:jc w:val="center"/>
                    <w:rPr>
                      <w:szCs w:val="21"/>
                    </w:rPr>
                  </w:pPr>
                  <w:r>
                    <w:rPr>
                      <w:szCs w:val="21"/>
                    </w:rPr>
                    <w:t>13189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17" w:type="dxa"/>
                  <w:vAlign w:val="center"/>
                </w:tcPr>
                <w:p>
                  <w:pPr>
                    <w:tabs>
                      <w:tab w:val="left" w:pos="1440"/>
                    </w:tabs>
                    <w:jc w:val="center"/>
                    <w:rPr>
                      <w:szCs w:val="21"/>
                    </w:rPr>
                  </w:pPr>
                </w:p>
              </w:tc>
              <w:tc>
                <w:tcPr>
                  <w:tcW w:w="3242" w:type="dxa"/>
                  <w:vAlign w:val="center"/>
                </w:tcPr>
                <w:p>
                  <w:pPr>
                    <w:tabs>
                      <w:tab w:val="left" w:pos="1440"/>
                    </w:tabs>
                    <w:jc w:val="center"/>
                    <w:rPr>
                      <w:szCs w:val="21"/>
                    </w:rPr>
                  </w:pPr>
                  <w:r>
                    <w:rPr>
                      <w:szCs w:val="21"/>
                    </w:rPr>
                    <w:t>年均净利润</w:t>
                  </w:r>
                </w:p>
              </w:tc>
              <w:tc>
                <w:tcPr>
                  <w:tcW w:w="1328" w:type="dxa"/>
                  <w:vAlign w:val="center"/>
                </w:tcPr>
                <w:p>
                  <w:pPr>
                    <w:pStyle w:val="23"/>
                    <w:widowControl w:val="0"/>
                    <w:pBdr>
                      <w:left w:val="none" w:color="auto" w:sz="0" w:space="0"/>
                      <w:bottom w:val="none" w:color="auto" w:sz="0" w:space="0"/>
                      <w:right w:val="none" w:color="auto" w:sz="0" w:space="0"/>
                    </w:pBdr>
                    <w:tabs>
                      <w:tab w:val="left" w:pos="1440"/>
                    </w:tabs>
                    <w:spacing w:before="0" w:beforeAutospacing="0" w:after="0" w:afterAutospacing="0"/>
                    <w:textAlignment w:val="auto"/>
                    <w:rPr>
                      <w:rFonts w:ascii="Times New Roman" w:hAnsi="Times New Roman" w:eastAsia="宋体"/>
                      <w:kern w:val="2"/>
                      <w:sz w:val="21"/>
                      <w:szCs w:val="21"/>
                    </w:rPr>
                  </w:pPr>
                  <w:r>
                    <w:rPr>
                      <w:rFonts w:ascii="Times New Roman" w:hAnsi="Times New Roman" w:eastAsia="宋体"/>
                      <w:kern w:val="2"/>
                      <w:sz w:val="21"/>
                      <w:szCs w:val="21"/>
                    </w:rPr>
                    <w:t>万元</w:t>
                  </w:r>
                </w:p>
              </w:tc>
              <w:tc>
                <w:tcPr>
                  <w:tcW w:w="2918" w:type="dxa"/>
                  <w:vAlign w:val="center"/>
                </w:tcPr>
                <w:p>
                  <w:pPr>
                    <w:tabs>
                      <w:tab w:val="left" w:pos="1440"/>
                    </w:tabs>
                    <w:jc w:val="center"/>
                    <w:rPr>
                      <w:szCs w:val="21"/>
                    </w:rPr>
                  </w:pPr>
                  <w:r>
                    <w:rPr>
                      <w:szCs w:val="21"/>
                    </w:rPr>
                    <w:t>2392.39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dxa"/>
                  <w:vAlign w:val="center"/>
                </w:tcPr>
                <w:p>
                  <w:pPr>
                    <w:tabs>
                      <w:tab w:val="left" w:pos="1440"/>
                    </w:tabs>
                    <w:jc w:val="center"/>
                    <w:rPr>
                      <w:szCs w:val="21"/>
                    </w:rPr>
                  </w:pPr>
                </w:p>
              </w:tc>
              <w:tc>
                <w:tcPr>
                  <w:tcW w:w="3242" w:type="dxa"/>
                  <w:vAlign w:val="center"/>
                </w:tcPr>
                <w:p>
                  <w:pPr>
                    <w:tabs>
                      <w:tab w:val="left" w:pos="1440"/>
                    </w:tabs>
                    <w:jc w:val="center"/>
                    <w:rPr>
                      <w:szCs w:val="21"/>
                    </w:rPr>
                  </w:pPr>
                  <w:r>
                    <w:rPr>
                      <w:szCs w:val="21"/>
                    </w:rPr>
                    <w:t>投资回收期（所得税前）</w:t>
                  </w:r>
                </w:p>
              </w:tc>
              <w:tc>
                <w:tcPr>
                  <w:tcW w:w="1328" w:type="dxa"/>
                  <w:vAlign w:val="center"/>
                </w:tcPr>
                <w:p>
                  <w:pPr>
                    <w:pStyle w:val="23"/>
                    <w:widowControl w:val="0"/>
                    <w:pBdr>
                      <w:left w:val="none" w:color="auto" w:sz="0" w:space="0"/>
                      <w:bottom w:val="none" w:color="auto" w:sz="0" w:space="0"/>
                      <w:right w:val="none" w:color="auto" w:sz="0" w:space="0"/>
                    </w:pBdr>
                    <w:tabs>
                      <w:tab w:val="left" w:pos="1440"/>
                    </w:tabs>
                    <w:spacing w:before="0" w:beforeAutospacing="0" w:after="0" w:afterAutospacing="0"/>
                    <w:textAlignment w:val="auto"/>
                    <w:rPr>
                      <w:rFonts w:ascii="Times New Roman" w:hAnsi="Times New Roman" w:eastAsia="宋体"/>
                      <w:kern w:val="2"/>
                      <w:sz w:val="21"/>
                      <w:szCs w:val="21"/>
                    </w:rPr>
                  </w:pPr>
                  <w:r>
                    <w:rPr>
                      <w:rFonts w:ascii="Times New Roman" w:hAnsi="Times New Roman" w:eastAsia="宋体"/>
                      <w:kern w:val="2"/>
                      <w:sz w:val="21"/>
                      <w:szCs w:val="21"/>
                    </w:rPr>
                    <w:t>a</w:t>
                  </w:r>
                </w:p>
              </w:tc>
              <w:tc>
                <w:tcPr>
                  <w:tcW w:w="2918" w:type="dxa"/>
                  <w:vAlign w:val="center"/>
                </w:tcPr>
                <w:p>
                  <w:pPr>
                    <w:tabs>
                      <w:tab w:val="left" w:pos="1440"/>
                    </w:tabs>
                    <w:jc w:val="center"/>
                    <w:rPr>
                      <w:szCs w:val="21"/>
                    </w:rPr>
                  </w:pPr>
                  <w:r>
                    <w:rPr>
                      <w:szCs w:val="21"/>
                    </w:rPr>
                    <w:t>3.6</w:t>
                  </w:r>
                </w:p>
              </w:tc>
            </w:tr>
          </w:tbl>
          <w:p>
            <w:pPr>
              <w:spacing w:line="360" w:lineRule="auto"/>
              <w:rPr>
                <w:b/>
                <w:sz w:val="24"/>
              </w:rPr>
            </w:pPr>
            <w:r>
              <w:rPr>
                <w:b/>
                <w:sz w:val="24"/>
              </w:rPr>
              <w:t>与本项目有关的原有污染情况及主要环境问题：</w:t>
            </w:r>
          </w:p>
          <w:p>
            <w:pPr>
              <w:spacing w:line="360" w:lineRule="auto"/>
              <w:ind w:firstLine="480" w:firstLineChars="200"/>
              <w:rPr>
                <w:sz w:val="24"/>
              </w:rPr>
            </w:pPr>
            <w:r>
              <w:rPr>
                <w:sz w:val="24"/>
              </w:rPr>
              <w:t>该矿山自上世纪九十年代小规模开采以来，形成多个开采宕口。于201</w:t>
            </w:r>
            <w:r>
              <w:rPr>
                <w:rFonts w:hint="eastAsia"/>
                <w:sz w:val="24"/>
              </w:rPr>
              <w:t>6</w:t>
            </w:r>
            <w:r>
              <w:rPr>
                <w:sz w:val="24"/>
              </w:rPr>
              <w:t>年</w:t>
            </w:r>
            <w:r>
              <w:rPr>
                <w:rFonts w:hint="eastAsia"/>
                <w:sz w:val="24"/>
              </w:rPr>
              <w:t>底</w:t>
            </w:r>
            <w:r>
              <w:rPr>
                <w:sz w:val="24"/>
              </w:rPr>
              <w:t>汶上县国土资源局对该矿区分布的采石矿点采矿许可证到期后关停，终止采矿权，</w:t>
            </w:r>
            <w:r>
              <w:rPr>
                <w:rFonts w:hint="eastAsia"/>
                <w:sz w:val="24"/>
              </w:rPr>
              <w:t>通过对</w:t>
            </w:r>
            <w:r>
              <w:rPr>
                <w:sz w:val="24"/>
              </w:rPr>
              <w:t>矿山资源进行整合</w:t>
            </w:r>
            <w:r>
              <w:rPr>
                <w:rFonts w:hint="eastAsia"/>
                <w:sz w:val="24"/>
              </w:rPr>
              <w:t>后</w:t>
            </w:r>
            <w:r>
              <w:rPr>
                <w:sz w:val="24"/>
              </w:rPr>
              <w:t>划分为四个矿区并设置采矿权，于 2017年5月汶上县国土资源局分别对四个矿区采矿权进行协议出让，并分别颁发了汶上县闵兴矿业有限公司、汶上县兴盛矿业有限公司、汶上县鸿顺矿业有限公司的采矿许可证，各家办证情况见表1-</w:t>
            </w:r>
            <w:r>
              <w:rPr>
                <w:rFonts w:hint="eastAsia"/>
                <w:sz w:val="24"/>
              </w:rPr>
              <w:t>9</w:t>
            </w:r>
            <w:r>
              <w:rPr>
                <w:sz w:val="24"/>
              </w:rPr>
              <w:t>。</w:t>
            </w:r>
          </w:p>
          <w:p>
            <w:pPr>
              <w:ind w:firstLine="481" w:firstLineChars="200"/>
              <w:jc w:val="center"/>
              <w:rPr>
                <w:b/>
                <w:bCs/>
                <w:sz w:val="24"/>
              </w:rPr>
            </w:pPr>
            <w:r>
              <w:rPr>
                <w:b/>
                <w:bCs/>
                <w:sz w:val="24"/>
              </w:rPr>
              <w:t>表1-</w:t>
            </w:r>
            <w:r>
              <w:rPr>
                <w:rFonts w:hint="eastAsia"/>
                <w:b/>
                <w:bCs/>
                <w:sz w:val="24"/>
              </w:rPr>
              <w:t>9 原采矿权设置情况一览表</w:t>
            </w:r>
          </w:p>
          <w:tbl>
            <w:tblPr>
              <w:tblStyle w:val="15"/>
              <w:tblW w:w="9080" w:type="dxa"/>
              <w:jc w:val="center"/>
              <w:tblLayout w:type="fixed"/>
              <w:tblCellMar>
                <w:top w:w="0" w:type="dxa"/>
                <w:left w:w="0" w:type="dxa"/>
                <w:bottom w:w="0" w:type="dxa"/>
                <w:right w:w="0" w:type="dxa"/>
              </w:tblCellMar>
            </w:tblPr>
            <w:tblGrid>
              <w:gridCol w:w="966"/>
              <w:gridCol w:w="970"/>
              <w:gridCol w:w="1067"/>
              <w:gridCol w:w="1193"/>
              <w:gridCol w:w="1774"/>
              <w:gridCol w:w="1039"/>
              <w:gridCol w:w="1193"/>
              <w:gridCol w:w="878"/>
            </w:tblGrid>
            <w:tr>
              <w:tblPrEx>
                <w:tblCellMar>
                  <w:top w:w="0" w:type="dxa"/>
                  <w:left w:w="0" w:type="dxa"/>
                  <w:bottom w:w="0" w:type="dxa"/>
                  <w:right w:w="0" w:type="dxa"/>
                </w:tblCellMar>
              </w:tblPrEx>
              <w:trPr>
                <w:trHeight w:val="23" w:hRule="atLeas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adjustRightInd w:val="0"/>
                    <w:spacing w:line="300" w:lineRule="exact"/>
                    <w:jc w:val="center"/>
                    <w:rPr>
                      <w:kern w:val="0"/>
                      <w:sz w:val="18"/>
                      <w:szCs w:val="18"/>
                    </w:rPr>
                  </w:pPr>
                  <w:r>
                    <w:rPr>
                      <w:kern w:val="0"/>
                      <w:sz w:val="18"/>
                      <w:szCs w:val="18"/>
                    </w:rPr>
                    <w:t>矿山名称</w:t>
                  </w:r>
                </w:p>
              </w:tc>
              <w:tc>
                <w:tcPr>
                  <w:tcW w:w="9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adjustRightInd w:val="0"/>
                    <w:spacing w:line="300" w:lineRule="exact"/>
                    <w:jc w:val="center"/>
                    <w:rPr>
                      <w:kern w:val="0"/>
                      <w:sz w:val="18"/>
                      <w:szCs w:val="18"/>
                    </w:rPr>
                  </w:pPr>
                  <w:r>
                    <w:rPr>
                      <w:kern w:val="0"/>
                      <w:sz w:val="18"/>
                      <w:szCs w:val="18"/>
                    </w:rPr>
                    <w:t>企业性质</w:t>
                  </w:r>
                </w:p>
              </w:tc>
              <w:tc>
                <w:tcPr>
                  <w:tcW w:w="10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adjustRightInd w:val="0"/>
                    <w:spacing w:line="300" w:lineRule="exact"/>
                    <w:jc w:val="center"/>
                    <w:rPr>
                      <w:kern w:val="0"/>
                      <w:sz w:val="18"/>
                      <w:szCs w:val="18"/>
                    </w:rPr>
                  </w:pPr>
                  <w:r>
                    <w:rPr>
                      <w:kern w:val="0"/>
                      <w:sz w:val="18"/>
                      <w:szCs w:val="18"/>
                    </w:rPr>
                    <w:t>采矿权人</w:t>
                  </w:r>
                </w:p>
              </w:tc>
              <w:tc>
                <w:tcPr>
                  <w:tcW w:w="11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adjustRightInd w:val="0"/>
                    <w:spacing w:line="300" w:lineRule="exact"/>
                    <w:jc w:val="center"/>
                    <w:rPr>
                      <w:kern w:val="0"/>
                      <w:sz w:val="18"/>
                      <w:szCs w:val="18"/>
                    </w:rPr>
                  </w:pPr>
                  <w:r>
                    <w:rPr>
                      <w:kern w:val="0"/>
                      <w:sz w:val="18"/>
                      <w:szCs w:val="18"/>
                    </w:rPr>
                    <w:t>开采矿种</w:t>
                  </w: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adjustRightInd w:val="0"/>
                    <w:spacing w:line="300" w:lineRule="exact"/>
                    <w:jc w:val="center"/>
                    <w:rPr>
                      <w:kern w:val="0"/>
                      <w:sz w:val="18"/>
                      <w:szCs w:val="18"/>
                    </w:rPr>
                  </w:pPr>
                  <w:r>
                    <w:rPr>
                      <w:kern w:val="0"/>
                      <w:sz w:val="18"/>
                      <w:szCs w:val="18"/>
                    </w:rPr>
                    <w:t>采矿许可证号及</w:t>
                  </w:r>
                </w:p>
                <w:p>
                  <w:pPr>
                    <w:autoSpaceDE w:val="0"/>
                    <w:autoSpaceDN w:val="0"/>
                    <w:adjustRightInd w:val="0"/>
                    <w:spacing w:line="300" w:lineRule="exact"/>
                    <w:jc w:val="center"/>
                    <w:rPr>
                      <w:kern w:val="0"/>
                      <w:sz w:val="18"/>
                      <w:szCs w:val="18"/>
                    </w:rPr>
                  </w:pPr>
                  <w:r>
                    <w:rPr>
                      <w:kern w:val="0"/>
                      <w:sz w:val="18"/>
                      <w:szCs w:val="18"/>
                    </w:rPr>
                    <w:t>发证单位</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adjustRightInd w:val="0"/>
                    <w:spacing w:line="300" w:lineRule="exact"/>
                    <w:jc w:val="center"/>
                    <w:rPr>
                      <w:kern w:val="0"/>
                      <w:sz w:val="18"/>
                      <w:szCs w:val="18"/>
                    </w:rPr>
                  </w:pPr>
                  <w:r>
                    <w:rPr>
                      <w:kern w:val="0"/>
                      <w:sz w:val="18"/>
                      <w:szCs w:val="18"/>
                    </w:rPr>
                    <w:t>开采方式</w:t>
                  </w:r>
                </w:p>
              </w:tc>
              <w:tc>
                <w:tcPr>
                  <w:tcW w:w="1193" w:type="dxa"/>
                  <w:tcBorders>
                    <w:top w:val="single" w:color="000000" w:sz="4" w:space="0"/>
                    <w:left w:val="single" w:color="000000" w:sz="4" w:space="0"/>
                    <w:bottom w:val="single" w:color="000000" w:sz="4" w:space="0"/>
                    <w:right w:val="single" w:color="auto" w:sz="4" w:space="0"/>
                  </w:tcBorders>
                  <w:shd w:val="clear" w:color="auto" w:fill="FFFFFF"/>
                  <w:noWrap/>
                  <w:vAlign w:val="center"/>
                </w:tcPr>
                <w:p>
                  <w:pPr>
                    <w:autoSpaceDE w:val="0"/>
                    <w:autoSpaceDN w:val="0"/>
                    <w:adjustRightInd w:val="0"/>
                    <w:spacing w:line="300" w:lineRule="exact"/>
                    <w:jc w:val="center"/>
                    <w:rPr>
                      <w:kern w:val="0"/>
                      <w:sz w:val="18"/>
                      <w:szCs w:val="18"/>
                    </w:rPr>
                  </w:pPr>
                  <w:r>
                    <w:rPr>
                      <w:kern w:val="0"/>
                      <w:sz w:val="18"/>
                      <w:szCs w:val="18"/>
                    </w:rPr>
                    <w:t>采矿许可证</w:t>
                  </w:r>
                </w:p>
                <w:p>
                  <w:pPr>
                    <w:autoSpaceDE w:val="0"/>
                    <w:autoSpaceDN w:val="0"/>
                    <w:adjustRightInd w:val="0"/>
                    <w:spacing w:line="300" w:lineRule="exact"/>
                    <w:jc w:val="center"/>
                    <w:rPr>
                      <w:kern w:val="0"/>
                      <w:sz w:val="18"/>
                      <w:szCs w:val="18"/>
                    </w:rPr>
                  </w:pPr>
                  <w:r>
                    <w:rPr>
                      <w:kern w:val="0"/>
                      <w:sz w:val="18"/>
                      <w:szCs w:val="18"/>
                    </w:rPr>
                    <w:t>（有效期）</w:t>
                  </w:r>
                </w:p>
              </w:tc>
              <w:tc>
                <w:tcPr>
                  <w:tcW w:w="878" w:type="dxa"/>
                  <w:tcBorders>
                    <w:top w:val="single" w:color="000000" w:sz="4" w:space="0"/>
                    <w:left w:val="single" w:color="auto" w:sz="4" w:space="0"/>
                    <w:bottom w:val="single" w:color="000000" w:sz="4" w:space="0"/>
                    <w:right w:val="single" w:color="auto" w:sz="4" w:space="0"/>
                  </w:tcBorders>
                  <w:shd w:val="clear" w:color="auto" w:fill="FFFFFF"/>
                  <w:noWrap/>
                  <w:vAlign w:val="center"/>
                </w:tcPr>
                <w:p>
                  <w:pPr>
                    <w:autoSpaceDE w:val="0"/>
                    <w:autoSpaceDN w:val="0"/>
                    <w:adjustRightInd w:val="0"/>
                    <w:spacing w:line="300" w:lineRule="exact"/>
                    <w:jc w:val="center"/>
                    <w:rPr>
                      <w:kern w:val="0"/>
                      <w:sz w:val="18"/>
                      <w:szCs w:val="18"/>
                    </w:rPr>
                  </w:pPr>
                  <w:r>
                    <w:rPr>
                      <w:kern w:val="0"/>
                      <w:sz w:val="18"/>
                      <w:szCs w:val="18"/>
                    </w:rPr>
                    <w:t>备注</w:t>
                  </w:r>
                </w:p>
              </w:tc>
            </w:tr>
            <w:tr>
              <w:tblPrEx>
                <w:tblCellMar>
                  <w:top w:w="0" w:type="dxa"/>
                  <w:left w:w="0" w:type="dxa"/>
                  <w:bottom w:w="0" w:type="dxa"/>
                  <w:right w:w="0" w:type="dxa"/>
                </w:tblCellMar>
              </w:tblPrEx>
              <w:trPr>
                <w:trHeight w:val="1176" w:hRule="atLeas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adjustRightInd w:val="0"/>
                    <w:spacing w:line="300" w:lineRule="exact"/>
                    <w:jc w:val="center"/>
                    <w:rPr>
                      <w:kern w:val="0"/>
                      <w:sz w:val="18"/>
                      <w:szCs w:val="18"/>
                    </w:rPr>
                  </w:pPr>
                  <w:r>
                    <w:rPr>
                      <w:kern w:val="0"/>
                      <w:sz w:val="18"/>
                      <w:szCs w:val="18"/>
                    </w:rPr>
                    <w:t>白石镇</w:t>
                  </w:r>
                </w:p>
                <w:p>
                  <w:pPr>
                    <w:autoSpaceDE w:val="0"/>
                    <w:autoSpaceDN w:val="0"/>
                    <w:adjustRightInd w:val="0"/>
                    <w:spacing w:line="300" w:lineRule="exact"/>
                    <w:jc w:val="center"/>
                    <w:rPr>
                      <w:kern w:val="0"/>
                      <w:sz w:val="18"/>
                      <w:szCs w:val="18"/>
                    </w:rPr>
                  </w:pPr>
                  <w:r>
                    <w:rPr>
                      <w:kern w:val="0"/>
                      <w:sz w:val="18"/>
                      <w:szCs w:val="18"/>
                    </w:rPr>
                    <w:t>东老塘东</w:t>
                  </w:r>
                </w:p>
                <w:p>
                  <w:pPr>
                    <w:autoSpaceDE w:val="0"/>
                    <w:autoSpaceDN w:val="0"/>
                    <w:adjustRightInd w:val="0"/>
                    <w:spacing w:line="300" w:lineRule="exact"/>
                    <w:jc w:val="center"/>
                    <w:rPr>
                      <w:kern w:val="0"/>
                      <w:sz w:val="18"/>
                      <w:szCs w:val="18"/>
                    </w:rPr>
                  </w:pPr>
                  <w:r>
                    <w:rPr>
                      <w:kern w:val="0"/>
                      <w:sz w:val="18"/>
                      <w:szCs w:val="18"/>
                    </w:rPr>
                    <w:t>矿区</w:t>
                  </w:r>
                </w:p>
              </w:tc>
              <w:tc>
                <w:tcPr>
                  <w:tcW w:w="9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adjustRightInd w:val="0"/>
                    <w:spacing w:line="300" w:lineRule="exact"/>
                    <w:jc w:val="center"/>
                    <w:rPr>
                      <w:kern w:val="0"/>
                      <w:sz w:val="18"/>
                      <w:szCs w:val="18"/>
                    </w:rPr>
                  </w:pPr>
                  <w:r>
                    <w:rPr>
                      <w:kern w:val="0"/>
                      <w:sz w:val="18"/>
                      <w:szCs w:val="18"/>
                    </w:rPr>
                    <w:t>股份合作</w:t>
                  </w:r>
                </w:p>
                <w:p>
                  <w:pPr>
                    <w:autoSpaceDE w:val="0"/>
                    <w:autoSpaceDN w:val="0"/>
                    <w:adjustRightInd w:val="0"/>
                    <w:spacing w:line="300" w:lineRule="exact"/>
                    <w:jc w:val="center"/>
                    <w:rPr>
                      <w:kern w:val="0"/>
                      <w:sz w:val="18"/>
                      <w:szCs w:val="18"/>
                    </w:rPr>
                  </w:pPr>
                  <w:r>
                    <w:rPr>
                      <w:kern w:val="0"/>
                      <w:sz w:val="18"/>
                      <w:szCs w:val="18"/>
                    </w:rPr>
                    <w:t>企业</w:t>
                  </w:r>
                </w:p>
              </w:tc>
              <w:tc>
                <w:tcPr>
                  <w:tcW w:w="10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adjustRightInd w:val="0"/>
                    <w:spacing w:line="300" w:lineRule="exact"/>
                    <w:jc w:val="center"/>
                    <w:rPr>
                      <w:kern w:val="0"/>
                      <w:sz w:val="18"/>
                      <w:szCs w:val="18"/>
                    </w:rPr>
                  </w:pPr>
                  <w:r>
                    <w:rPr>
                      <w:sz w:val="18"/>
                      <w:szCs w:val="18"/>
                    </w:rPr>
                    <w:t>汶上县闵兴矿业有限公司</w:t>
                  </w:r>
                </w:p>
              </w:tc>
              <w:tc>
                <w:tcPr>
                  <w:tcW w:w="11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adjustRightInd w:val="0"/>
                    <w:spacing w:line="300" w:lineRule="exact"/>
                    <w:jc w:val="center"/>
                    <w:rPr>
                      <w:kern w:val="0"/>
                      <w:sz w:val="18"/>
                      <w:szCs w:val="18"/>
                    </w:rPr>
                  </w:pPr>
                  <w:r>
                    <w:rPr>
                      <w:kern w:val="0"/>
                      <w:sz w:val="18"/>
                      <w:szCs w:val="18"/>
                    </w:rPr>
                    <w:t>建筑用</w:t>
                  </w:r>
                </w:p>
                <w:p>
                  <w:pPr>
                    <w:autoSpaceDE w:val="0"/>
                    <w:autoSpaceDN w:val="0"/>
                    <w:adjustRightInd w:val="0"/>
                    <w:spacing w:line="300" w:lineRule="exact"/>
                    <w:jc w:val="center"/>
                    <w:rPr>
                      <w:kern w:val="0"/>
                      <w:sz w:val="18"/>
                      <w:szCs w:val="18"/>
                    </w:rPr>
                  </w:pPr>
                  <w:r>
                    <w:rPr>
                      <w:kern w:val="0"/>
                      <w:sz w:val="18"/>
                      <w:szCs w:val="18"/>
                    </w:rPr>
                    <w:t>花岗岩</w:t>
                  </w: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adjustRightInd w:val="0"/>
                    <w:spacing w:line="300" w:lineRule="exact"/>
                    <w:jc w:val="center"/>
                    <w:rPr>
                      <w:kern w:val="0"/>
                      <w:sz w:val="18"/>
                      <w:szCs w:val="18"/>
                    </w:rPr>
                  </w:pPr>
                  <w:r>
                    <w:rPr>
                      <w:kern w:val="0"/>
                      <w:sz w:val="18"/>
                      <w:szCs w:val="18"/>
                    </w:rPr>
                    <w:t>C37083020101071300</w:t>
                  </w:r>
                </w:p>
                <w:p>
                  <w:pPr>
                    <w:autoSpaceDE w:val="0"/>
                    <w:autoSpaceDN w:val="0"/>
                    <w:adjustRightInd w:val="0"/>
                    <w:spacing w:line="300" w:lineRule="exact"/>
                    <w:jc w:val="center"/>
                    <w:rPr>
                      <w:kern w:val="0"/>
                      <w:sz w:val="18"/>
                      <w:szCs w:val="18"/>
                    </w:rPr>
                  </w:pPr>
                  <w:r>
                    <w:rPr>
                      <w:kern w:val="0"/>
                      <w:sz w:val="18"/>
                      <w:szCs w:val="18"/>
                    </w:rPr>
                    <w:t>76721</w:t>
                  </w:r>
                </w:p>
                <w:p>
                  <w:pPr>
                    <w:autoSpaceDE w:val="0"/>
                    <w:autoSpaceDN w:val="0"/>
                    <w:adjustRightInd w:val="0"/>
                    <w:spacing w:line="300" w:lineRule="exact"/>
                    <w:jc w:val="center"/>
                    <w:rPr>
                      <w:kern w:val="0"/>
                      <w:sz w:val="18"/>
                      <w:szCs w:val="18"/>
                    </w:rPr>
                  </w:pPr>
                  <w:r>
                    <w:rPr>
                      <w:kern w:val="0"/>
                      <w:sz w:val="18"/>
                      <w:szCs w:val="18"/>
                    </w:rPr>
                    <w:t>（汶上县国土资源局）</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adjustRightInd w:val="0"/>
                    <w:spacing w:line="300" w:lineRule="exact"/>
                    <w:jc w:val="center"/>
                    <w:rPr>
                      <w:kern w:val="0"/>
                      <w:sz w:val="18"/>
                      <w:szCs w:val="18"/>
                    </w:rPr>
                  </w:pPr>
                  <w:r>
                    <w:rPr>
                      <w:kern w:val="0"/>
                      <w:sz w:val="18"/>
                      <w:szCs w:val="18"/>
                    </w:rPr>
                    <w:t>露天开采</w:t>
                  </w:r>
                </w:p>
              </w:tc>
              <w:tc>
                <w:tcPr>
                  <w:tcW w:w="1193" w:type="dxa"/>
                  <w:tcBorders>
                    <w:top w:val="single" w:color="000000" w:sz="4" w:space="0"/>
                    <w:left w:val="single" w:color="000000" w:sz="4" w:space="0"/>
                    <w:bottom w:val="single" w:color="000000" w:sz="4" w:space="0"/>
                    <w:right w:val="single" w:color="auto" w:sz="4" w:space="0"/>
                  </w:tcBorders>
                  <w:shd w:val="clear" w:color="auto" w:fill="FFFFFF"/>
                  <w:noWrap/>
                  <w:vAlign w:val="center"/>
                </w:tcPr>
                <w:p>
                  <w:pPr>
                    <w:autoSpaceDE w:val="0"/>
                    <w:autoSpaceDN w:val="0"/>
                    <w:adjustRightInd w:val="0"/>
                    <w:spacing w:line="300" w:lineRule="exact"/>
                    <w:jc w:val="center"/>
                    <w:rPr>
                      <w:kern w:val="0"/>
                      <w:sz w:val="18"/>
                      <w:szCs w:val="18"/>
                    </w:rPr>
                  </w:pPr>
                  <w:r>
                    <w:rPr>
                      <w:kern w:val="0"/>
                      <w:sz w:val="18"/>
                      <w:szCs w:val="18"/>
                    </w:rPr>
                    <w:t>2017.5.10~</w:t>
                  </w:r>
                </w:p>
                <w:p>
                  <w:pPr>
                    <w:autoSpaceDE w:val="0"/>
                    <w:autoSpaceDN w:val="0"/>
                    <w:adjustRightInd w:val="0"/>
                    <w:spacing w:line="300" w:lineRule="exact"/>
                    <w:jc w:val="center"/>
                    <w:rPr>
                      <w:kern w:val="0"/>
                      <w:sz w:val="18"/>
                      <w:szCs w:val="18"/>
                    </w:rPr>
                  </w:pPr>
                  <w:r>
                    <w:rPr>
                      <w:kern w:val="0"/>
                      <w:sz w:val="18"/>
                      <w:szCs w:val="18"/>
                    </w:rPr>
                    <w:t>2022.5.10</w:t>
                  </w:r>
                </w:p>
              </w:tc>
              <w:tc>
                <w:tcPr>
                  <w:tcW w:w="878" w:type="dxa"/>
                  <w:tcBorders>
                    <w:top w:val="single" w:color="000000" w:sz="4" w:space="0"/>
                    <w:left w:val="single" w:color="auto" w:sz="4" w:space="0"/>
                    <w:bottom w:val="single" w:color="000000" w:sz="4" w:space="0"/>
                    <w:right w:val="single" w:color="auto" w:sz="4" w:space="0"/>
                  </w:tcBorders>
                  <w:shd w:val="clear" w:color="auto" w:fill="FFFFFF"/>
                  <w:noWrap/>
                  <w:vAlign w:val="center"/>
                </w:tcPr>
                <w:p>
                  <w:pPr>
                    <w:autoSpaceDE w:val="0"/>
                    <w:autoSpaceDN w:val="0"/>
                    <w:adjustRightInd w:val="0"/>
                    <w:spacing w:line="300" w:lineRule="exact"/>
                    <w:jc w:val="center"/>
                    <w:rPr>
                      <w:kern w:val="0"/>
                      <w:sz w:val="18"/>
                      <w:szCs w:val="18"/>
                    </w:rPr>
                  </w:pPr>
                  <w:r>
                    <w:rPr>
                      <w:kern w:val="0"/>
                      <w:sz w:val="18"/>
                      <w:szCs w:val="18"/>
                    </w:rPr>
                    <w:t>包括6个</w:t>
                  </w:r>
                </w:p>
                <w:p>
                  <w:pPr>
                    <w:autoSpaceDE w:val="0"/>
                    <w:autoSpaceDN w:val="0"/>
                    <w:adjustRightInd w:val="0"/>
                    <w:spacing w:line="300" w:lineRule="exact"/>
                    <w:jc w:val="center"/>
                    <w:rPr>
                      <w:kern w:val="0"/>
                      <w:sz w:val="18"/>
                      <w:szCs w:val="18"/>
                    </w:rPr>
                  </w:pPr>
                  <w:r>
                    <w:rPr>
                      <w:kern w:val="0"/>
                      <w:sz w:val="18"/>
                      <w:szCs w:val="18"/>
                    </w:rPr>
                    <w:t>矿段</w:t>
                  </w:r>
                </w:p>
              </w:tc>
            </w:tr>
            <w:tr>
              <w:tblPrEx>
                <w:tblCellMar>
                  <w:top w:w="0" w:type="dxa"/>
                  <w:left w:w="0" w:type="dxa"/>
                  <w:bottom w:w="0" w:type="dxa"/>
                  <w:right w:w="0" w:type="dxa"/>
                </w:tblCellMar>
              </w:tblPrEx>
              <w:trPr>
                <w:trHeight w:val="1333" w:hRule="atLeas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adjustRightInd w:val="0"/>
                    <w:spacing w:line="300" w:lineRule="exact"/>
                    <w:jc w:val="center"/>
                    <w:rPr>
                      <w:kern w:val="0"/>
                      <w:sz w:val="18"/>
                      <w:szCs w:val="18"/>
                    </w:rPr>
                  </w:pPr>
                  <w:r>
                    <w:rPr>
                      <w:kern w:val="0"/>
                      <w:sz w:val="18"/>
                      <w:szCs w:val="18"/>
                    </w:rPr>
                    <w:t>白石镇</w:t>
                  </w:r>
                </w:p>
                <w:p>
                  <w:pPr>
                    <w:autoSpaceDE w:val="0"/>
                    <w:autoSpaceDN w:val="0"/>
                    <w:adjustRightInd w:val="0"/>
                    <w:spacing w:line="300" w:lineRule="exact"/>
                    <w:jc w:val="center"/>
                    <w:rPr>
                      <w:kern w:val="0"/>
                      <w:sz w:val="18"/>
                      <w:szCs w:val="18"/>
                    </w:rPr>
                  </w:pPr>
                  <w:r>
                    <w:rPr>
                      <w:kern w:val="0"/>
                      <w:sz w:val="18"/>
                      <w:szCs w:val="18"/>
                    </w:rPr>
                    <w:t>东老塘</w:t>
                  </w:r>
                </w:p>
                <w:p>
                  <w:pPr>
                    <w:autoSpaceDE w:val="0"/>
                    <w:autoSpaceDN w:val="0"/>
                    <w:adjustRightInd w:val="0"/>
                    <w:spacing w:line="300" w:lineRule="exact"/>
                    <w:jc w:val="center"/>
                    <w:rPr>
                      <w:kern w:val="0"/>
                      <w:sz w:val="18"/>
                      <w:szCs w:val="18"/>
                    </w:rPr>
                  </w:pPr>
                  <w:r>
                    <w:rPr>
                      <w:kern w:val="0"/>
                      <w:sz w:val="18"/>
                      <w:szCs w:val="18"/>
                    </w:rPr>
                    <w:t>矿区</w:t>
                  </w:r>
                </w:p>
              </w:tc>
              <w:tc>
                <w:tcPr>
                  <w:tcW w:w="9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adjustRightInd w:val="0"/>
                    <w:spacing w:line="300" w:lineRule="exact"/>
                    <w:jc w:val="center"/>
                    <w:rPr>
                      <w:kern w:val="0"/>
                      <w:sz w:val="18"/>
                      <w:szCs w:val="18"/>
                    </w:rPr>
                  </w:pPr>
                  <w:r>
                    <w:rPr>
                      <w:kern w:val="0"/>
                      <w:sz w:val="18"/>
                      <w:szCs w:val="18"/>
                    </w:rPr>
                    <w:t>股份合作</w:t>
                  </w:r>
                </w:p>
                <w:p>
                  <w:pPr>
                    <w:autoSpaceDE w:val="0"/>
                    <w:autoSpaceDN w:val="0"/>
                    <w:adjustRightInd w:val="0"/>
                    <w:spacing w:line="300" w:lineRule="exact"/>
                    <w:jc w:val="center"/>
                    <w:rPr>
                      <w:kern w:val="0"/>
                      <w:sz w:val="18"/>
                      <w:szCs w:val="18"/>
                    </w:rPr>
                  </w:pPr>
                  <w:r>
                    <w:rPr>
                      <w:kern w:val="0"/>
                      <w:sz w:val="18"/>
                      <w:szCs w:val="18"/>
                    </w:rPr>
                    <w:t>企业</w:t>
                  </w:r>
                </w:p>
              </w:tc>
              <w:tc>
                <w:tcPr>
                  <w:tcW w:w="10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adjustRightInd w:val="0"/>
                    <w:spacing w:line="300" w:lineRule="exact"/>
                    <w:jc w:val="center"/>
                    <w:rPr>
                      <w:kern w:val="0"/>
                      <w:sz w:val="18"/>
                      <w:szCs w:val="18"/>
                    </w:rPr>
                  </w:pPr>
                  <w:r>
                    <w:rPr>
                      <w:sz w:val="18"/>
                      <w:szCs w:val="18"/>
                    </w:rPr>
                    <w:t>汶上县兴盛矿业有限公司</w:t>
                  </w:r>
                </w:p>
              </w:tc>
              <w:tc>
                <w:tcPr>
                  <w:tcW w:w="11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adjustRightInd w:val="0"/>
                    <w:spacing w:line="300" w:lineRule="exact"/>
                    <w:jc w:val="center"/>
                    <w:rPr>
                      <w:kern w:val="0"/>
                      <w:sz w:val="18"/>
                      <w:szCs w:val="18"/>
                    </w:rPr>
                  </w:pPr>
                  <w:r>
                    <w:rPr>
                      <w:kern w:val="0"/>
                      <w:sz w:val="18"/>
                      <w:szCs w:val="18"/>
                    </w:rPr>
                    <w:t>建筑用</w:t>
                  </w:r>
                </w:p>
                <w:p>
                  <w:pPr>
                    <w:autoSpaceDE w:val="0"/>
                    <w:autoSpaceDN w:val="0"/>
                    <w:adjustRightInd w:val="0"/>
                    <w:spacing w:line="300" w:lineRule="exact"/>
                    <w:jc w:val="center"/>
                    <w:rPr>
                      <w:kern w:val="0"/>
                      <w:sz w:val="18"/>
                      <w:szCs w:val="18"/>
                    </w:rPr>
                  </w:pPr>
                  <w:r>
                    <w:rPr>
                      <w:kern w:val="0"/>
                      <w:sz w:val="18"/>
                      <w:szCs w:val="18"/>
                    </w:rPr>
                    <w:t>花岗岩</w:t>
                  </w: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adjustRightInd w:val="0"/>
                    <w:spacing w:line="300" w:lineRule="exact"/>
                    <w:jc w:val="center"/>
                    <w:rPr>
                      <w:kern w:val="0"/>
                      <w:sz w:val="18"/>
                      <w:szCs w:val="18"/>
                    </w:rPr>
                  </w:pPr>
                  <w:r>
                    <w:rPr>
                      <w:kern w:val="0"/>
                      <w:sz w:val="18"/>
                      <w:szCs w:val="18"/>
                    </w:rPr>
                    <w:t>C37083020101071300</w:t>
                  </w:r>
                </w:p>
                <w:p>
                  <w:pPr>
                    <w:autoSpaceDE w:val="0"/>
                    <w:autoSpaceDN w:val="0"/>
                    <w:adjustRightInd w:val="0"/>
                    <w:spacing w:line="300" w:lineRule="exact"/>
                    <w:jc w:val="center"/>
                    <w:rPr>
                      <w:kern w:val="0"/>
                      <w:sz w:val="18"/>
                      <w:szCs w:val="18"/>
                    </w:rPr>
                  </w:pPr>
                  <w:r>
                    <w:rPr>
                      <w:kern w:val="0"/>
                      <w:sz w:val="18"/>
                      <w:szCs w:val="18"/>
                    </w:rPr>
                    <w:t>76726</w:t>
                  </w:r>
                </w:p>
                <w:p>
                  <w:pPr>
                    <w:autoSpaceDE w:val="0"/>
                    <w:autoSpaceDN w:val="0"/>
                    <w:adjustRightInd w:val="0"/>
                    <w:spacing w:line="300" w:lineRule="exact"/>
                    <w:jc w:val="center"/>
                    <w:rPr>
                      <w:kern w:val="0"/>
                      <w:sz w:val="18"/>
                      <w:szCs w:val="18"/>
                    </w:rPr>
                  </w:pPr>
                  <w:r>
                    <w:rPr>
                      <w:kern w:val="0"/>
                      <w:sz w:val="18"/>
                      <w:szCs w:val="18"/>
                    </w:rPr>
                    <w:t>（汶上县国土资源局）</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adjustRightInd w:val="0"/>
                    <w:spacing w:line="300" w:lineRule="exact"/>
                    <w:jc w:val="center"/>
                    <w:rPr>
                      <w:kern w:val="0"/>
                      <w:sz w:val="18"/>
                      <w:szCs w:val="18"/>
                    </w:rPr>
                  </w:pPr>
                  <w:r>
                    <w:rPr>
                      <w:kern w:val="0"/>
                      <w:sz w:val="18"/>
                      <w:szCs w:val="18"/>
                    </w:rPr>
                    <w:t>露天开采</w:t>
                  </w:r>
                </w:p>
              </w:tc>
              <w:tc>
                <w:tcPr>
                  <w:tcW w:w="1193" w:type="dxa"/>
                  <w:tcBorders>
                    <w:top w:val="single" w:color="000000" w:sz="4" w:space="0"/>
                    <w:left w:val="single" w:color="000000" w:sz="4" w:space="0"/>
                    <w:bottom w:val="single" w:color="000000" w:sz="4" w:space="0"/>
                    <w:right w:val="single" w:color="auto" w:sz="4" w:space="0"/>
                  </w:tcBorders>
                  <w:shd w:val="clear" w:color="auto" w:fill="FFFFFF"/>
                  <w:noWrap/>
                  <w:vAlign w:val="center"/>
                </w:tcPr>
                <w:p>
                  <w:pPr>
                    <w:autoSpaceDE w:val="0"/>
                    <w:autoSpaceDN w:val="0"/>
                    <w:adjustRightInd w:val="0"/>
                    <w:spacing w:line="300" w:lineRule="exact"/>
                    <w:jc w:val="center"/>
                    <w:rPr>
                      <w:kern w:val="0"/>
                      <w:sz w:val="18"/>
                      <w:szCs w:val="18"/>
                    </w:rPr>
                  </w:pPr>
                  <w:r>
                    <w:rPr>
                      <w:kern w:val="0"/>
                      <w:sz w:val="18"/>
                      <w:szCs w:val="18"/>
                    </w:rPr>
                    <w:t>2017.5.10~</w:t>
                  </w:r>
                </w:p>
                <w:p>
                  <w:pPr>
                    <w:autoSpaceDE w:val="0"/>
                    <w:autoSpaceDN w:val="0"/>
                    <w:adjustRightInd w:val="0"/>
                    <w:spacing w:line="300" w:lineRule="exact"/>
                    <w:jc w:val="center"/>
                    <w:rPr>
                      <w:kern w:val="0"/>
                      <w:sz w:val="18"/>
                      <w:szCs w:val="18"/>
                    </w:rPr>
                  </w:pPr>
                  <w:r>
                    <w:rPr>
                      <w:kern w:val="0"/>
                      <w:sz w:val="18"/>
                      <w:szCs w:val="18"/>
                    </w:rPr>
                    <w:t>2022.5.10</w:t>
                  </w:r>
                </w:p>
              </w:tc>
              <w:tc>
                <w:tcPr>
                  <w:tcW w:w="878" w:type="dxa"/>
                  <w:tcBorders>
                    <w:top w:val="single" w:color="000000" w:sz="4" w:space="0"/>
                    <w:left w:val="single" w:color="auto" w:sz="4" w:space="0"/>
                    <w:bottom w:val="single" w:color="000000" w:sz="4" w:space="0"/>
                    <w:right w:val="single" w:color="auto" w:sz="4" w:space="0"/>
                  </w:tcBorders>
                  <w:shd w:val="clear" w:color="auto" w:fill="FFFFFF"/>
                  <w:noWrap/>
                  <w:vAlign w:val="center"/>
                </w:tcPr>
                <w:p>
                  <w:pPr>
                    <w:autoSpaceDE w:val="0"/>
                    <w:autoSpaceDN w:val="0"/>
                    <w:adjustRightInd w:val="0"/>
                    <w:spacing w:line="300" w:lineRule="exact"/>
                    <w:jc w:val="center"/>
                    <w:rPr>
                      <w:kern w:val="0"/>
                      <w:sz w:val="18"/>
                      <w:szCs w:val="18"/>
                    </w:rPr>
                  </w:pPr>
                  <w:r>
                    <w:rPr>
                      <w:kern w:val="0"/>
                      <w:sz w:val="18"/>
                      <w:szCs w:val="18"/>
                    </w:rPr>
                    <w:t>包括3个</w:t>
                  </w:r>
                </w:p>
                <w:p>
                  <w:pPr>
                    <w:autoSpaceDE w:val="0"/>
                    <w:autoSpaceDN w:val="0"/>
                    <w:adjustRightInd w:val="0"/>
                    <w:spacing w:line="300" w:lineRule="exact"/>
                    <w:jc w:val="center"/>
                    <w:rPr>
                      <w:kern w:val="0"/>
                      <w:sz w:val="18"/>
                      <w:szCs w:val="18"/>
                    </w:rPr>
                  </w:pPr>
                  <w:r>
                    <w:rPr>
                      <w:kern w:val="0"/>
                      <w:sz w:val="18"/>
                      <w:szCs w:val="18"/>
                    </w:rPr>
                    <w:t>矿段</w:t>
                  </w:r>
                </w:p>
              </w:tc>
            </w:tr>
            <w:tr>
              <w:tblPrEx>
                <w:tblCellMar>
                  <w:top w:w="0" w:type="dxa"/>
                  <w:left w:w="0" w:type="dxa"/>
                  <w:bottom w:w="0" w:type="dxa"/>
                  <w:right w:w="0" w:type="dxa"/>
                </w:tblCellMar>
              </w:tblPrEx>
              <w:trPr>
                <w:trHeight w:val="1191" w:hRule="atLeast"/>
                <w:jc w:val="center"/>
              </w:trPr>
              <w:tc>
                <w:tcPr>
                  <w:tcW w:w="9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adjustRightInd w:val="0"/>
                    <w:spacing w:line="300" w:lineRule="exact"/>
                    <w:jc w:val="center"/>
                    <w:rPr>
                      <w:kern w:val="0"/>
                      <w:sz w:val="18"/>
                      <w:szCs w:val="18"/>
                    </w:rPr>
                  </w:pPr>
                  <w:r>
                    <w:rPr>
                      <w:kern w:val="0"/>
                      <w:sz w:val="18"/>
                      <w:szCs w:val="18"/>
                    </w:rPr>
                    <w:t>白石镇</w:t>
                  </w:r>
                </w:p>
                <w:p>
                  <w:pPr>
                    <w:autoSpaceDE w:val="0"/>
                    <w:autoSpaceDN w:val="0"/>
                    <w:adjustRightInd w:val="0"/>
                    <w:spacing w:line="300" w:lineRule="exact"/>
                    <w:jc w:val="center"/>
                    <w:rPr>
                      <w:kern w:val="0"/>
                      <w:sz w:val="18"/>
                      <w:szCs w:val="18"/>
                    </w:rPr>
                  </w:pPr>
                  <w:r>
                    <w:rPr>
                      <w:kern w:val="0"/>
                      <w:sz w:val="18"/>
                      <w:szCs w:val="18"/>
                    </w:rPr>
                    <w:t>水牛山</w:t>
                  </w:r>
                </w:p>
                <w:p>
                  <w:pPr>
                    <w:autoSpaceDE w:val="0"/>
                    <w:autoSpaceDN w:val="0"/>
                    <w:adjustRightInd w:val="0"/>
                    <w:spacing w:line="300" w:lineRule="exact"/>
                    <w:jc w:val="center"/>
                    <w:rPr>
                      <w:kern w:val="0"/>
                      <w:sz w:val="18"/>
                      <w:szCs w:val="18"/>
                    </w:rPr>
                  </w:pPr>
                  <w:r>
                    <w:rPr>
                      <w:kern w:val="0"/>
                      <w:sz w:val="18"/>
                      <w:szCs w:val="18"/>
                    </w:rPr>
                    <w:t>矿区</w:t>
                  </w:r>
                </w:p>
              </w:tc>
              <w:tc>
                <w:tcPr>
                  <w:tcW w:w="9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adjustRightInd w:val="0"/>
                    <w:spacing w:line="300" w:lineRule="exact"/>
                    <w:jc w:val="center"/>
                    <w:rPr>
                      <w:kern w:val="0"/>
                      <w:sz w:val="18"/>
                      <w:szCs w:val="18"/>
                    </w:rPr>
                  </w:pPr>
                  <w:r>
                    <w:rPr>
                      <w:kern w:val="0"/>
                      <w:sz w:val="18"/>
                      <w:szCs w:val="18"/>
                    </w:rPr>
                    <w:t>股份合作</w:t>
                  </w:r>
                </w:p>
                <w:p>
                  <w:pPr>
                    <w:autoSpaceDE w:val="0"/>
                    <w:autoSpaceDN w:val="0"/>
                    <w:adjustRightInd w:val="0"/>
                    <w:spacing w:line="300" w:lineRule="exact"/>
                    <w:jc w:val="center"/>
                    <w:rPr>
                      <w:kern w:val="0"/>
                      <w:sz w:val="18"/>
                      <w:szCs w:val="18"/>
                    </w:rPr>
                  </w:pPr>
                  <w:r>
                    <w:rPr>
                      <w:kern w:val="0"/>
                      <w:sz w:val="18"/>
                      <w:szCs w:val="18"/>
                    </w:rPr>
                    <w:t>企业</w:t>
                  </w:r>
                </w:p>
              </w:tc>
              <w:tc>
                <w:tcPr>
                  <w:tcW w:w="106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adjustRightInd w:val="0"/>
                    <w:spacing w:line="300" w:lineRule="exact"/>
                    <w:jc w:val="center"/>
                    <w:rPr>
                      <w:kern w:val="0"/>
                      <w:sz w:val="18"/>
                      <w:szCs w:val="18"/>
                    </w:rPr>
                  </w:pPr>
                  <w:r>
                    <w:rPr>
                      <w:sz w:val="18"/>
                      <w:szCs w:val="18"/>
                    </w:rPr>
                    <w:t>汶上县鸿顺矿业有限公司</w:t>
                  </w:r>
                </w:p>
              </w:tc>
              <w:tc>
                <w:tcPr>
                  <w:tcW w:w="11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adjustRightInd w:val="0"/>
                    <w:spacing w:line="300" w:lineRule="exact"/>
                    <w:jc w:val="center"/>
                    <w:rPr>
                      <w:kern w:val="0"/>
                      <w:sz w:val="18"/>
                      <w:szCs w:val="18"/>
                    </w:rPr>
                  </w:pPr>
                  <w:r>
                    <w:rPr>
                      <w:kern w:val="0"/>
                      <w:sz w:val="18"/>
                      <w:szCs w:val="18"/>
                    </w:rPr>
                    <w:t>建筑用</w:t>
                  </w:r>
                </w:p>
                <w:p>
                  <w:pPr>
                    <w:autoSpaceDE w:val="0"/>
                    <w:autoSpaceDN w:val="0"/>
                    <w:adjustRightInd w:val="0"/>
                    <w:spacing w:line="300" w:lineRule="exact"/>
                    <w:jc w:val="center"/>
                    <w:rPr>
                      <w:kern w:val="0"/>
                      <w:sz w:val="18"/>
                      <w:szCs w:val="18"/>
                    </w:rPr>
                  </w:pPr>
                  <w:r>
                    <w:rPr>
                      <w:kern w:val="0"/>
                      <w:sz w:val="18"/>
                      <w:szCs w:val="18"/>
                    </w:rPr>
                    <w:t>花岗岩</w:t>
                  </w:r>
                </w:p>
              </w:tc>
              <w:tc>
                <w:tcPr>
                  <w:tcW w:w="1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adjustRightInd w:val="0"/>
                    <w:spacing w:line="300" w:lineRule="exact"/>
                    <w:jc w:val="center"/>
                    <w:rPr>
                      <w:kern w:val="0"/>
                      <w:sz w:val="18"/>
                      <w:szCs w:val="18"/>
                    </w:rPr>
                  </w:pPr>
                  <w:r>
                    <w:rPr>
                      <w:kern w:val="0"/>
                      <w:sz w:val="18"/>
                      <w:szCs w:val="18"/>
                    </w:rPr>
                    <w:t>C37083020101071300</w:t>
                  </w:r>
                </w:p>
                <w:p>
                  <w:pPr>
                    <w:autoSpaceDE w:val="0"/>
                    <w:autoSpaceDN w:val="0"/>
                    <w:adjustRightInd w:val="0"/>
                    <w:spacing w:line="300" w:lineRule="exact"/>
                    <w:jc w:val="center"/>
                    <w:rPr>
                      <w:kern w:val="0"/>
                      <w:sz w:val="18"/>
                      <w:szCs w:val="18"/>
                    </w:rPr>
                  </w:pPr>
                  <w:r>
                    <w:rPr>
                      <w:kern w:val="0"/>
                      <w:sz w:val="18"/>
                      <w:szCs w:val="18"/>
                    </w:rPr>
                    <w:t>76722</w:t>
                  </w:r>
                </w:p>
                <w:p>
                  <w:pPr>
                    <w:autoSpaceDE w:val="0"/>
                    <w:autoSpaceDN w:val="0"/>
                    <w:adjustRightInd w:val="0"/>
                    <w:spacing w:line="300" w:lineRule="exact"/>
                    <w:jc w:val="center"/>
                    <w:rPr>
                      <w:kern w:val="0"/>
                      <w:sz w:val="18"/>
                      <w:szCs w:val="18"/>
                    </w:rPr>
                  </w:pPr>
                  <w:r>
                    <w:rPr>
                      <w:kern w:val="0"/>
                      <w:sz w:val="18"/>
                      <w:szCs w:val="18"/>
                    </w:rPr>
                    <w:t>（汶上县国土资源局）</w:t>
                  </w:r>
                </w:p>
              </w:tc>
              <w:tc>
                <w:tcPr>
                  <w:tcW w:w="10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autoSpaceDE w:val="0"/>
                    <w:autoSpaceDN w:val="0"/>
                    <w:adjustRightInd w:val="0"/>
                    <w:spacing w:line="300" w:lineRule="exact"/>
                    <w:jc w:val="center"/>
                    <w:rPr>
                      <w:kern w:val="0"/>
                      <w:sz w:val="18"/>
                      <w:szCs w:val="18"/>
                    </w:rPr>
                  </w:pPr>
                  <w:r>
                    <w:rPr>
                      <w:kern w:val="0"/>
                      <w:sz w:val="18"/>
                      <w:szCs w:val="18"/>
                    </w:rPr>
                    <w:t>露天开采</w:t>
                  </w:r>
                </w:p>
              </w:tc>
              <w:tc>
                <w:tcPr>
                  <w:tcW w:w="1193" w:type="dxa"/>
                  <w:tcBorders>
                    <w:top w:val="single" w:color="000000" w:sz="4" w:space="0"/>
                    <w:left w:val="single" w:color="000000" w:sz="4" w:space="0"/>
                    <w:bottom w:val="single" w:color="000000" w:sz="4" w:space="0"/>
                    <w:right w:val="single" w:color="auto" w:sz="4" w:space="0"/>
                  </w:tcBorders>
                  <w:shd w:val="clear" w:color="auto" w:fill="FFFFFF"/>
                  <w:noWrap/>
                  <w:vAlign w:val="center"/>
                </w:tcPr>
                <w:p>
                  <w:pPr>
                    <w:autoSpaceDE w:val="0"/>
                    <w:autoSpaceDN w:val="0"/>
                    <w:adjustRightInd w:val="0"/>
                    <w:spacing w:line="300" w:lineRule="exact"/>
                    <w:jc w:val="center"/>
                    <w:rPr>
                      <w:kern w:val="0"/>
                      <w:sz w:val="18"/>
                      <w:szCs w:val="18"/>
                    </w:rPr>
                  </w:pPr>
                  <w:r>
                    <w:rPr>
                      <w:kern w:val="0"/>
                      <w:sz w:val="18"/>
                      <w:szCs w:val="18"/>
                    </w:rPr>
                    <w:t>2017.5.10~</w:t>
                  </w:r>
                </w:p>
                <w:p>
                  <w:pPr>
                    <w:autoSpaceDE w:val="0"/>
                    <w:autoSpaceDN w:val="0"/>
                    <w:adjustRightInd w:val="0"/>
                    <w:spacing w:line="300" w:lineRule="exact"/>
                    <w:jc w:val="center"/>
                    <w:rPr>
                      <w:kern w:val="0"/>
                      <w:sz w:val="18"/>
                      <w:szCs w:val="18"/>
                    </w:rPr>
                  </w:pPr>
                  <w:r>
                    <w:rPr>
                      <w:kern w:val="0"/>
                      <w:sz w:val="18"/>
                      <w:szCs w:val="18"/>
                    </w:rPr>
                    <w:t>2022.5.10</w:t>
                  </w:r>
                </w:p>
              </w:tc>
              <w:tc>
                <w:tcPr>
                  <w:tcW w:w="878" w:type="dxa"/>
                  <w:tcBorders>
                    <w:top w:val="single" w:color="000000" w:sz="4" w:space="0"/>
                    <w:left w:val="single" w:color="auto" w:sz="4" w:space="0"/>
                    <w:bottom w:val="single" w:color="000000" w:sz="4" w:space="0"/>
                    <w:right w:val="single" w:color="auto" w:sz="4" w:space="0"/>
                  </w:tcBorders>
                  <w:shd w:val="clear" w:color="auto" w:fill="FFFFFF"/>
                  <w:noWrap/>
                  <w:vAlign w:val="center"/>
                </w:tcPr>
                <w:p>
                  <w:pPr>
                    <w:autoSpaceDE w:val="0"/>
                    <w:autoSpaceDN w:val="0"/>
                    <w:adjustRightInd w:val="0"/>
                    <w:spacing w:line="300" w:lineRule="exact"/>
                    <w:jc w:val="center"/>
                    <w:rPr>
                      <w:kern w:val="0"/>
                      <w:sz w:val="18"/>
                      <w:szCs w:val="18"/>
                    </w:rPr>
                  </w:pPr>
                  <w:r>
                    <w:rPr>
                      <w:kern w:val="0"/>
                      <w:sz w:val="18"/>
                      <w:szCs w:val="18"/>
                    </w:rPr>
                    <w:t>包括6个</w:t>
                  </w:r>
                </w:p>
                <w:p>
                  <w:pPr>
                    <w:autoSpaceDE w:val="0"/>
                    <w:autoSpaceDN w:val="0"/>
                    <w:adjustRightInd w:val="0"/>
                    <w:spacing w:line="300" w:lineRule="exact"/>
                    <w:jc w:val="center"/>
                    <w:rPr>
                      <w:kern w:val="0"/>
                      <w:sz w:val="18"/>
                      <w:szCs w:val="18"/>
                    </w:rPr>
                  </w:pPr>
                  <w:r>
                    <w:rPr>
                      <w:kern w:val="0"/>
                      <w:sz w:val="18"/>
                      <w:szCs w:val="18"/>
                    </w:rPr>
                    <w:t>矿段</w:t>
                  </w:r>
                </w:p>
              </w:tc>
            </w:tr>
          </w:tbl>
          <w:p>
            <w:pPr>
              <w:spacing w:line="360" w:lineRule="auto"/>
              <w:ind w:firstLine="720" w:firstLineChars="300"/>
              <w:rPr>
                <w:sz w:val="24"/>
              </w:rPr>
            </w:pPr>
            <w:r>
              <w:rPr>
                <w:rFonts w:hint="eastAsia"/>
                <w:sz w:val="24"/>
              </w:rPr>
              <w:t>汶上县兴盛矿业有限公司、汶上县闳兴矿业有限公司、汶上县鸿顺矿业有限公司原环评办理情况见表1-10，环评批复及履行情况见表1-11。</w:t>
            </w:r>
          </w:p>
          <w:p>
            <w:pPr>
              <w:spacing w:line="360" w:lineRule="auto"/>
              <w:jc w:val="center"/>
              <w:rPr>
                <w:b/>
                <w:sz w:val="24"/>
              </w:rPr>
            </w:pPr>
            <w:r>
              <w:rPr>
                <w:rFonts w:hint="eastAsia"/>
                <w:b/>
                <w:sz w:val="24"/>
              </w:rPr>
              <w:t>表1-10 原矿山公司环评手续一览表</w:t>
            </w:r>
          </w:p>
          <w:tbl>
            <w:tblPr>
              <w:tblStyle w:val="15"/>
              <w:tblW w:w="80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6"/>
              <w:gridCol w:w="2623"/>
              <w:gridCol w:w="992"/>
              <w:gridCol w:w="1134"/>
              <w:gridCol w:w="1559"/>
              <w:gridCol w:w="12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6" w:type="dxa"/>
                  <w:noWrap/>
                  <w:vAlign w:val="center"/>
                </w:tcPr>
                <w:p>
                  <w:pPr>
                    <w:adjustRightInd w:val="0"/>
                    <w:jc w:val="center"/>
                    <w:rPr>
                      <w:szCs w:val="21"/>
                    </w:rPr>
                  </w:pPr>
                  <w:r>
                    <w:rPr>
                      <w:szCs w:val="21"/>
                    </w:rPr>
                    <w:t>序号</w:t>
                  </w:r>
                </w:p>
              </w:tc>
              <w:tc>
                <w:tcPr>
                  <w:tcW w:w="2623" w:type="dxa"/>
                  <w:noWrap/>
                  <w:vAlign w:val="center"/>
                </w:tcPr>
                <w:p>
                  <w:pPr>
                    <w:adjustRightInd w:val="0"/>
                    <w:jc w:val="center"/>
                    <w:rPr>
                      <w:szCs w:val="21"/>
                    </w:rPr>
                  </w:pPr>
                  <w:r>
                    <w:rPr>
                      <w:szCs w:val="21"/>
                    </w:rPr>
                    <w:t>建设单位及项目名称</w:t>
                  </w:r>
                </w:p>
              </w:tc>
              <w:tc>
                <w:tcPr>
                  <w:tcW w:w="992" w:type="dxa"/>
                  <w:noWrap/>
                  <w:vAlign w:val="center"/>
                </w:tcPr>
                <w:p>
                  <w:pPr>
                    <w:adjustRightInd w:val="0"/>
                    <w:jc w:val="center"/>
                    <w:rPr>
                      <w:szCs w:val="21"/>
                    </w:rPr>
                  </w:pPr>
                  <w:r>
                    <w:rPr>
                      <w:szCs w:val="21"/>
                    </w:rPr>
                    <w:t>总投资（万元）</w:t>
                  </w:r>
                </w:p>
              </w:tc>
              <w:tc>
                <w:tcPr>
                  <w:tcW w:w="1134" w:type="dxa"/>
                  <w:noWrap/>
                  <w:vAlign w:val="center"/>
                </w:tcPr>
                <w:p>
                  <w:pPr>
                    <w:adjustRightInd w:val="0"/>
                    <w:jc w:val="center"/>
                    <w:rPr>
                      <w:szCs w:val="21"/>
                    </w:rPr>
                  </w:pPr>
                  <w:r>
                    <w:rPr>
                      <w:szCs w:val="21"/>
                    </w:rPr>
                    <w:t>环保投资（万元）</w:t>
                  </w:r>
                </w:p>
              </w:tc>
              <w:tc>
                <w:tcPr>
                  <w:tcW w:w="1559" w:type="dxa"/>
                  <w:noWrap/>
                  <w:vAlign w:val="center"/>
                </w:tcPr>
                <w:p>
                  <w:pPr>
                    <w:adjustRightInd w:val="0"/>
                    <w:jc w:val="center"/>
                    <w:rPr>
                      <w:szCs w:val="21"/>
                    </w:rPr>
                  </w:pPr>
                  <w:r>
                    <w:rPr>
                      <w:szCs w:val="21"/>
                    </w:rPr>
                    <w:t>审批文号及时间</w:t>
                  </w:r>
                </w:p>
              </w:tc>
              <w:tc>
                <w:tcPr>
                  <w:tcW w:w="1273" w:type="dxa"/>
                  <w:noWrap/>
                  <w:vAlign w:val="center"/>
                </w:tcPr>
                <w:p>
                  <w:pPr>
                    <w:adjustRightInd w:val="0"/>
                    <w:jc w:val="center"/>
                    <w:rPr>
                      <w:szCs w:val="21"/>
                    </w:rPr>
                  </w:pPr>
                  <w:r>
                    <w:rPr>
                      <w:szCs w:val="21"/>
                    </w:rPr>
                    <w:t>地址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6" w:type="dxa"/>
                  <w:noWrap/>
                  <w:vAlign w:val="center"/>
                </w:tcPr>
                <w:p>
                  <w:pPr>
                    <w:jc w:val="center"/>
                  </w:pPr>
                  <w:r>
                    <w:t>1</w:t>
                  </w:r>
                </w:p>
              </w:tc>
              <w:tc>
                <w:tcPr>
                  <w:tcW w:w="2623" w:type="dxa"/>
                  <w:noWrap/>
                  <w:vAlign w:val="center"/>
                </w:tcPr>
                <w:p>
                  <w:pPr>
                    <w:adjustRightInd w:val="0"/>
                    <w:snapToGrid w:val="0"/>
                    <w:spacing w:line="300" w:lineRule="exact"/>
                    <w:jc w:val="left"/>
                    <w:rPr>
                      <w:spacing w:val="-10"/>
                      <w:szCs w:val="21"/>
                    </w:rPr>
                  </w:pPr>
                  <w:r>
                    <w:rPr>
                      <w:rFonts w:hAnsi="宋体"/>
                      <w:spacing w:val="-10"/>
                      <w:szCs w:val="21"/>
                    </w:rPr>
                    <w:t>汶上县</w:t>
                  </w:r>
                  <w:r>
                    <w:rPr>
                      <w:rFonts w:hint="eastAsia" w:hAnsi="宋体"/>
                      <w:spacing w:val="-10"/>
                      <w:szCs w:val="21"/>
                    </w:rPr>
                    <w:t>闳兴矿业有限公司</w:t>
                  </w:r>
                </w:p>
                <w:p>
                  <w:pPr>
                    <w:adjustRightInd w:val="0"/>
                    <w:snapToGrid w:val="0"/>
                    <w:spacing w:line="300" w:lineRule="exact"/>
                    <w:jc w:val="left"/>
                    <w:rPr>
                      <w:spacing w:val="-10"/>
                      <w:szCs w:val="21"/>
                    </w:rPr>
                  </w:pPr>
                  <w:r>
                    <w:rPr>
                      <w:rFonts w:hint="eastAsia"/>
                      <w:szCs w:val="21"/>
                    </w:rPr>
                    <w:t>20</w:t>
                  </w:r>
                  <w:r>
                    <w:rPr>
                      <w:rFonts w:hAnsi="宋体"/>
                      <w:szCs w:val="21"/>
                    </w:rPr>
                    <w:t>万</w:t>
                  </w:r>
                  <w:r>
                    <w:rPr>
                      <w:rFonts w:hint="eastAsia"/>
                      <w:szCs w:val="21"/>
                    </w:rPr>
                    <w:t>立方米</w:t>
                  </w:r>
                  <w:r>
                    <w:rPr>
                      <w:szCs w:val="21"/>
                    </w:rPr>
                    <w:t>/</w:t>
                  </w:r>
                  <w:r>
                    <w:rPr>
                      <w:rFonts w:hint="eastAsia"/>
                      <w:szCs w:val="21"/>
                    </w:rPr>
                    <w:t>年</w:t>
                  </w:r>
                  <w:r>
                    <w:rPr>
                      <w:rFonts w:hint="eastAsia" w:hAnsi="宋体"/>
                      <w:szCs w:val="21"/>
                    </w:rPr>
                    <w:t>建筑用花岗岩开采项目</w:t>
                  </w:r>
                </w:p>
              </w:tc>
              <w:tc>
                <w:tcPr>
                  <w:tcW w:w="992" w:type="dxa"/>
                  <w:noWrap/>
                  <w:vAlign w:val="center"/>
                </w:tcPr>
                <w:p>
                  <w:pPr>
                    <w:adjustRightInd w:val="0"/>
                    <w:snapToGrid w:val="0"/>
                    <w:spacing w:line="300" w:lineRule="exact"/>
                    <w:jc w:val="center"/>
                    <w:rPr>
                      <w:szCs w:val="21"/>
                    </w:rPr>
                  </w:pPr>
                  <w:r>
                    <w:rPr>
                      <w:rFonts w:hint="eastAsia"/>
                      <w:szCs w:val="21"/>
                    </w:rPr>
                    <w:t>1651.6</w:t>
                  </w:r>
                </w:p>
              </w:tc>
              <w:tc>
                <w:tcPr>
                  <w:tcW w:w="1134" w:type="dxa"/>
                  <w:noWrap/>
                  <w:vAlign w:val="center"/>
                </w:tcPr>
                <w:p>
                  <w:pPr>
                    <w:adjustRightInd w:val="0"/>
                    <w:snapToGrid w:val="0"/>
                    <w:spacing w:line="300" w:lineRule="exact"/>
                    <w:jc w:val="center"/>
                    <w:rPr>
                      <w:szCs w:val="21"/>
                    </w:rPr>
                  </w:pPr>
                  <w:r>
                    <w:rPr>
                      <w:rFonts w:hint="eastAsia"/>
                      <w:szCs w:val="21"/>
                    </w:rPr>
                    <w:t>75</w:t>
                  </w:r>
                </w:p>
              </w:tc>
              <w:tc>
                <w:tcPr>
                  <w:tcW w:w="1559" w:type="dxa"/>
                  <w:noWrap/>
                  <w:vAlign w:val="center"/>
                </w:tcPr>
                <w:p>
                  <w:pPr>
                    <w:adjustRightInd w:val="0"/>
                    <w:snapToGrid w:val="0"/>
                    <w:spacing w:line="300" w:lineRule="exact"/>
                    <w:jc w:val="center"/>
                    <w:rPr>
                      <w:szCs w:val="21"/>
                    </w:rPr>
                  </w:pPr>
                  <w:r>
                    <w:rPr>
                      <w:rFonts w:hAnsi="宋体"/>
                      <w:szCs w:val="21"/>
                    </w:rPr>
                    <w:t>汶环报告表</w:t>
                  </w:r>
                  <w:r>
                    <w:rPr>
                      <w:szCs w:val="21"/>
                    </w:rPr>
                    <w:t>[20</w:t>
                  </w:r>
                  <w:r>
                    <w:rPr>
                      <w:rFonts w:hint="eastAsia"/>
                      <w:szCs w:val="21"/>
                    </w:rPr>
                    <w:t>17</w:t>
                  </w:r>
                  <w:r>
                    <w:rPr>
                      <w:szCs w:val="21"/>
                    </w:rPr>
                    <w:t>]</w:t>
                  </w:r>
                  <w:r>
                    <w:rPr>
                      <w:rFonts w:hint="eastAsia"/>
                      <w:szCs w:val="21"/>
                    </w:rPr>
                    <w:t>160</w:t>
                  </w:r>
                  <w:r>
                    <w:rPr>
                      <w:rFonts w:hAnsi="宋体"/>
                      <w:szCs w:val="21"/>
                    </w:rPr>
                    <w:t>号</w:t>
                  </w:r>
                  <w:r>
                    <w:rPr>
                      <w:szCs w:val="21"/>
                    </w:rPr>
                    <w:t xml:space="preserve"> 01</w:t>
                  </w:r>
                  <w:r>
                    <w:rPr>
                      <w:rFonts w:hint="eastAsia"/>
                      <w:szCs w:val="21"/>
                    </w:rPr>
                    <w:t>7</w:t>
                  </w:r>
                  <w:r>
                    <w:rPr>
                      <w:szCs w:val="21"/>
                    </w:rPr>
                    <w:t>.</w:t>
                  </w:r>
                  <w:r>
                    <w:rPr>
                      <w:rFonts w:hint="eastAsia"/>
                      <w:szCs w:val="21"/>
                    </w:rPr>
                    <w:t>11</w:t>
                  </w:r>
                  <w:r>
                    <w:rPr>
                      <w:szCs w:val="21"/>
                    </w:rPr>
                    <w:t>.</w:t>
                  </w:r>
                  <w:r>
                    <w:rPr>
                      <w:rFonts w:hint="eastAsia"/>
                      <w:szCs w:val="21"/>
                    </w:rPr>
                    <w:t>3</w:t>
                  </w:r>
                </w:p>
              </w:tc>
              <w:tc>
                <w:tcPr>
                  <w:tcW w:w="1273" w:type="dxa"/>
                  <w:noWrap/>
                  <w:vAlign w:val="center"/>
                </w:tcPr>
                <w:p>
                  <w:pPr>
                    <w:adjustRightInd w:val="0"/>
                    <w:snapToGrid w:val="0"/>
                    <w:spacing w:line="300" w:lineRule="exact"/>
                    <w:jc w:val="center"/>
                    <w:rPr>
                      <w:szCs w:val="21"/>
                    </w:rPr>
                  </w:pPr>
                  <w:r>
                    <w:rPr>
                      <w:rFonts w:hAnsi="宋体"/>
                      <w:szCs w:val="21"/>
                    </w:rPr>
                    <w:t>白石镇</w:t>
                  </w:r>
                  <w:r>
                    <w:rPr>
                      <w:rFonts w:hint="eastAsia" w:hAnsi="宋体"/>
                      <w:szCs w:val="21"/>
                    </w:rPr>
                    <w:t>小楼村西北1500米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6" w:type="dxa"/>
                  <w:noWrap/>
                  <w:vAlign w:val="center"/>
                </w:tcPr>
                <w:p>
                  <w:pPr>
                    <w:jc w:val="center"/>
                  </w:pPr>
                  <w:r>
                    <w:t>2</w:t>
                  </w:r>
                </w:p>
              </w:tc>
              <w:tc>
                <w:tcPr>
                  <w:tcW w:w="2623" w:type="dxa"/>
                  <w:noWrap/>
                  <w:vAlign w:val="center"/>
                </w:tcPr>
                <w:p>
                  <w:pPr>
                    <w:adjustRightInd w:val="0"/>
                    <w:snapToGrid w:val="0"/>
                    <w:spacing w:line="300" w:lineRule="exact"/>
                    <w:jc w:val="left"/>
                    <w:rPr>
                      <w:spacing w:val="-10"/>
                      <w:szCs w:val="21"/>
                    </w:rPr>
                  </w:pPr>
                  <w:r>
                    <w:rPr>
                      <w:rFonts w:hAnsi="宋体"/>
                      <w:spacing w:val="-10"/>
                      <w:szCs w:val="21"/>
                    </w:rPr>
                    <w:t>汶上县</w:t>
                  </w:r>
                  <w:r>
                    <w:rPr>
                      <w:rFonts w:hint="eastAsia" w:hAnsi="宋体"/>
                      <w:spacing w:val="-10"/>
                      <w:szCs w:val="21"/>
                    </w:rPr>
                    <w:t>鸿顺矿业有限公司</w:t>
                  </w:r>
                </w:p>
                <w:p>
                  <w:pPr>
                    <w:adjustRightInd w:val="0"/>
                    <w:snapToGrid w:val="0"/>
                    <w:spacing w:line="300" w:lineRule="exact"/>
                    <w:jc w:val="left"/>
                    <w:rPr>
                      <w:spacing w:val="-10"/>
                      <w:szCs w:val="21"/>
                    </w:rPr>
                  </w:pPr>
                  <w:r>
                    <w:rPr>
                      <w:szCs w:val="21"/>
                    </w:rPr>
                    <w:t>2</w:t>
                  </w:r>
                  <w:r>
                    <w:rPr>
                      <w:rFonts w:hint="eastAsia"/>
                      <w:szCs w:val="21"/>
                    </w:rPr>
                    <w:t>0</w:t>
                  </w:r>
                  <w:r>
                    <w:rPr>
                      <w:rFonts w:hAnsi="宋体"/>
                      <w:szCs w:val="21"/>
                    </w:rPr>
                    <w:t>万</w:t>
                  </w:r>
                  <w:r>
                    <w:rPr>
                      <w:rFonts w:hint="eastAsia"/>
                      <w:szCs w:val="21"/>
                    </w:rPr>
                    <w:t>立方米</w:t>
                  </w:r>
                  <w:r>
                    <w:rPr>
                      <w:szCs w:val="21"/>
                    </w:rPr>
                    <w:t>/</w:t>
                  </w:r>
                  <w:r>
                    <w:rPr>
                      <w:rFonts w:hint="eastAsia"/>
                      <w:szCs w:val="21"/>
                    </w:rPr>
                    <w:t>年</w:t>
                  </w:r>
                  <w:r>
                    <w:rPr>
                      <w:rFonts w:hint="eastAsia" w:hAnsi="宋体"/>
                      <w:szCs w:val="21"/>
                    </w:rPr>
                    <w:t>建筑用花岗岩开采项目</w:t>
                  </w:r>
                </w:p>
              </w:tc>
              <w:tc>
                <w:tcPr>
                  <w:tcW w:w="992" w:type="dxa"/>
                  <w:noWrap/>
                  <w:vAlign w:val="center"/>
                </w:tcPr>
                <w:p>
                  <w:pPr>
                    <w:adjustRightInd w:val="0"/>
                    <w:snapToGrid w:val="0"/>
                    <w:spacing w:line="300" w:lineRule="exact"/>
                    <w:jc w:val="center"/>
                    <w:rPr>
                      <w:szCs w:val="21"/>
                    </w:rPr>
                  </w:pPr>
                  <w:r>
                    <w:rPr>
                      <w:rFonts w:hint="eastAsia"/>
                      <w:szCs w:val="21"/>
                    </w:rPr>
                    <w:t>1648</w:t>
                  </w:r>
                </w:p>
              </w:tc>
              <w:tc>
                <w:tcPr>
                  <w:tcW w:w="1134" w:type="dxa"/>
                  <w:noWrap/>
                  <w:vAlign w:val="center"/>
                </w:tcPr>
                <w:p>
                  <w:pPr>
                    <w:adjustRightInd w:val="0"/>
                    <w:snapToGrid w:val="0"/>
                    <w:spacing w:line="300" w:lineRule="exact"/>
                    <w:jc w:val="center"/>
                    <w:rPr>
                      <w:szCs w:val="21"/>
                    </w:rPr>
                  </w:pPr>
                  <w:r>
                    <w:rPr>
                      <w:rFonts w:hint="eastAsia"/>
                      <w:szCs w:val="21"/>
                    </w:rPr>
                    <w:t>75</w:t>
                  </w:r>
                </w:p>
              </w:tc>
              <w:tc>
                <w:tcPr>
                  <w:tcW w:w="1559" w:type="dxa"/>
                  <w:noWrap/>
                  <w:vAlign w:val="center"/>
                </w:tcPr>
                <w:p>
                  <w:pPr>
                    <w:adjustRightInd w:val="0"/>
                    <w:snapToGrid w:val="0"/>
                    <w:spacing w:line="300" w:lineRule="exact"/>
                    <w:jc w:val="center"/>
                    <w:rPr>
                      <w:szCs w:val="21"/>
                    </w:rPr>
                  </w:pPr>
                  <w:r>
                    <w:rPr>
                      <w:rFonts w:hAnsi="宋体"/>
                      <w:szCs w:val="21"/>
                    </w:rPr>
                    <w:t>汶环报告表</w:t>
                  </w:r>
                  <w:r>
                    <w:rPr>
                      <w:szCs w:val="21"/>
                    </w:rPr>
                    <w:t>[201</w:t>
                  </w:r>
                  <w:r>
                    <w:rPr>
                      <w:rFonts w:hint="eastAsia"/>
                      <w:szCs w:val="21"/>
                    </w:rPr>
                    <w:t>7</w:t>
                  </w:r>
                  <w:r>
                    <w:rPr>
                      <w:szCs w:val="21"/>
                    </w:rPr>
                    <w:t>]1</w:t>
                  </w:r>
                  <w:r>
                    <w:rPr>
                      <w:rFonts w:hint="eastAsia"/>
                      <w:szCs w:val="21"/>
                    </w:rPr>
                    <w:t>5</w:t>
                  </w:r>
                  <w:r>
                    <w:rPr>
                      <w:szCs w:val="21"/>
                    </w:rPr>
                    <w:t>7</w:t>
                  </w:r>
                  <w:r>
                    <w:rPr>
                      <w:rFonts w:hAnsi="宋体"/>
                      <w:szCs w:val="21"/>
                    </w:rPr>
                    <w:t>号</w:t>
                  </w:r>
                  <w:r>
                    <w:rPr>
                      <w:szCs w:val="21"/>
                    </w:rPr>
                    <w:t>201</w:t>
                  </w:r>
                  <w:r>
                    <w:rPr>
                      <w:rFonts w:hint="eastAsia"/>
                      <w:szCs w:val="21"/>
                    </w:rPr>
                    <w:t>7</w:t>
                  </w:r>
                  <w:r>
                    <w:rPr>
                      <w:szCs w:val="21"/>
                    </w:rPr>
                    <w:t>.1</w:t>
                  </w:r>
                  <w:r>
                    <w:rPr>
                      <w:rFonts w:hint="eastAsia"/>
                      <w:szCs w:val="21"/>
                    </w:rPr>
                    <w:t>1</w:t>
                  </w:r>
                  <w:r>
                    <w:rPr>
                      <w:szCs w:val="21"/>
                    </w:rPr>
                    <w:t>.3</w:t>
                  </w:r>
                </w:p>
              </w:tc>
              <w:tc>
                <w:tcPr>
                  <w:tcW w:w="1273" w:type="dxa"/>
                  <w:noWrap/>
                  <w:vAlign w:val="center"/>
                </w:tcPr>
                <w:p>
                  <w:pPr>
                    <w:adjustRightInd w:val="0"/>
                    <w:snapToGrid w:val="0"/>
                    <w:spacing w:line="300" w:lineRule="exact"/>
                    <w:jc w:val="center"/>
                    <w:rPr>
                      <w:szCs w:val="21"/>
                    </w:rPr>
                  </w:pPr>
                  <w:r>
                    <w:rPr>
                      <w:rFonts w:hAnsi="宋体"/>
                      <w:szCs w:val="21"/>
                    </w:rPr>
                    <w:t>白石镇</w:t>
                  </w:r>
                  <w:r>
                    <w:rPr>
                      <w:rFonts w:hint="eastAsia" w:hAnsi="宋体"/>
                      <w:szCs w:val="21"/>
                    </w:rPr>
                    <w:t>小楼村东100米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96" w:type="dxa"/>
                  <w:noWrap/>
                  <w:vAlign w:val="center"/>
                </w:tcPr>
                <w:p>
                  <w:pPr>
                    <w:jc w:val="center"/>
                  </w:pPr>
                  <w:r>
                    <w:t>3</w:t>
                  </w:r>
                </w:p>
              </w:tc>
              <w:tc>
                <w:tcPr>
                  <w:tcW w:w="2623" w:type="dxa"/>
                  <w:noWrap/>
                  <w:vAlign w:val="center"/>
                </w:tcPr>
                <w:p>
                  <w:pPr>
                    <w:adjustRightInd w:val="0"/>
                    <w:snapToGrid w:val="0"/>
                    <w:spacing w:line="300" w:lineRule="exact"/>
                    <w:jc w:val="left"/>
                    <w:rPr>
                      <w:spacing w:val="-10"/>
                      <w:szCs w:val="21"/>
                    </w:rPr>
                  </w:pPr>
                  <w:r>
                    <w:rPr>
                      <w:rFonts w:hAnsi="宋体"/>
                      <w:spacing w:val="-10"/>
                      <w:szCs w:val="21"/>
                    </w:rPr>
                    <w:t>汶上县</w:t>
                  </w:r>
                  <w:r>
                    <w:rPr>
                      <w:rFonts w:hint="eastAsia" w:hAnsi="宋体"/>
                      <w:spacing w:val="-10"/>
                      <w:szCs w:val="21"/>
                    </w:rPr>
                    <w:t>兴盛</w:t>
                  </w:r>
                  <w:r>
                    <w:rPr>
                      <w:rFonts w:hAnsi="宋体"/>
                      <w:spacing w:val="-10"/>
                      <w:szCs w:val="21"/>
                    </w:rPr>
                    <w:t>矿业有限公司</w:t>
                  </w:r>
                </w:p>
                <w:p>
                  <w:pPr>
                    <w:adjustRightInd w:val="0"/>
                    <w:snapToGrid w:val="0"/>
                    <w:spacing w:line="300" w:lineRule="exact"/>
                    <w:jc w:val="left"/>
                    <w:rPr>
                      <w:spacing w:val="-10"/>
                      <w:szCs w:val="21"/>
                    </w:rPr>
                  </w:pPr>
                  <w:r>
                    <w:rPr>
                      <w:szCs w:val="21"/>
                    </w:rPr>
                    <w:t>2</w:t>
                  </w:r>
                  <w:r>
                    <w:rPr>
                      <w:rFonts w:hint="eastAsia"/>
                      <w:szCs w:val="21"/>
                    </w:rPr>
                    <w:t>0</w:t>
                  </w:r>
                  <w:r>
                    <w:rPr>
                      <w:rFonts w:hAnsi="宋体"/>
                      <w:szCs w:val="21"/>
                    </w:rPr>
                    <w:t>万</w:t>
                  </w:r>
                  <w:r>
                    <w:rPr>
                      <w:rFonts w:hint="eastAsia"/>
                      <w:szCs w:val="21"/>
                    </w:rPr>
                    <w:t>立方米</w:t>
                  </w:r>
                  <w:r>
                    <w:rPr>
                      <w:szCs w:val="21"/>
                    </w:rPr>
                    <w:t>/</w:t>
                  </w:r>
                  <w:r>
                    <w:rPr>
                      <w:rFonts w:hint="eastAsia"/>
                      <w:szCs w:val="21"/>
                    </w:rPr>
                    <w:t>年</w:t>
                  </w:r>
                  <w:r>
                    <w:rPr>
                      <w:rFonts w:hint="eastAsia" w:hAnsi="宋体"/>
                      <w:szCs w:val="21"/>
                    </w:rPr>
                    <w:t>建筑用花岗岩开采项目</w:t>
                  </w:r>
                </w:p>
              </w:tc>
              <w:tc>
                <w:tcPr>
                  <w:tcW w:w="992" w:type="dxa"/>
                  <w:noWrap/>
                  <w:vAlign w:val="center"/>
                </w:tcPr>
                <w:p>
                  <w:pPr>
                    <w:adjustRightInd w:val="0"/>
                    <w:snapToGrid w:val="0"/>
                    <w:spacing w:line="300" w:lineRule="exact"/>
                    <w:jc w:val="center"/>
                    <w:rPr>
                      <w:szCs w:val="21"/>
                    </w:rPr>
                  </w:pPr>
                  <w:r>
                    <w:rPr>
                      <w:rFonts w:hint="eastAsia"/>
                      <w:szCs w:val="21"/>
                    </w:rPr>
                    <w:t>1553.9</w:t>
                  </w:r>
                </w:p>
              </w:tc>
              <w:tc>
                <w:tcPr>
                  <w:tcW w:w="1134" w:type="dxa"/>
                  <w:noWrap/>
                  <w:vAlign w:val="center"/>
                </w:tcPr>
                <w:p>
                  <w:pPr>
                    <w:adjustRightInd w:val="0"/>
                    <w:snapToGrid w:val="0"/>
                    <w:spacing w:line="300" w:lineRule="exact"/>
                    <w:jc w:val="center"/>
                    <w:rPr>
                      <w:szCs w:val="21"/>
                    </w:rPr>
                  </w:pPr>
                  <w:r>
                    <w:rPr>
                      <w:rFonts w:hint="eastAsia"/>
                      <w:szCs w:val="21"/>
                    </w:rPr>
                    <w:t>95</w:t>
                  </w:r>
                </w:p>
              </w:tc>
              <w:tc>
                <w:tcPr>
                  <w:tcW w:w="1559" w:type="dxa"/>
                  <w:noWrap/>
                  <w:vAlign w:val="center"/>
                </w:tcPr>
                <w:p>
                  <w:pPr>
                    <w:adjustRightInd w:val="0"/>
                    <w:snapToGrid w:val="0"/>
                    <w:spacing w:line="300" w:lineRule="exact"/>
                    <w:jc w:val="center"/>
                    <w:rPr>
                      <w:szCs w:val="21"/>
                    </w:rPr>
                  </w:pPr>
                  <w:r>
                    <w:rPr>
                      <w:rFonts w:hAnsi="宋体"/>
                      <w:szCs w:val="21"/>
                    </w:rPr>
                    <w:t>汶环报告表</w:t>
                  </w:r>
                  <w:r>
                    <w:rPr>
                      <w:szCs w:val="21"/>
                    </w:rPr>
                    <w:t>[20</w:t>
                  </w:r>
                  <w:r>
                    <w:rPr>
                      <w:rFonts w:hint="eastAsia"/>
                      <w:szCs w:val="21"/>
                    </w:rPr>
                    <w:t>17</w:t>
                  </w:r>
                  <w:r>
                    <w:rPr>
                      <w:szCs w:val="21"/>
                    </w:rPr>
                    <w:t>]1</w:t>
                  </w:r>
                  <w:r>
                    <w:rPr>
                      <w:rFonts w:hint="eastAsia"/>
                      <w:szCs w:val="21"/>
                    </w:rPr>
                    <w:t>56</w:t>
                  </w:r>
                  <w:r>
                    <w:rPr>
                      <w:rFonts w:hAnsi="宋体"/>
                      <w:szCs w:val="21"/>
                    </w:rPr>
                    <w:t>号</w:t>
                  </w:r>
                  <w:r>
                    <w:rPr>
                      <w:szCs w:val="21"/>
                    </w:rPr>
                    <w:t>201</w:t>
                  </w:r>
                  <w:r>
                    <w:rPr>
                      <w:rFonts w:hint="eastAsia"/>
                      <w:szCs w:val="21"/>
                    </w:rPr>
                    <w:t>7</w:t>
                  </w:r>
                  <w:r>
                    <w:rPr>
                      <w:szCs w:val="21"/>
                    </w:rPr>
                    <w:t>.1</w:t>
                  </w:r>
                  <w:r>
                    <w:rPr>
                      <w:rFonts w:hint="eastAsia"/>
                      <w:szCs w:val="21"/>
                    </w:rPr>
                    <w:t>1</w:t>
                  </w:r>
                  <w:r>
                    <w:rPr>
                      <w:szCs w:val="21"/>
                    </w:rPr>
                    <w:t>.3</w:t>
                  </w:r>
                </w:p>
              </w:tc>
              <w:tc>
                <w:tcPr>
                  <w:tcW w:w="1273" w:type="dxa"/>
                  <w:noWrap/>
                  <w:vAlign w:val="center"/>
                </w:tcPr>
                <w:p>
                  <w:pPr>
                    <w:adjustRightInd w:val="0"/>
                    <w:snapToGrid w:val="0"/>
                    <w:spacing w:line="300" w:lineRule="exact"/>
                    <w:jc w:val="center"/>
                    <w:rPr>
                      <w:szCs w:val="21"/>
                    </w:rPr>
                  </w:pPr>
                  <w:r>
                    <w:rPr>
                      <w:rFonts w:hAnsi="宋体"/>
                      <w:szCs w:val="21"/>
                    </w:rPr>
                    <w:t>白石镇陈村</w:t>
                  </w:r>
                </w:p>
              </w:tc>
            </w:tr>
          </w:tbl>
          <w:p>
            <w:pPr>
              <w:spacing w:line="360" w:lineRule="auto"/>
              <w:ind w:firstLine="480" w:firstLineChars="200"/>
              <w:rPr>
                <w:sz w:val="24"/>
              </w:rPr>
            </w:pPr>
            <w:r>
              <w:rPr>
                <w:rFonts w:hint="eastAsia"/>
                <w:sz w:val="24"/>
              </w:rPr>
              <w:t>根据《汶上县国土资源局关于整合出让白石花岗岩资源采矿权的请示》（汶国土资呈[2018]103号），整合汶上县兴盛矿业有限公司、汶上县闳兴矿业有限公司、汶上县鸿顺矿业有限公司（部分区域）采矿权，同意整合为东老塘矿区建筑用花岗岩采矿权公开出让。</w:t>
            </w:r>
            <w:r>
              <w:rPr>
                <w:rFonts w:hint="eastAsia"/>
                <w:color w:val="0000FF"/>
                <w:sz w:val="24"/>
              </w:rPr>
              <w:t>根据济宁市国土资源局关于《山东省汶上县东老塘矿区建筑用花岗岩矿资源储量估算报告的审查意见》，该矿区范围内估算建筑用花岗岩资源储量998.45万m</w:t>
            </w:r>
            <w:r>
              <w:rPr>
                <w:rFonts w:hint="eastAsia"/>
                <w:color w:val="0000FF"/>
                <w:sz w:val="24"/>
                <w:vertAlign w:val="superscript"/>
              </w:rPr>
              <w:t>3</w:t>
            </w:r>
            <w:r>
              <w:rPr>
                <w:rFonts w:hint="eastAsia"/>
                <w:color w:val="0000FF"/>
                <w:sz w:val="24"/>
              </w:rPr>
              <w:t>，另有边坡压覆资源量191.59万m</w:t>
            </w:r>
            <w:r>
              <w:rPr>
                <w:rFonts w:hint="eastAsia"/>
                <w:color w:val="0000FF"/>
                <w:sz w:val="24"/>
                <w:vertAlign w:val="superscript"/>
              </w:rPr>
              <w:t>3</w:t>
            </w:r>
            <w:r>
              <w:rPr>
                <w:rFonts w:hint="eastAsia"/>
                <w:color w:val="0000FF"/>
                <w:sz w:val="24"/>
              </w:rPr>
              <w:t>。</w:t>
            </w:r>
            <w:r>
              <w:rPr>
                <w:rFonts w:hint="eastAsia"/>
                <w:sz w:val="24"/>
              </w:rPr>
              <w:t>根据汶上县人民政府文件《关于同意整合出让白石花岗岩资源采矿权的批复》（汶政土字[2018]40号），汶上县人民政府已同意整合出让白石花岗岩资源采矿权。</w:t>
            </w:r>
          </w:p>
          <w:p>
            <w:pPr>
              <w:pStyle w:val="6"/>
              <w:spacing w:line="360" w:lineRule="auto"/>
              <w:rPr>
                <w:sz w:val="24"/>
              </w:rPr>
            </w:pPr>
            <w:r>
              <w:rPr>
                <w:rFonts w:hint="eastAsia"/>
                <w:b/>
                <w:bCs/>
                <w:sz w:val="24"/>
              </w:rPr>
              <w:t>二、原有项目污染物排放情况及环保措施</w:t>
            </w:r>
          </w:p>
          <w:p>
            <w:pPr>
              <w:pStyle w:val="6"/>
              <w:spacing w:line="360" w:lineRule="auto"/>
              <w:rPr>
                <w:sz w:val="24"/>
              </w:rPr>
            </w:pPr>
            <w:r>
              <w:rPr>
                <w:rFonts w:hint="eastAsia"/>
                <w:b/>
                <w:bCs/>
                <w:sz w:val="24"/>
              </w:rPr>
              <w:t>1、废水</w:t>
            </w:r>
          </w:p>
          <w:p>
            <w:pPr>
              <w:spacing w:line="360" w:lineRule="auto"/>
              <w:ind w:firstLine="480" w:firstLineChars="200"/>
              <w:rPr>
                <w:sz w:val="24"/>
              </w:rPr>
            </w:pPr>
            <w:r>
              <w:rPr>
                <w:rFonts w:hint="eastAsia"/>
                <w:sz w:val="24"/>
              </w:rPr>
              <w:t>原有</w:t>
            </w:r>
            <w:r>
              <w:rPr>
                <w:sz w:val="24"/>
              </w:rPr>
              <w:t>项目排水实行“雨污分流、清污分流”</w:t>
            </w:r>
            <w:r>
              <w:rPr>
                <w:rFonts w:hint="eastAsia"/>
                <w:sz w:val="24"/>
              </w:rPr>
              <w:t>。</w:t>
            </w:r>
            <w:r>
              <w:rPr>
                <w:sz w:val="24"/>
              </w:rPr>
              <w:t>石料清洗废水及车辆冲洗水等经三级沉降处理后循环使用，损耗部分定期补充，不外排</w:t>
            </w:r>
            <w:r>
              <w:rPr>
                <w:rFonts w:hint="eastAsia"/>
                <w:sz w:val="24"/>
              </w:rPr>
              <w:t>；生活污水</w:t>
            </w:r>
            <w:r>
              <w:rPr>
                <w:sz w:val="24"/>
              </w:rPr>
              <w:t>经</w:t>
            </w:r>
            <w:r>
              <w:rPr>
                <w:rFonts w:hint="eastAsia"/>
                <w:sz w:val="24"/>
              </w:rPr>
              <w:t>化粪池收集后委托环卫部门清运，不外排。</w:t>
            </w:r>
          </w:p>
          <w:p>
            <w:pPr>
              <w:pStyle w:val="6"/>
              <w:spacing w:line="360" w:lineRule="auto"/>
              <w:rPr>
                <w:sz w:val="24"/>
              </w:rPr>
            </w:pPr>
            <w:r>
              <w:rPr>
                <w:rFonts w:hint="eastAsia"/>
                <w:b/>
                <w:bCs/>
                <w:sz w:val="24"/>
              </w:rPr>
              <w:t>2、废气</w:t>
            </w:r>
          </w:p>
          <w:p>
            <w:pPr>
              <w:spacing w:line="360" w:lineRule="auto"/>
              <w:ind w:firstLine="480" w:firstLineChars="200"/>
              <w:rPr>
                <w:sz w:val="24"/>
              </w:rPr>
            </w:pPr>
            <w:r>
              <w:rPr>
                <w:rFonts w:hint="eastAsia"/>
                <w:sz w:val="24"/>
              </w:rPr>
              <w:t>原有项目</w:t>
            </w:r>
            <w:r>
              <w:rPr>
                <w:sz w:val="24"/>
              </w:rPr>
              <w:t>在切割的时候进行水喷淋降尘处理</w:t>
            </w:r>
            <w:r>
              <w:rPr>
                <w:rFonts w:hint="eastAsia"/>
                <w:sz w:val="24"/>
              </w:rPr>
              <w:t>；</w:t>
            </w:r>
            <w:r>
              <w:rPr>
                <w:sz w:val="24"/>
              </w:rPr>
              <w:t>企业对堆场定期喷水保持表面水分抑尘，对厂区内外道路全面硬化并定期喷洒水抑尘，并对进出厂车辆冲洗</w:t>
            </w:r>
            <w:r>
              <w:rPr>
                <w:rFonts w:hint="eastAsia"/>
                <w:sz w:val="24"/>
              </w:rPr>
              <w:t>，</w:t>
            </w:r>
            <w:r>
              <w:rPr>
                <w:sz w:val="24"/>
              </w:rPr>
              <w:t>通过采取以上措施，可基本避免厂区内无组织排放粉尘的不利影响</w:t>
            </w:r>
            <w:r>
              <w:rPr>
                <w:rFonts w:hint="eastAsia"/>
                <w:sz w:val="24"/>
              </w:rPr>
              <w:t>。</w:t>
            </w:r>
          </w:p>
          <w:p>
            <w:pPr>
              <w:spacing w:line="360" w:lineRule="auto"/>
              <w:ind w:firstLine="481" w:firstLineChars="200"/>
              <w:rPr>
                <w:b/>
                <w:bCs/>
                <w:sz w:val="24"/>
              </w:rPr>
            </w:pPr>
            <w:r>
              <w:rPr>
                <w:rFonts w:hint="eastAsia"/>
                <w:b/>
                <w:bCs/>
                <w:sz w:val="24"/>
              </w:rPr>
              <w:t>3、噪声</w:t>
            </w:r>
          </w:p>
          <w:p>
            <w:pPr>
              <w:tabs>
                <w:tab w:val="left" w:pos="0"/>
              </w:tabs>
              <w:spacing w:line="360" w:lineRule="auto"/>
              <w:ind w:firstLine="480" w:firstLineChars="200"/>
              <w:jc w:val="left"/>
              <w:rPr>
                <w:sz w:val="24"/>
              </w:rPr>
            </w:pPr>
            <w:r>
              <w:rPr>
                <w:rFonts w:hint="eastAsia"/>
                <w:sz w:val="24"/>
              </w:rPr>
              <w:t>原有项目选用底噪设备，对大噪声源风</w:t>
            </w:r>
            <w:r>
              <w:rPr>
                <w:sz w:val="24"/>
              </w:rPr>
              <w:t>钻机、挖掘机、空压机</w:t>
            </w:r>
            <w:r>
              <w:rPr>
                <w:rFonts w:hint="eastAsia"/>
                <w:sz w:val="24"/>
              </w:rPr>
              <w:t>等集中布置，并采取相应的隔音、消声和减震措施</w:t>
            </w:r>
            <w:r>
              <w:rPr>
                <w:sz w:val="24"/>
              </w:rPr>
              <w:t>。</w:t>
            </w:r>
            <w:r>
              <w:rPr>
                <w:rFonts w:hint="eastAsia" w:eastAsia="新宋体"/>
                <w:sz w:val="24"/>
              </w:rPr>
              <w:t>噪声</w:t>
            </w:r>
            <w:r>
              <w:rPr>
                <w:rFonts w:hint="eastAsia"/>
                <w:sz w:val="24"/>
              </w:rPr>
              <w:t>满足</w:t>
            </w:r>
            <w:r>
              <w:rPr>
                <w:rFonts w:hint="eastAsia" w:eastAsia="新宋体"/>
                <w:sz w:val="24"/>
              </w:rPr>
              <w:t>《工业企业厂界环境噪声排放标准》（</w:t>
            </w:r>
            <w:r>
              <w:rPr>
                <w:rFonts w:eastAsia="新宋体"/>
                <w:sz w:val="24"/>
              </w:rPr>
              <w:t>GB12348-2008</w:t>
            </w:r>
            <w:r>
              <w:rPr>
                <w:rFonts w:hint="eastAsia" w:eastAsia="新宋体"/>
                <w:sz w:val="24"/>
              </w:rPr>
              <w:t>）</w:t>
            </w:r>
            <w:r>
              <w:rPr>
                <w:rFonts w:eastAsia="新宋体"/>
                <w:sz w:val="24"/>
              </w:rPr>
              <w:t>2</w:t>
            </w:r>
            <w:r>
              <w:rPr>
                <w:rFonts w:hint="eastAsia" w:eastAsia="新宋体"/>
                <w:sz w:val="24"/>
              </w:rPr>
              <w:t>类标准</w:t>
            </w:r>
            <w:r>
              <w:rPr>
                <w:rFonts w:hint="eastAsia"/>
                <w:sz w:val="24"/>
              </w:rPr>
              <w:t>。</w:t>
            </w:r>
          </w:p>
          <w:p>
            <w:pPr>
              <w:pStyle w:val="6"/>
              <w:spacing w:line="360" w:lineRule="auto"/>
              <w:rPr>
                <w:sz w:val="24"/>
              </w:rPr>
            </w:pPr>
            <w:r>
              <w:rPr>
                <w:rFonts w:hint="eastAsia"/>
                <w:b/>
                <w:bCs/>
                <w:sz w:val="24"/>
              </w:rPr>
              <w:t>4、固废</w:t>
            </w:r>
          </w:p>
          <w:p>
            <w:pPr>
              <w:spacing w:line="360" w:lineRule="auto"/>
              <w:ind w:firstLine="480" w:firstLineChars="200"/>
              <w:jc w:val="left"/>
              <w:rPr>
                <w:bCs/>
                <w:sz w:val="24"/>
              </w:rPr>
            </w:pPr>
            <w:r>
              <w:rPr>
                <w:rFonts w:hint="eastAsia"/>
                <w:sz w:val="24"/>
              </w:rPr>
              <w:t>原有项目生活垃圾</w:t>
            </w:r>
            <w:r>
              <w:rPr>
                <w:bCs/>
                <w:sz w:val="24"/>
              </w:rPr>
              <w:t>经集中收集委托环卫部门定期清运处理</w:t>
            </w:r>
            <w:r>
              <w:rPr>
                <w:rFonts w:hint="eastAsia"/>
                <w:sz w:val="24"/>
              </w:rPr>
              <w:t>；</w:t>
            </w:r>
            <w:r>
              <w:rPr>
                <w:bCs/>
                <w:sz w:val="24"/>
              </w:rPr>
              <w:t>石料开采废渣矿山开采区回填使用，不外排</w:t>
            </w:r>
            <w:r>
              <w:rPr>
                <w:rFonts w:hint="eastAsia"/>
                <w:bCs/>
                <w:sz w:val="24"/>
              </w:rPr>
              <w:t>。</w:t>
            </w:r>
          </w:p>
          <w:p>
            <w:pPr>
              <w:spacing w:line="360" w:lineRule="auto"/>
              <w:ind w:firstLine="481" w:firstLineChars="200"/>
              <w:jc w:val="left"/>
              <w:rPr>
                <w:b/>
                <w:sz w:val="24"/>
              </w:rPr>
            </w:pPr>
            <w:r>
              <w:rPr>
                <w:rFonts w:hint="eastAsia"/>
                <w:b/>
                <w:bCs/>
                <w:sz w:val="24"/>
              </w:rPr>
              <w:t>三、原有项目与</w:t>
            </w:r>
            <w:r>
              <w:rPr>
                <w:rFonts w:hint="eastAsia"/>
                <w:b/>
                <w:sz w:val="24"/>
              </w:rPr>
              <w:t>环评批复符合性分析</w:t>
            </w:r>
          </w:p>
          <w:p>
            <w:pPr>
              <w:spacing w:line="360" w:lineRule="auto"/>
              <w:jc w:val="center"/>
              <w:rPr>
                <w:b/>
                <w:sz w:val="24"/>
              </w:rPr>
            </w:pPr>
            <w:r>
              <w:rPr>
                <w:rFonts w:hint="eastAsia"/>
                <w:b/>
                <w:sz w:val="24"/>
              </w:rPr>
              <w:t>表1-11 环评批复及履行情况一览表</w:t>
            </w:r>
          </w:p>
          <w:tbl>
            <w:tblPr>
              <w:tblStyle w:val="15"/>
              <w:tblW w:w="89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008"/>
              <w:gridCol w:w="4536"/>
              <w:gridCol w:w="1985"/>
              <w:gridCol w:w="8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0" w:type="dxa"/>
                  <w:noWrap/>
                  <w:vAlign w:val="center"/>
                </w:tcPr>
                <w:p>
                  <w:pPr>
                    <w:jc w:val="center"/>
                    <w:rPr>
                      <w:b/>
                    </w:rPr>
                  </w:pPr>
                  <w:r>
                    <w:rPr>
                      <w:b/>
                    </w:rPr>
                    <w:t>序号</w:t>
                  </w:r>
                </w:p>
              </w:tc>
              <w:tc>
                <w:tcPr>
                  <w:tcW w:w="1008" w:type="dxa"/>
                  <w:noWrap/>
                  <w:vAlign w:val="center"/>
                </w:tcPr>
                <w:p>
                  <w:pPr>
                    <w:jc w:val="center"/>
                    <w:rPr>
                      <w:b/>
                    </w:rPr>
                  </w:pPr>
                  <w:r>
                    <w:rPr>
                      <w:b/>
                    </w:rPr>
                    <w:t>建设单位及项目名称</w:t>
                  </w:r>
                </w:p>
              </w:tc>
              <w:tc>
                <w:tcPr>
                  <w:tcW w:w="4536" w:type="dxa"/>
                  <w:noWrap/>
                  <w:vAlign w:val="center"/>
                </w:tcPr>
                <w:p>
                  <w:pPr>
                    <w:jc w:val="center"/>
                    <w:rPr>
                      <w:b/>
                    </w:rPr>
                  </w:pPr>
                  <w:r>
                    <w:rPr>
                      <w:rFonts w:hint="eastAsia"/>
                      <w:b/>
                    </w:rPr>
                    <w:t>环评批复内容</w:t>
                  </w:r>
                </w:p>
              </w:tc>
              <w:tc>
                <w:tcPr>
                  <w:tcW w:w="1985" w:type="dxa"/>
                  <w:noWrap/>
                  <w:vAlign w:val="center"/>
                </w:tcPr>
                <w:p>
                  <w:pPr>
                    <w:jc w:val="center"/>
                    <w:rPr>
                      <w:b/>
                    </w:rPr>
                  </w:pPr>
                  <w:r>
                    <w:rPr>
                      <w:rFonts w:hint="eastAsia"/>
                      <w:b/>
                    </w:rPr>
                    <w:t>实际建设内容</w:t>
                  </w:r>
                </w:p>
              </w:tc>
              <w:tc>
                <w:tcPr>
                  <w:tcW w:w="821" w:type="dxa"/>
                  <w:noWrap/>
                  <w:vAlign w:val="center"/>
                </w:tcPr>
                <w:p>
                  <w:pPr>
                    <w:jc w:val="center"/>
                    <w:rPr>
                      <w:b/>
                    </w:rPr>
                  </w:pPr>
                  <w:r>
                    <w:rPr>
                      <w:rFonts w:hint="eastAsia"/>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0" w:type="dxa"/>
                  <w:noWrap/>
                  <w:vAlign w:val="center"/>
                </w:tcPr>
                <w:p>
                  <w:pPr>
                    <w:jc w:val="center"/>
                  </w:pPr>
                  <w:r>
                    <w:t>1</w:t>
                  </w:r>
                </w:p>
              </w:tc>
              <w:tc>
                <w:tcPr>
                  <w:tcW w:w="1008" w:type="dxa"/>
                  <w:noWrap/>
                  <w:vAlign w:val="center"/>
                </w:tcPr>
                <w:p>
                  <w:pPr>
                    <w:adjustRightInd w:val="0"/>
                    <w:snapToGrid w:val="0"/>
                    <w:spacing w:line="300" w:lineRule="exact"/>
                    <w:jc w:val="left"/>
                    <w:rPr>
                      <w:spacing w:val="-10"/>
                      <w:szCs w:val="21"/>
                    </w:rPr>
                  </w:pPr>
                  <w:r>
                    <w:rPr>
                      <w:rFonts w:hAnsi="宋体"/>
                      <w:spacing w:val="-10"/>
                      <w:szCs w:val="21"/>
                    </w:rPr>
                    <w:t>汶上县</w:t>
                  </w:r>
                  <w:r>
                    <w:rPr>
                      <w:rFonts w:hint="eastAsia" w:hAnsi="宋体"/>
                      <w:spacing w:val="-10"/>
                      <w:szCs w:val="21"/>
                    </w:rPr>
                    <w:t>闳兴矿业有限公司</w:t>
                  </w:r>
                  <w:r>
                    <w:rPr>
                      <w:rFonts w:hint="eastAsia"/>
                      <w:szCs w:val="21"/>
                    </w:rPr>
                    <w:t>20</w:t>
                  </w:r>
                  <w:r>
                    <w:rPr>
                      <w:rFonts w:hAnsi="宋体"/>
                      <w:szCs w:val="21"/>
                    </w:rPr>
                    <w:t>万</w:t>
                  </w:r>
                  <w:r>
                    <w:rPr>
                      <w:rFonts w:hint="eastAsia"/>
                      <w:szCs w:val="21"/>
                    </w:rPr>
                    <w:t>立方米</w:t>
                  </w:r>
                  <w:r>
                    <w:rPr>
                      <w:szCs w:val="21"/>
                    </w:rPr>
                    <w:t>/</w:t>
                  </w:r>
                  <w:r>
                    <w:rPr>
                      <w:rFonts w:hint="eastAsia"/>
                      <w:szCs w:val="21"/>
                    </w:rPr>
                    <w:t>年</w:t>
                  </w:r>
                  <w:r>
                    <w:rPr>
                      <w:rFonts w:hint="eastAsia" w:hAnsi="宋体"/>
                      <w:szCs w:val="21"/>
                    </w:rPr>
                    <w:t>建筑用花岗岩开采项目</w:t>
                  </w:r>
                </w:p>
              </w:tc>
              <w:tc>
                <w:tcPr>
                  <w:tcW w:w="4536" w:type="dxa"/>
                  <w:noWrap/>
                  <w:vAlign w:val="center"/>
                </w:tcPr>
                <w:p>
                  <w:pPr>
                    <w:jc w:val="center"/>
                  </w:pPr>
                  <w:r>
                    <w:rPr>
                      <w:rFonts w:hint="eastAsia"/>
                    </w:rPr>
                    <w:t>1、切割工序采用水喷淋湿式作业，采矿面、运输道路、原料堆场采取定期洒水，加大料场周围高大树木和其他植被的种植密度，增高防风抑尘网，确保粉尘排放符合《山东省建材工业大气污染物排放标准》（DB37/2373-2013）表2无组织排放要求。</w:t>
                  </w:r>
                </w:p>
                <w:p>
                  <w:pPr>
                    <w:jc w:val="center"/>
                  </w:pPr>
                  <w:r>
                    <w:rPr>
                      <w:rFonts w:hint="eastAsia"/>
                    </w:rPr>
                    <w:t>2、采用雨污分流制排水。洗车用水、生产用冷却水循环使用，定期补充，不外排；生活污水经化粪池消化处理后，定期外运用作农田肥料，不外排。</w:t>
                  </w:r>
                </w:p>
                <w:p>
                  <w:pPr>
                    <w:jc w:val="center"/>
                  </w:pPr>
                  <w:r>
                    <w:rPr>
                      <w:rFonts w:hint="eastAsia"/>
                    </w:rPr>
                    <w:t>3、选用低噪音设备，采取隔声减震措施，确保噪声符合《工业企业厂界环境噪声排放标准》（GB12348—2008）2类标准要求。</w:t>
                  </w:r>
                </w:p>
                <w:p>
                  <w:pPr>
                    <w:jc w:val="center"/>
                  </w:pPr>
                  <w:r>
                    <w:rPr>
                      <w:rFonts w:hint="eastAsia"/>
                    </w:rPr>
                    <w:t>4、做好固废的综合利用和处理处置。沉淀物、石材废渣、落地尘用于矿区回填；生活垃圾由环卫部门及时清运处理；废润滑油交由有资质单位处理，确保固体废物处理符合《一般工业固体废物贮存、处置场污染控制标准》（GB18599-2001）及修改单要求和《危险废物贮存污染物控制标准》（GB18597-2001）及修改单要求。</w:t>
                  </w:r>
                </w:p>
                <w:p>
                  <w:pPr>
                    <w:jc w:val="center"/>
                  </w:pPr>
                  <w:r>
                    <w:rPr>
                      <w:rFonts w:hint="eastAsia"/>
                    </w:rPr>
                    <w:t>5、认真落实各项水土保持措施，积极进行生态恢复治理，防止水土流失及各种地质灾害的发生，坚持“边开采边恢复”的原则，及时按照相关要求进行生态环境的恢复整治，服务期满后，及时对临时堆场进行土地复垦，恢复原有主要生态功能。</w:t>
                  </w:r>
                </w:p>
                <w:p>
                  <w:pPr>
                    <w:jc w:val="center"/>
                  </w:pPr>
                  <w:r>
                    <w:rPr>
                      <w:rFonts w:hint="eastAsia"/>
                    </w:rPr>
                    <w:t>6、加强安全生产与环保管理，落实报告表提出的风险防范措施，报告表确定该项目卫生防护距离为50米，卫生防护距离内不得新建住宅、学校、医院等环境敏感性建筑，若该项目对周围居民或环境造成影响，应立即停止整改。</w:t>
                  </w:r>
                </w:p>
              </w:tc>
              <w:tc>
                <w:tcPr>
                  <w:tcW w:w="1985" w:type="dxa"/>
                  <w:noWrap/>
                  <w:vAlign w:val="center"/>
                </w:tcPr>
                <w:p>
                  <w:pPr>
                    <w:jc w:val="center"/>
                  </w:pPr>
                  <w:r>
                    <w:rPr>
                      <w:rFonts w:hint="eastAsia"/>
                    </w:rPr>
                    <w:t>1、项目厂区配备洒水车及喷淋系统，定期对采矿区、运输道路及原料堆场进行洒水降尘，并沿堆矿区外侧设防风抑尘网；</w:t>
                  </w:r>
                </w:p>
                <w:p>
                  <w:pPr>
                    <w:jc w:val="center"/>
                  </w:pPr>
                  <w:r>
                    <w:rPr>
                      <w:rFonts w:hint="eastAsia"/>
                    </w:rPr>
                    <w:t>2、项目已建设雨污分流系统、洗车台及三级沉淀池，喷洒抑尘用水及生产用水无外排，生活用水通过化粪池处理后堆肥，无外排。</w:t>
                  </w:r>
                </w:p>
                <w:p>
                  <w:pPr>
                    <w:jc w:val="center"/>
                  </w:pPr>
                  <w:r>
                    <w:rPr>
                      <w:rFonts w:hint="eastAsia"/>
                    </w:rPr>
                    <w:t>3、项目设备选用低噪声设备，并采取了隔声减震措施。</w:t>
                  </w:r>
                </w:p>
                <w:p>
                  <w:pPr>
                    <w:jc w:val="center"/>
                  </w:pPr>
                  <w:r>
                    <w:rPr>
                      <w:rFonts w:hint="eastAsia"/>
                    </w:rPr>
                    <w:t>4、浮土、沉淀池岩石粉已回用于矿区回填，废石料外售做石子等建筑材料，生活垃圾由汶上县白石镇环卫部门统一清运处理。</w:t>
                  </w:r>
                </w:p>
                <w:p>
                  <w:pPr>
                    <w:jc w:val="center"/>
                  </w:pPr>
                </w:p>
              </w:tc>
              <w:tc>
                <w:tcPr>
                  <w:tcW w:w="821" w:type="dxa"/>
                  <w:noWrap/>
                  <w:vAlign w:val="center"/>
                </w:tcPr>
                <w:p>
                  <w:pPr>
                    <w:jc w:val="center"/>
                  </w:pPr>
                  <w:r>
                    <w:rPr>
                      <w:rFonts w:hint="eastAsia"/>
                    </w:rPr>
                    <w:t>项目仅在矿山四周进行少量绿化，绿化措施不符合环评批复要求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80" w:type="dxa"/>
                  <w:noWrap/>
                  <w:vAlign w:val="center"/>
                </w:tcPr>
                <w:p>
                  <w:pPr>
                    <w:jc w:val="center"/>
                  </w:pPr>
                  <w:r>
                    <w:t>2</w:t>
                  </w:r>
                </w:p>
              </w:tc>
              <w:tc>
                <w:tcPr>
                  <w:tcW w:w="1008" w:type="dxa"/>
                  <w:noWrap/>
                  <w:vAlign w:val="center"/>
                </w:tcPr>
                <w:p>
                  <w:pPr>
                    <w:adjustRightInd w:val="0"/>
                    <w:snapToGrid w:val="0"/>
                    <w:spacing w:line="300" w:lineRule="exact"/>
                    <w:jc w:val="left"/>
                    <w:rPr>
                      <w:spacing w:val="-10"/>
                      <w:szCs w:val="21"/>
                    </w:rPr>
                  </w:pPr>
                  <w:r>
                    <w:rPr>
                      <w:rFonts w:hAnsi="宋体"/>
                      <w:spacing w:val="-10"/>
                      <w:szCs w:val="21"/>
                    </w:rPr>
                    <w:t>汶上县</w:t>
                  </w:r>
                  <w:r>
                    <w:rPr>
                      <w:rFonts w:hint="eastAsia" w:hAnsi="宋体"/>
                      <w:spacing w:val="-10"/>
                      <w:szCs w:val="21"/>
                    </w:rPr>
                    <w:t>鸿顺矿业有限公司</w:t>
                  </w:r>
                </w:p>
                <w:p>
                  <w:pPr>
                    <w:adjustRightInd w:val="0"/>
                    <w:snapToGrid w:val="0"/>
                    <w:spacing w:line="300" w:lineRule="exact"/>
                    <w:jc w:val="left"/>
                    <w:rPr>
                      <w:spacing w:val="-10"/>
                      <w:szCs w:val="21"/>
                    </w:rPr>
                  </w:pPr>
                  <w:r>
                    <w:rPr>
                      <w:szCs w:val="21"/>
                    </w:rPr>
                    <w:t>2</w:t>
                  </w:r>
                  <w:r>
                    <w:rPr>
                      <w:rFonts w:hint="eastAsia"/>
                      <w:szCs w:val="21"/>
                    </w:rPr>
                    <w:t>0</w:t>
                  </w:r>
                  <w:r>
                    <w:rPr>
                      <w:rFonts w:hAnsi="宋体"/>
                      <w:szCs w:val="21"/>
                    </w:rPr>
                    <w:t>万</w:t>
                  </w:r>
                  <w:r>
                    <w:rPr>
                      <w:rFonts w:hint="eastAsia"/>
                      <w:szCs w:val="21"/>
                    </w:rPr>
                    <w:t>立方米</w:t>
                  </w:r>
                  <w:r>
                    <w:rPr>
                      <w:szCs w:val="21"/>
                    </w:rPr>
                    <w:t>/</w:t>
                  </w:r>
                  <w:r>
                    <w:rPr>
                      <w:rFonts w:hint="eastAsia"/>
                      <w:szCs w:val="21"/>
                    </w:rPr>
                    <w:t>年</w:t>
                  </w:r>
                  <w:r>
                    <w:rPr>
                      <w:rFonts w:hint="eastAsia" w:hAnsi="宋体"/>
                      <w:szCs w:val="21"/>
                    </w:rPr>
                    <w:t>建筑用花岗岩开采项目</w:t>
                  </w:r>
                </w:p>
              </w:tc>
              <w:tc>
                <w:tcPr>
                  <w:tcW w:w="4536" w:type="dxa"/>
                  <w:noWrap/>
                  <w:vAlign w:val="center"/>
                </w:tcPr>
                <w:p>
                  <w:pPr>
                    <w:jc w:val="center"/>
                  </w:pPr>
                  <w:r>
                    <w:rPr>
                      <w:rFonts w:hint="eastAsia"/>
                    </w:rPr>
                    <w:t>1、切割工序采用水喷淋湿式作业，采矿面、运输道路、原料堆场采取定期洒水，加大料场周围高大树木和其他植被的种植密度，增高防风抑尘网，确保粉尘排放符合《山东省建材工业大气污染物排放标准》（DB37/2373-2013）表2无组织排放要求。</w:t>
                  </w:r>
                </w:p>
                <w:p>
                  <w:pPr>
                    <w:jc w:val="center"/>
                  </w:pPr>
                  <w:r>
                    <w:rPr>
                      <w:rFonts w:hint="eastAsia"/>
                    </w:rPr>
                    <w:t>2、采用雨污分流制排水。洗车用水、生产用冷却水循环使用，定期补充，不外排；生活污水经化粪池消化处理后，定期外运用作农田肥料，不外排。</w:t>
                  </w:r>
                </w:p>
                <w:p>
                  <w:pPr>
                    <w:jc w:val="center"/>
                  </w:pPr>
                  <w:r>
                    <w:rPr>
                      <w:rFonts w:hint="eastAsia"/>
                    </w:rPr>
                    <w:t>3、选用低噪音设备，采取隔声减震措施，确保噪声符合《工业企业厂界环境噪声排放标准》（GB12348—2008）2类标准要求。</w:t>
                  </w:r>
                </w:p>
                <w:p>
                  <w:pPr>
                    <w:jc w:val="center"/>
                  </w:pPr>
                  <w:r>
                    <w:rPr>
                      <w:rFonts w:hint="eastAsia"/>
                    </w:rPr>
                    <w:t>4、做好固废的综合利用和处理处置。沉淀物、石材废渣、落地尘用于矿区回填；生活垃圾由环卫部门及时清运处理；废润滑油交由有资质单位处理，确保固体废物处理符合《一般工业固体废物贮存、处置场污染控制标准》（GB18599-2001）及修改单要求和《危险废物贮存污染物控制标准》（GB18597-2001）及修改单要求。</w:t>
                  </w:r>
                </w:p>
                <w:p>
                  <w:pPr>
                    <w:jc w:val="center"/>
                  </w:pPr>
                  <w:r>
                    <w:rPr>
                      <w:rFonts w:hint="eastAsia"/>
                    </w:rPr>
                    <w:t>5、认真落实各项水土保持措施，积极进行生态恢复治理，防止水土流失及各种地质灾害的发生，坚持“边开采边恢复”的原则，及时按照相关要求进行生态环境的恢复整治，服务期满后，及时对临时堆场进行土地复垦，恢复原有主要生态功能。</w:t>
                  </w:r>
                </w:p>
                <w:p>
                  <w:pPr>
                    <w:jc w:val="center"/>
                  </w:pPr>
                  <w:r>
                    <w:rPr>
                      <w:rFonts w:hint="eastAsia"/>
                    </w:rPr>
                    <w:t>6、加强安全生产与环保管理，落实报告表提出的风险防范措施，报告表确定该项目卫生防护距离为50米，卫生防护距离内不得新建住宅、学校、医院等环境敏感性建筑，若该项目对周围居民或环境造成影响，应立即停止整改。</w:t>
                  </w:r>
                </w:p>
              </w:tc>
              <w:tc>
                <w:tcPr>
                  <w:tcW w:w="1985" w:type="dxa"/>
                  <w:noWrap/>
                  <w:vAlign w:val="center"/>
                </w:tcPr>
                <w:p>
                  <w:pPr>
                    <w:jc w:val="center"/>
                  </w:pPr>
                  <w:r>
                    <w:rPr>
                      <w:rFonts w:hint="eastAsia"/>
                    </w:rPr>
                    <w:t>1、项目厂区配备洒水车及喷淋系统，定期对采矿区、运输道路及原料堆场进行洒水降尘，并沿堆矿区外侧设防风抑尘网；</w:t>
                  </w:r>
                </w:p>
                <w:p>
                  <w:pPr>
                    <w:jc w:val="center"/>
                  </w:pPr>
                  <w:r>
                    <w:rPr>
                      <w:rFonts w:hint="eastAsia"/>
                    </w:rPr>
                    <w:t>2、项目已建设雨污分流系统、洗车台及三级沉淀池，喷洒抑尘用水及生产用水无外排，生活用水通过化粪池处理后堆肥，无外排。</w:t>
                  </w:r>
                </w:p>
                <w:p>
                  <w:pPr>
                    <w:jc w:val="center"/>
                  </w:pPr>
                  <w:r>
                    <w:rPr>
                      <w:rFonts w:hint="eastAsia"/>
                    </w:rPr>
                    <w:t>3、项目设备选用低噪声设备，并采取了隔声减震措施。</w:t>
                  </w:r>
                </w:p>
                <w:p>
                  <w:pPr>
                    <w:jc w:val="center"/>
                  </w:pPr>
                  <w:r>
                    <w:rPr>
                      <w:rFonts w:hint="eastAsia"/>
                    </w:rPr>
                    <w:t>4、浮土、沉淀池岩石粉已回用于矿区回填，废石料外售做石子等建筑材料，生活垃圾由汶上县白石镇环卫部门统一清运处理。</w:t>
                  </w:r>
                </w:p>
              </w:tc>
              <w:tc>
                <w:tcPr>
                  <w:tcW w:w="821" w:type="dxa"/>
                  <w:noWrap/>
                  <w:vAlign w:val="center"/>
                </w:tcPr>
                <w:p>
                  <w:pPr>
                    <w:jc w:val="center"/>
                  </w:pPr>
                  <w:r>
                    <w:rPr>
                      <w:rFonts w:hint="eastAsia"/>
                    </w:rPr>
                    <w:t>项目仅在矿山四周进行少量绿化，绿化措施不符合环评批复要求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80" w:type="dxa"/>
                  <w:noWrap/>
                  <w:vAlign w:val="center"/>
                </w:tcPr>
                <w:p>
                  <w:pPr>
                    <w:jc w:val="center"/>
                  </w:pPr>
                  <w:r>
                    <w:t>3</w:t>
                  </w:r>
                </w:p>
              </w:tc>
              <w:tc>
                <w:tcPr>
                  <w:tcW w:w="1008" w:type="dxa"/>
                  <w:noWrap/>
                  <w:vAlign w:val="center"/>
                </w:tcPr>
                <w:p>
                  <w:pPr>
                    <w:adjustRightInd w:val="0"/>
                    <w:snapToGrid w:val="0"/>
                    <w:spacing w:line="300" w:lineRule="exact"/>
                    <w:jc w:val="left"/>
                    <w:rPr>
                      <w:spacing w:val="-10"/>
                      <w:szCs w:val="21"/>
                    </w:rPr>
                  </w:pPr>
                  <w:r>
                    <w:rPr>
                      <w:rFonts w:hAnsi="宋体"/>
                      <w:spacing w:val="-10"/>
                      <w:szCs w:val="21"/>
                    </w:rPr>
                    <w:t>汶上县</w:t>
                  </w:r>
                  <w:r>
                    <w:rPr>
                      <w:rFonts w:hint="eastAsia" w:hAnsi="宋体"/>
                      <w:spacing w:val="-10"/>
                      <w:szCs w:val="21"/>
                    </w:rPr>
                    <w:t>兴盛</w:t>
                  </w:r>
                  <w:r>
                    <w:rPr>
                      <w:rFonts w:hAnsi="宋体"/>
                      <w:spacing w:val="-10"/>
                      <w:szCs w:val="21"/>
                    </w:rPr>
                    <w:t>矿业有限公司</w:t>
                  </w:r>
                </w:p>
                <w:p>
                  <w:pPr>
                    <w:adjustRightInd w:val="0"/>
                    <w:snapToGrid w:val="0"/>
                    <w:spacing w:line="300" w:lineRule="exact"/>
                    <w:jc w:val="left"/>
                    <w:rPr>
                      <w:spacing w:val="-10"/>
                      <w:szCs w:val="21"/>
                    </w:rPr>
                  </w:pPr>
                  <w:r>
                    <w:rPr>
                      <w:szCs w:val="21"/>
                    </w:rPr>
                    <w:t>2</w:t>
                  </w:r>
                  <w:r>
                    <w:rPr>
                      <w:rFonts w:hint="eastAsia"/>
                      <w:szCs w:val="21"/>
                    </w:rPr>
                    <w:t>0</w:t>
                  </w:r>
                  <w:r>
                    <w:rPr>
                      <w:rFonts w:hAnsi="宋体"/>
                      <w:szCs w:val="21"/>
                    </w:rPr>
                    <w:t>万</w:t>
                  </w:r>
                  <w:r>
                    <w:rPr>
                      <w:rFonts w:hint="eastAsia"/>
                      <w:szCs w:val="21"/>
                    </w:rPr>
                    <w:t>立方米</w:t>
                  </w:r>
                  <w:r>
                    <w:rPr>
                      <w:szCs w:val="21"/>
                    </w:rPr>
                    <w:t>/</w:t>
                  </w:r>
                  <w:r>
                    <w:rPr>
                      <w:rFonts w:hint="eastAsia"/>
                      <w:szCs w:val="21"/>
                    </w:rPr>
                    <w:t>年</w:t>
                  </w:r>
                  <w:r>
                    <w:rPr>
                      <w:rFonts w:hint="eastAsia" w:hAnsi="宋体"/>
                      <w:szCs w:val="21"/>
                    </w:rPr>
                    <w:t>建筑用花岗岩开采项目</w:t>
                  </w:r>
                </w:p>
              </w:tc>
              <w:tc>
                <w:tcPr>
                  <w:tcW w:w="4536" w:type="dxa"/>
                  <w:noWrap/>
                  <w:vAlign w:val="center"/>
                </w:tcPr>
                <w:p>
                  <w:pPr>
                    <w:jc w:val="center"/>
                  </w:pPr>
                  <w:r>
                    <w:rPr>
                      <w:rFonts w:hint="eastAsia"/>
                    </w:rPr>
                    <w:t>1、切割工序采用水喷淋湿式作业，采矿面、运输道路、原料堆场采取定期洒水，加大料场周围高大树木和其他植被的种植密度，增高防风抑尘网，确保粉尘排放符合《山东省建材工业大气污染物排放标准》（DB37/2373-2013）表2无组织排放要求。</w:t>
                  </w:r>
                </w:p>
                <w:p>
                  <w:pPr>
                    <w:jc w:val="center"/>
                  </w:pPr>
                  <w:r>
                    <w:rPr>
                      <w:rFonts w:hint="eastAsia"/>
                    </w:rPr>
                    <w:t>2、采用雨污分流制排水。洗车用水、生产用冷却水循环使用，定期补充，不外排；生活污水经化粪池消化处理后，定期外运用作农田肥料，不外排。</w:t>
                  </w:r>
                </w:p>
                <w:p>
                  <w:pPr>
                    <w:jc w:val="center"/>
                  </w:pPr>
                  <w:r>
                    <w:rPr>
                      <w:rFonts w:hint="eastAsia"/>
                    </w:rPr>
                    <w:t>3、选用低噪音设备，采取隔声减震措施，确保噪声符合《工业企业厂界环境噪声排放标准》（GB12348—2008）2类标准要求。</w:t>
                  </w:r>
                </w:p>
                <w:p>
                  <w:pPr>
                    <w:jc w:val="center"/>
                  </w:pPr>
                  <w:r>
                    <w:rPr>
                      <w:rFonts w:hint="eastAsia"/>
                    </w:rPr>
                    <w:t>4、做好固废的综合利用和处理处置。沉淀物、石材废渣、落地尘用于矿区回填；生活垃圾由环卫部门及时清运处理；废润滑油交由有资质单位处理，确保固体废物处理符合《一般工业固体废物贮存、处置场污染控制标准》（GB18599-2001）及修改单要求和《危险废物贮存污染物控制标准》（GB18597-2001）及修改单要求。</w:t>
                  </w:r>
                </w:p>
                <w:p>
                  <w:pPr>
                    <w:jc w:val="center"/>
                  </w:pPr>
                  <w:r>
                    <w:rPr>
                      <w:rFonts w:hint="eastAsia"/>
                    </w:rPr>
                    <w:t>5、认真落实各项水土保持措施，积极进行生态恢复治理，防止水土流失及各种地质灾害的发生，坚持“边开采边恢复”的原则，及时按照相关要求进行生态环境的恢复整治，服务期满后，及时对临时堆场进行土地复垦，恢复原有主要生态功能。</w:t>
                  </w:r>
                </w:p>
                <w:p>
                  <w:pPr>
                    <w:jc w:val="center"/>
                  </w:pPr>
                  <w:r>
                    <w:rPr>
                      <w:rFonts w:hint="eastAsia"/>
                    </w:rPr>
                    <w:t>6、加强安全生产与环保管理，落实报告表提出的风险防范措施，报告表确定该项目卫生防护距离为50米，卫生防护距离内不得新建住宅、学校、医院等环境敏感性建筑，若该项目对周围居民或环境造成影响，应立即停止整改。</w:t>
                  </w:r>
                </w:p>
              </w:tc>
              <w:tc>
                <w:tcPr>
                  <w:tcW w:w="1985" w:type="dxa"/>
                  <w:noWrap/>
                  <w:vAlign w:val="center"/>
                </w:tcPr>
                <w:p>
                  <w:pPr>
                    <w:jc w:val="center"/>
                  </w:pPr>
                  <w:r>
                    <w:rPr>
                      <w:rFonts w:hint="eastAsia"/>
                    </w:rPr>
                    <w:t>1、项目厂区配备洒水车及喷淋系统，定期对采矿区、运输道路及原料堆场进行洒水降尘，并沿堆矿区外侧设防风抑尘网；</w:t>
                  </w:r>
                </w:p>
                <w:p>
                  <w:pPr>
                    <w:jc w:val="center"/>
                  </w:pPr>
                  <w:r>
                    <w:rPr>
                      <w:rFonts w:hint="eastAsia"/>
                    </w:rPr>
                    <w:t>2、项目已建设雨污分流系统、洗车台及三级沉淀池，喷洒抑尘用水及生产用水无外排，生活用水通过化粪池处理后堆肥，无外排。</w:t>
                  </w:r>
                </w:p>
                <w:p>
                  <w:pPr>
                    <w:jc w:val="center"/>
                  </w:pPr>
                  <w:r>
                    <w:rPr>
                      <w:rFonts w:hint="eastAsia"/>
                    </w:rPr>
                    <w:t>3、项目设备选用低噪声设备，并采取了隔声减震措施。</w:t>
                  </w:r>
                </w:p>
                <w:p>
                  <w:pPr>
                    <w:jc w:val="center"/>
                  </w:pPr>
                  <w:r>
                    <w:rPr>
                      <w:rFonts w:hint="eastAsia"/>
                    </w:rPr>
                    <w:t>4、浮土、沉淀池岩石粉已回用于矿区回填，废石料外售做石子等建筑材料，生活垃圾由汶上县白石镇环卫部门统一清运处理。</w:t>
                  </w:r>
                </w:p>
              </w:tc>
              <w:tc>
                <w:tcPr>
                  <w:tcW w:w="821" w:type="dxa"/>
                  <w:noWrap/>
                  <w:vAlign w:val="center"/>
                </w:tcPr>
                <w:p>
                  <w:pPr>
                    <w:jc w:val="center"/>
                  </w:pPr>
                  <w:r>
                    <w:rPr>
                      <w:rFonts w:hint="eastAsia"/>
                    </w:rPr>
                    <w:t>项目仅在矿山四周进行少量绿化，绿化措施不符合环评批复要求</w:t>
                  </w:r>
                </w:p>
              </w:tc>
            </w:tr>
          </w:tbl>
          <w:p>
            <w:pPr>
              <w:spacing w:line="360" w:lineRule="auto"/>
              <w:ind w:firstLine="480" w:firstLineChars="200"/>
              <w:rPr>
                <w:sz w:val="24"/>
              </w:rPr>
            </w:pPr>
            <w:r>
              <w:rPr>
                <w:rFonts w:hint="eastAsia"/>
                <w:sz w:val="24"/>
              </w:rPr>
              <w:t>根据本次环评现场踏勘，上述企业存在如下环保问题：</w:t>
            </w:r>
          </w:p>
          <w:p>
            <w:pPr>
              <w:spacing w:line="360" w:lineRule="auto"/>
              <w:ind w:firstLine="480" w:firstLineChars="200"/>
              <w:rPr>
                <w:sz w:val="24"/>
              </w:rPr>
            </w:pPr>
            <w:r>
              <w:rPr>
                <w:rFonts w:hint="eastAsia"/>
                <w:sz w:val="24"/>
              </w:rPr>
              <w:t>1、企业矿区绿化措施不到位，仅在矿山四周进行少量绿化；</w:t>
            </w:r>
          </w:p>
          <w:p>
            <w:pPr>
              <w:spacing w:line="360" w:lineRule="auto"/>
              <w:ind w:firstLine="480" w:firstLineChars="200"/>
              <w:rPr>
                <w:sz w:val="24"/>
              </w:rPr>
            </w:pPr>
            <w:r>
              <w:rPr>
                <w:rFonts w:hint="eastAsia"/>
                <w:sz w:val="24"/>
              </w:rPr>
              <w:t>2、堆矿场四周防风抑尘网现有高度不满足环保要求，应高于堆矿场堆矿2米以上；</w:t>
            </w:r>
          </w:p>
          <w:p>
            <w:pPr>
              <w:spacing w:line="360" w:lineRule="auto"/>
              <w:ind w:firstLine="480" w:firstLineChars="200"/>
              <w:rPr>
                <w:sz w:val="24"/>
              </w:rPr>
            </w:pPr>
            <w:r>
              <w:rPr>
                <w:rFonts w:hint="eastAsia"/>
                <w:sz w:val="24"/>
              </w:rPr>
              <w:t>3、矿区四周办公室分布较散乱，生活污水不能有效收集处理；</w:t>
            </w:r>
          </w:p>
          <w:p>
            <w:pPr>
              <w:spacing w:line="360" w:lineRule="auto"/>
              <w:ind w:firstLine="480" w:firstLineChars="200"/>
              <w:rPr>
                <w:sz w:val="24"/>
              </w:rPr>
            </w:pPr>
            <w:r>
              <w:rPr>
                <w:rFonts w:hint="eastAsia"/>
                <w:sz w:val="24"/>
              </w:rPr>
              <w:t>4、部分堆矿场堆矿未加盖篷布遮盖，易导致风起扬尘；</w:t>
            </w:r>
          </w:p>
          <w:p>
            <w:pPr>
              <w:spacing w:line="360" w:lineRule="auto"/>
              <w:ind w:firstLine="480" w:firstLineChars="200"/>
              <w:rPr>
                <w:sz w:val="24"/>
              </w:rPr>
            </w:pPr>
            <w:r>
              <w:rPr>
                <w:rFonts w:hint="eastAsia"/>
                <w:sz w:val="24"/>
              </w:rPr>
              <w:t>5、运输道路未及时喷洒抑尘，导致运输车辆产生扬尘。</w:t>
            </w:r>
          </w:p>
          <w:p>
            <w:pPr>
              <w:spacing w:line="360" w:lineRule="auto"/>
              <w:ind w:firstLine="480" w:firstLineChars="200"/>
              <w:rPr>
                <w:sz w:val="24"/>
              </w:rPr>
            </w:pPr>
            <w:r>
              <w:rPr>
                <w:rFonts w:hint="eastAsia"/>
                <w:sz w:val="24"/>
              </w:rPr>
              <w:t>本项目整合现有4个矿段后，应加大环保投资，并设立专人专组对环保实施统一管理，针对上述问题，并根据新的环保要求及本次环评要求拟采取的环保措施进行整改完善，具体内容如下。</w:t>
            </w:r>
          </w:p>
          <w:p>
            <w:pPr>
              <w:spacing w:line="360" w:lineRule="auto"/>
              <w:ind w:firstLine="480" w:firstLineChars="200"/>
              <w:rPr>
                <w:sz w:val="24"/>
              </w:rPr>
            </w:pPr>
            <w:r>
              <w:rPr>
                <w:rFonts w:hint="eastAsia"/>
                <w:sz w:val="24"/>
              </w:rPr>
              <w:t>（1）废气处理方面：加强厂区管理，并对采矿区、堆矿场及运输道路定期喷洒，加设高空雾炮对堆矿场及运输道路进行抑尘处理；加高防风抑尘网，使其高度在堆矿场堆矿石2米以上，并对堆矿场矿石加盖篷布，减少风起扬尘；对矿区及堆矿场四周加强绿化，种植高大树木，进行防风抑尘；对运输车辆进行限速限重，定期对道路进行清扫，加强洗车台管理。</w:t>
            </w:r>
          </w:p>
          <w:p>
            <w:pPr>
              <w:spacing w:line="360" w:lineRule="auto"/>
              <w:ind w:firstLine="480" w:firstLineChars="200"/>
              <w:rPr>
                <w:sz w:val="24"/>
              </w:rPr>
            </w:pPr>
            <w:r>
              <w:rPr>
                <w:rFonts w:hint="eastAsia"/>
                <w:sz w:val="24"/>
              </w:rPr>
              <w:t>（2）废水处理方面：对办公场所进行整合，加强生活污水收集管理，增设化粪池及相应废水收集管道，并对化粪池进行防渗处理；加强生产废水回收利用，采矿冷却水经沉淀池处理后循环使用，洗车台废水经三级沉淀池处理后回用于厂区绿化、道路喷洒等，沉淀池进行防渗处理。</w:t>
            </w:r>
          </w:p>
          <w:p>
            <w:pPr>
              <w:spacing w:line="360" w:lineRule="auto"/>
              <w:ind w:firstLine="480" w:firstLineChars="200"/>
              <w:rPr>
                <w:sz w:val="24"/>
              </w:rPr>
            </w:pPr>
            <w:r>
              <w:rPr>
                <w:rFonts w:hint="eastAsia"/>
                <w:sz w:val="24"/>
              </w:rPr>
              <w:t>（3）固废处理方面：沉淀池沉渣及采矿碎渣、落地尘等直接回用于矿场回填；对运输道路清扫粉尘等进行矿区回填，资源化利用；加强厂区生活垃圾管理，生活垃圾存放地进行防渗及防雨处理，防止垃圾渗滤液下渗污染地下水；废润滑油等危险固废严格按照危废暂存标准进行暂存后交由有资质单位处理。</w:t>
            </w:r>
          </w:p>
          <w:p>
            <w:pPr>
              <w:spacing w:line="360" w:lineRule="auto"/>
              <w:ind w:firstLine="480" w:firstLineChars="200"/>
              <w:rPr>
                <w:sz w:val="24"/>
              </w:rPr>
            </w:pPr>
            <w:r>
              <w:rPr>
                <w:rFonts w:hint="eastAsia"/>
                <w:sz w:val="24"/>
              </w:rPr>
              <w:t>（4）噪声处理方面：加强设备维护，防止设备因故障导致噪声污染。</w:t>
            </w:r>
          </w:p>
          <w:p>
            <w:pPr>
              <w:spacing w:line="360" w:lineRule="auto"/>
              <w:ind w:firstLine="480" w:firstLineChars="200"/>
              <w:rPr>
                <w:sz w:val="24"/>
              </w:rPr>
            </w:pPr>
            <w:r>
              <w:rPr>
                <w:rFonts w:hint="eastAsia"/>
                <w:sz w:val="24"/>
              </w:rPr>
              <w:t>（5）生态恢复治理方面：项目开采时加强绿化，防止水土流失，闭矿后整理矿区地貌，不留积水深坑，将全部浮土回填矿坑，并根据本次环评第七章建议进行生态恢复。</w:t>
            </w:r>
          </w:p>
          <w:p>
            <w:pPr>
              <w:spacing w:line="360" w:lineRule="auto"/>
              <w:ind w:firstLine="456" w:firstLineChars="200"/>
              <w:rPr>
                <w:rFonts w:hAnsi="宋体"/>
                <w:spacing w:val="-6"/>
                <w:sz w:val="24"/>
              </w:rPr>
            </w:pPr>
          </w:p>
          <w:p>
            <w:pPr>
              <w:spacing w:line="480" w:lineRule="auto"/>
              <w:rPr>
                <w:rFonts w:eastAsia="黑体"/>
                <w:bCs/>
                <w:sz w:val="28"/>
                <w:szCs w:val="28"/>
              </w:rPr>
            </w:pPr>
          </w:p>
          <w:p>
            <w:pPr>
              <w:spacing w:line="480" w:lineRule="auto"/>
              <w:rPr>
                <w:rFonts w:eastAsia="黑体"/>
                <w:bCs/>
                <w:sz w:val="28"/>
                <w:szCs w:val="28"/>
              </w:rPr>
            </w:pPr>
          </w:p>
          <w:p>
            <w:pPr>
              <w:spacing w:line="480" w:lineRule="auto"/>
              <w:rPr>
                <w:rFonts w:eastAsia="黑体"/>
                <w:bCs/>
                <w:sz w:val="28"/>
                <w:szCs w:val="28"/>
              </w:rPr>
            </w:pPr>
          </w:p>
          <w:p>
            <w:pPr>
              <w:spacing w:line="480" w:lineRule="auto"/>
              <w:rPr>
                <w:rFonts w:eastAsia="黑体"/>
                <w:bCs/>
                <w:sz w:val="28"/>
                <w:szCs w:val="28"/>
              </w:rPr>
            </w:pPr>
          </w:p>
          <w:p>
            <w:pPr>
              <w:spacing w:line="480" w:lineRule="auto"/>
              <w:rPr>
                <w:rFonts w:eastAsia="黑体"/>
                <w:bCs/>
                <w:sz w:val="28"/>
                <w:szCs w:val="28"/>
              </w:rPr>
            </w:pPr>
          </w:p>
          <w:p>
            <w:pPr>
              <w:spacing w:line="480" w:lineRule="auto"/>
              <w:rPr>
                <w:rFonts w:eastAsia="黑体"/>
                <w:bCs/>
                <w:sz w:val="28"/>
                <w:szCs w:val="28"/>
              </w:rPr>
            </w:pPr>
          </w:p>
          <w:p>
            <w:pPr>
              <w:spacing w:line="480" w:lineRule="auto"/>
              <w:rPr>
                <w:rFonts w:eastAsia="黑体"/>
                <w:bCs/>
                <w:sz w:val="28"/>
                <w:szCs w:val="28"/>
              </w:rPr>
            </w:pPr>
          </w:p>
          <w:p>
            <w:pPr>
              <w:spacing w:line="480" w:lineRule="auto"/>
              <w:rPr>
                <w:rFonts w:eastAsia="黑体"/>
                <w:bCs/>
                <w:sz w:val="28"/>
                <w:szCs w:val="28"/>
              </w:rPr>
            </w:pPr>
          </w:p>
          <w:p>
            <w:pPr>
              <w:spacing w:line="480" w:lineRule="auto"/>
              <w:rPr>
                <w:rFonts w:eastAsia="黑体"/>
                <w:bCs/>
                <w:sz w:val="28"/>
                <w:szCs w:val="28"/>
              </w:rPr>
            </w:pPr>
          </w:p>
          <w:p>
            <w:pPr>
              <w:spacing w:line="480" w:lineRule="auto"/>
              <w:rPr>
                <w:rFonts w:eastAsia="黑体"/>
                <w:bCs/>
                <w:sz w:val="28"/>
                <w:szCs w:val="28"/>
              </w:rPr>
            </w:pPr>
          </w:p>
          <w:p>
            <w:pPr>
              <w:spacing w:line="480" w:lineRule="auto"/>
              <w:rPr>
                <w:rFonts w:eastAsia="黑体"/>
                <w:bCs/>
                <w:sz w:val="28"/>
                <w:szCs w:val="28"/>
              </w:rPr>
            </w:pPr>
          </w:p>
          <w:p>
            <w:pPr>
              <w:spacing w:line="480" w:lineRule="auto"/>
              <w:rPr>
                <w:rFonts w:eastAsia="黑体"/>
                <w:bCs/>
                <w:sz w:val="28"/>
                <w:szCs w:val="28"/>
              </w:rPr>
            </w:pPr>
          </w:p>
          <w:p>
            <w:pPr>
              <w:spacing w:line="480" w:lineRule="auto"/>
              <w:rPr>
                <w:rFonts w:eastAsia="黑体"/>
                <w:bCs/>
                <w:sz w:val="28"/>
                <w:szCs w:val="28"/>
              </w:rPr>
            </w:pPr>
          </w:p>
          <w:p>
            <w:pPr>
              <w:spacing w:line="480" w:lineRule="auto"/>
              <w:rPr>
                <w:rFonts w:eastAsia="黑体"/>
                <w:bCs/>
                <w:sz w:val="28"/>
                <w:szCs w:val="28"/>
              </w:rPr>
            </w:pPr>
          </w:p>
          <w:p>
            <w:pPr>
              <w:spacing w:line="480" w:lineRule="auto"/>
              <w:rPr>
                <w:rFonts w:eastAsia="黑体"/>
                <w:bCs/>
                <w:sz w:val="28"/>
                <w:szCs w:val="28"/>
              </w:rPr>
            </w:pPr>
          </w:p>
          <w:p>
            <w:pPr>
              <w:spacing w:line="480" w:lineRule="auto"/>
              <w:rPr>
                <w:rFonts w:eastAsia="黑体"/>
                <w:bCs/>
                <w:sz w:val="28"/>
                <w:szCs w:val="28"/>
              </w:rPr>
            </w:pPr>
          </w:p>
        </w:tc>
      </w:tr>
    </w:tbl>
    <w:p>
      <w:pPr>
        <w:rPr>
          <w:rFonts w:eastAsia="新宋体"/>
          <w:b/>
          <w:sz w:val="30"/>
          <w:szCs w:val="30"/>
        </w:rPr>
      </w:pPr>
      <w:r>
        <w:rPr>
          <w:rFonts w:eastAsia="新宋体"/>
          <w:b/>
          <w:sz w:val="30"/>
          <w:szCs w:val="30"/>
        </w:rPr>
        <w:t>二、建设项目所在地自然环境社会环境简况</w:t>
      </w:r>
    </w:p>
    <w:tbl>
      <w:tblPr>
        <w:tblStyle w:val="16"/>
        <w:tblW w:w="9285" w:type="dxa"/>
        <w:tblInd w:w="-3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85" w:type="dxa"/>
          </w:tcPr>
          <w:p>
            <w:pPr>
              <w:spacing w:line="360" w:lineRule="auto"/>
              <w:rPr>
                <w:b/>
                <w:sz w:val="24"/>
              </w:rPr>
            </w:pPr>
            <w:r>
              <w:rPr>
                <w:b/>
                <w:sz w:val="24"/>
              </w:rPr>
              <w:t>自然环境简况（地形、地貌、地质、气候、气象、水文、植被、生物多样性等）：</w:t>
            </w:r>
          </w:p>
          <w:p>
            <w:pPr>
              <w:spacing w:line="360" w:lineRule="auto"/>
              <w:ind w:firstLine="481" w:firstLineChars="200"/>
              <w:rPr>
                <w:b/>
                <w:sz w:val="24"/>
              </w:rPr>
            </w:pPr>
            <w:r>
              <w:rPr>
                <w:b/>
                <w:sz w:val="24"/>
              </w:rPr>
              <w:t>一、地理位置与交通状况</w:t>
            </w:r>
          </w:p>
          <w:p>
            <w:pPr>
              <w:spacing w:line="360" w:lineRule="auto"/>
              <w:ind w:firstLine="480" w:firstLineChars="200"/>
              <w:rPr>
                <w:b/>
                <w:sz w:val="24"/>
              </w:rPr>
            </w:pPr>
            <w:r>
              <w:rPr>
                <w:sz w:val="24"/>
              </w:rPr>
              <w:t>汶上县地处山东省西南部，辖属</w:t>
            </w:r>
            <w:r>
              <w:fldChar w:fldCharType="begin"/>
            </w:r>
            <w:r>
              <w:instrText xml:space="preserve"> HYPERLINK "http://baike.baidu.com/view/135598.htm" \t "_blank" </w:instrText>
            </w:r>
            <w:r>
              <w:fldChar w:fldCharType="separate"/>
            </w:r>
            <w:r>
              <w:rPr>
                <w:sz w:val="24"/>
              </w:rPr>
              <w:t>济宁市</w:t>
            </w:r>
            <w:r>
              <w:rPr>
                <w:sz w:val="24"/>
              </w:rPr>
              <w:fldChar w:fldCharType="end"/>
            </w:r>
            <w:r>
              <w:rPr>
                <w:sz w:val="24"/>
              </w:rPr>
              <w:t>。汶上县境内105国道纵贯南北，济（南）徐（州）高速公路穿越南北，县城距日东高速入口不到20分钟路程，距兖州火车站、济宁站、梁山站均为40km，距济南机场140km。新修县乡公路1000余km，在全市率先实现村村通柏油路，建成了以县城为中心、四通八达的交通网络。招商政策优惠，发展环境优越。为最大限度地吸引外商投资，制定了用地、收费、服务等方面的优惠政策。建设了规划面积20平方公里的县经济开发区，相继投入近亿元资金，完善了路网、供电、供水、通讯、排污及污水处理等配套设施，建成区面积达到6.6km</w:t>
            </w:r>
            <w:r>
              <w:rPr>
                <w:sz w:val="24"/>
                <w:vertAlign w:val="superscript"/>
              </w:rPr>
              <w:t>2</w:t>
            </w:r>
            <w:r>
              <w:rPr>
                <w:sz w:val="24"/>
              </w:rPr>
              <w:t>，区内形成了“四纵五横”的道路框架。</w:t>
            </w:r>
          </w:p>
          <w:p>
            <w:pPr>
              <w:spacing w:line="360" w:lineRule="auto"/>
              <w:rPr>
                <w:b/>
                <w:sz w:val="24"/>
              </w:rPr>
            </w:pPr>
            <w:r>
              <w:rPr>
                <w:b/>
                <w:sz w:val="24"/>
              </w:rPr>
              <w:t xml:space="preserve">    二、地形地貌</w:t>
            </w:r>
          </w:p>
          <w:p>
            <w:pPr>
              <w:spacing w:line="360" w:lineRule="auto"/>
              <w:ind w:firstLine="480" w:firstLineChars="200"/>
              <w:rPr>
                <w:sz w:val="24"/>
              </w:rPr>
            </w:pPr>
            <w:r>
              <w:rPr>
                <w:sz w:val="24"/>
              </w:rPr>
              <w:t>汶上县属于泰沂山前冲积扇的下缘，地形特点是东北高、西南低，最高的山峰是昙山，海拔高程171m，最低点在蜀山湖底，海拔高程36.5米。地面坡降大致为三段：北部近山区，包括侵蚀陡坡，山麓平原地，其坡降为1/3000；中部平原区，包括洪积岗地，倾斜地漫滩，河漫滩高地，以及缓平坡地，其坡降为1/3000至1/8000；南部湖洼区，包括浅平滩地，湖洼地，坡降为1/8000至1/l0000。全县耕地最大高差为31.5米，地形较为平缓。</w:t>
            </w:r>
          </w:p>
          <w:p>
            <w:pPr>
              <w:spacing w:line="360" w:lineRule="auto"/>
              <w:ind w:firstLine="480" w:firstLineChars="200"/>
              <w:rPr>
                <w:sz w:val="24"/>
              </w:rPr>
            </w:pPr>
            <w:r>
              <w:rPr>
                <w:sz w:val="24"/>
              </w:rPr>
              <w:t>汶上地处鲁中低山丘陵与鲁西平原交接地带，东北属古老泰山隆起的残丘低岭，西南部属古大野泽，梁山泊东畔，整个地势由东北缓顷西南，至高点为昙山顶峰，海拔171.7米，最低点在蜀山湖底，海拔36.5米，中部地势平坦，为黄河冲击平原，土层厚、土质好、地下水较丰富，为粮棉高产区。</w:t>
            </w:r>
          </w:p>
          <w:p>
            <w:pPr>
              <w:spacing w:line="360" w:lineRule="auto"/>
              <w:ind w:firstLine="480" w:firstLineChars="200"/>
              <w:rPr>
                <w:sz w:val="24"/>
              </w:rPr>
            </w:pPr>
            <w:r>
              <w:rPr>
                <w:sz w:val="24"/>
              </w:rPr>
              <w:t>拟建项目场地地势开阔，地形平坦，地面高程一般为38.75～39.28m，地貌成因类型为冲积扇平原，地貌类型为平地。</w:t>
            </w:r>
          </w:p>
          <w:p>
            <w:pPr>
              <w:spacing w:line="360" w:lineRule="auto"/>
              <w:ind w:firstLine="481" w:firstLineChars="200"/>
              <w:rPr>
                <w:b/>
                <w:sz w:val="24"/>
              </w:rPr>
            </w:pPr>
            <w:r>
              <w:rPr>
                <w:b/>
                <w:sz w:val="24"/>
              </w:rPr>
              <w:t>三、气象与气候</w:t>
            </w:r>
          </w:p>
          <w:p>
            <w:pPr>
              <w:spacing w:line="360" w:lineRule="auto"/>
              <w:ind w:firstLine="480" w:firstLineChars="200"/>
              <w:rPr>
                <w:sz w:val="24"/>
              </w:rPr>
            </w:pPr>
            <w:r>
              <w:rPr>
                <w:sz w:val="24"/>
              </w:rPr>
              <w:t>汶上县属暖温带大陆性季风气候区。四季分明、光照充足、雨热同季、降水集中、干湿交替、无霜期长。春季多南风，少雨多旱，气温回升快，季末高温，常出现干热风；夏季多东南风，天气炎热，降水集中，日照时间长，湿度大，有利于作物生长；秋季光照充足，昼夜温差大，东南风和西北风频繁互易，常出现秋旱或连阴雨；冬季多西北风，干旱雨雪少。</w:t>
            </w:r>
          </w:p>
          <w:p>
            <w:pPr>
              <w:spacing w:line="360" w:lineRule="auto"/>
              <w:ind w:firstLine="480" w:firstLineChars="200"/>
              <w:rPr>
                <w:sz w:val="24"/>
              </w:rPr>
            </w:pPr>
            <w:r>
              <w:rPr>
                <w:sz w:val="24"/>
              </w:rPr>
              <w:t>气温：平均气温为13.5℃；平均最高气温为19.4℃；平均最低气温为8.3℃；极端最高气温为42.5℃，发生于1966年7月19日；极端最低气温为－18.1℃，发生于1970年1月5日。</w:t>
            </w:r>
          </w:p>
          <w:p>
            <w:pPr>
              <w:spacing w:line="360" w:lineRule="auto"/>
              <w:ind w:firstLine="480" w:firstLineChars="200"/>
              <w:rPr>
                <w:sz w:val="24"/>
              </w:rPr>
            </w:pPr>
            <w:r>
              <w:rPr>
                <w:sz w:val="24"/>
              </w:rPr>
              <w:t>降水量：平均降水量为622.1mm；最大降水量为1394.8mm，发生于1964年；最小降水量为285.6mm，发生于1966年；最大一日降水量为272.6mm，发生于1976年8月12日；最长连续降水日数为8天，相应的降水量为203.8mm，发生于1984年8月13日～8月20日。</w:t>
            </w:r>
          </w:p>
          <w:p>
            <w:pPr>
              <w:spacing w:line="360" w:lineRule="auto"/>
              <w:ind w:firstLine="480" w:firstLineChars="200"/>
              <w:rPr>
                <w:sz w:val="24"/>
              </w:rPr>
            </w:pPr>
            <w:r>
              <w:rPr>
                <w:sz w:val="24"/>
              </w:rPr>
              <w:t>空气湿度：平均相对湿度为70％；最小相对湿度为1％，发生于1969年4月5日。</w:t>
            </w:r>
          </w:p>
          <w:p>
            <w:pPr>
              <w:spacing w:line="360" w:lineRule="auto"/>
              <w:ind w:firstLine="480" w:firstLineChars="200"/>
              <w:rPr>
                <w:sz w:val="24"/>
              </w:rPr>
            </w:pPr>
            <w:r>
              <w:rPr>
                <w:sz w:val="24"/>
              </w:rPr>
              <w:t>气压：平均气压为1012.6hPa；平均最高气压为1014.8 hPa；平均最低气压为1010.0 hPa。</w:t>
            </w:r>
          </w:p>
          <w:p>
            <w:pPr>
              <w:spacing w:line="360" w:lineRule="auto"/>
              <w:ind w:firstLine="480" w:firstLineChars="200"/>
              <w:rPr>
                <w:sz w:val="24"/>
              </w:rPr>
            </w:pPr>
            <w:r>
              <w:rPr>
                <w:sz w:val="24"/>
              </w:rPr>
              <w:t>蒸发量：平均蒸发量为1803.2mm；最大蒸发量为2362.0mm，发生于1969年；最小蒸发量为1425.4mm，发生于1964年。</w:t>
            </w:r>
          </w:p>
          <w:p>
            <w:pPr>
              <w:spacing w:line="360" w:lineRule="auto"/>
              <w:ind w:firstLine="480" w:firstLineChars="200"/>
              <w:rPr>
                <w:sz w:val="24"/>
              </w:rPr>
            </w:pPr>
            <w:r>
              <w:rPr>
                <w:sz w:val="24"/>
              </w:rPr>
              <w:t>风：平均风速为2.6m/s；最大风速为22.7 m/s；全年主导风速为SSE。</w:t>
            </w:r>
          </w:p>
          <w:p>
            <w:pPr>
              <w:spacing w:line="360" w:lineRule="auto"/>
              <w:ind w:firstLine="480" w:firstLineChars="200"/>
              <w:rPr>
                <w:b/>
                <w:sz w:val="24"/>
              </w:rPr>
            </w:pPr>
            <w:r>
              <w:rPr>
                <w:sz w:val="24"/>
              </w:rPr>
              <w:t>日照：年最多日照日数2596.4小时，发生于1995年。</w:t>
            </w:r>
          </w:p>
          <w:p>
            <w:pPr>
              <w:spacing w:line="360" w:lineRule="auto"/>
              <w:ind w:firstLine="481" w:firstLineChars="200"/>
              <w:rPr>
                <w:b/>
                <w:sz w:val="24"/>
              </w:rPr>
            </w:pPr>
            <w:r>
              <w:rPr>
                <w:b/>
                <w:sz w:val="24"/>
              </w:rPr>
              <w:t>四、水文</w:t>
            </w:r>
          </w:p>
          <w:p>
            <w:pPr>
              <w:spacing w:line="360" w:lineRule="auto"/>
              <w:ind w:firstLine="480" w:firstLineChars="200"/>
              <w:textAlignment w:val="baseline"/>
              <w:rPr>
                <w:sz w:val="24"/>
              </w:rPr>
            </w:pPr>
            <w:r>
              <w:rPr>
                <w:sz w:val="24"/>
              </w:rPr>
              <w:t>1、地表水系</w:t>
            </w:r>
          </w:p>
          <w:p>
            <w:pPr>
              <w:spacing w:line="360" w:lineRule="auto"/>
              <w:ind w:firstLine="480" w:firstLineChars="200"/>
              <w:rPr>
                <w:sz w:val="24"/>
              </w:rPr>
            </w:pPr>
            <w:r>
              <w:rPr>
                <w:sz w:val="24"/>
              </w:rPr>
              <w:t>汶上县主要河流有大汶河、小汶河、泉河、京杭运河（梁济运河）、排渗河。</w:t>
            </w:r>
          </w:p>
          <w:p>
            <w:pPr>
              <w:spacing w:line="360" w:lineRule="auto"/>
              <w:rPr>
                <w:sz w:val="24"/>
              </w:rPr>
            </w:pPr>
            <w:r>
              <w:rPr>
                <w:sz w:val="24"/>
              </w:rPr>
              <w:t xml:space="preserve">   （1）大汶河：发源于泰沂山区，河流长209km，汇水面积1.1万km</w:t>
            </w:r>
            <w:r>
              <w:rPr>
                <w:sz w:val="24"/>
                <w:vertAlign w:val="superscript"/>
              </w:rPr>
              <w:t>2</w:t>
            </w:r>
            <w:r>
              <w:rPr>
                <w:sz w:val="24"/>
              </w:rPr>
              <w:t>,从汶上县北部边缘流过，境内全长15.3km，水流自东向西汇入东平湖。安全防洪流量7000m</w:t>
            </w:r>
            <w:r>
              <w:rPr>
                <w:sz w:val="24"/>
                <w:vertAlign w:val="superscript"/>
              </w:rPr>
              <w:t>3</w:t>
            </w:r>
            <w:r>
              <w:rPr>
                <w:sz w:val="24"/>
              </w:rPr>
              <w:t>/s，河低海拔高程51.2～58m，多年平均流量39.9m</w:t>
            </w:r>
            <w:r>
              <w:rPr>
                <w:sz w:val="24"/>
                <w:vertAlign w:val="superscript"/>
              </w:rPr>
              <w:t>3</w:t>
            </w:r>
            <w:r>
              <w:rPr>
                <w:sz w:val="24"/>
              </w:rPr>
              <w:t>/s，多年平均最大流量192.57 m</w:t>
            </w:r>
            <w:r>
              <w:rPr>
                <w:sz w:val="24"/>
                <w:vertAlign w:val="superscript"/>
              </w:rPr>
              <w:t>3</w:t>
            </w:r>
            <w:r>
              <w:rPr>
                <w:sz w:val="24"/>
              </w:rPr>
              <w:t>/s，多年平均最小流量1.48 m</w:t>
            </w:r>
            <w:r>
              <w:rPr>
                <w:sz w:val="24"/>
                <w:vertAlign w:val="superscript"/>
              </w:rPr>
              <w:t>3</w:t>
            </w:r>
            <w:r>
              <w:rPr>
                <w:sz w:val="24"/>
              </w:rPr>
              <w:t>/s，为季节性河流。</w:t>
            </w:r>
          </w:p>
          <w:p>
            <w:pPr>
              <w:spacing w:line="360" w:lineRule="auto"/>
              <w:rPr>
                <w:sz w:val="24"/>
              </w:rPr>
            </w:pPr>
            <w:r>
              <w:rPr>
                <w:sz w:val="24"/>
              </w:rPr>
              <w:t xml:space="preserve">   （2）小汶河：为古大汶河的废弃河道，上游自宁阳县东北起，在南旺镇十里闸西北汇入京杭运河，全长89.5km，流域面积238km</w:t>
            </w:r>
            <w:r>
              <w:rPr>
                <w:sz w:val="24"/>
                <w:vertAlign w:val="superscript"/>
              </w:rPr>
              <w:t>2</w:t>
            </w:r>
            <w:r>
              <w:rPr>
                <w:sz w:val="24"/>
              </w:rPr>
              <w:t>，1963年截流后，已多年无水致使多处河床废弃成为耕地，现只有在引大汶河水和洪水季节有短期径流。</w:t>
            </w:r>
          </w:p>
          <w:p>
            <w:pPr>
              <w:spacing w:line="360" w:lineRule="auto"/>
              <w:rPr>
                <w:sz w:val="24"/>
              </w:rPr>
            </w:pPr>
            <w:r>
              <w:rPr>
                <w:sz w:val="24"/>
              </w:rPr>
              <w:t xml:space="preserve">   （3）泉河：原是以大汶河南岸诸泉为主要水源地自然河流，后经人工疏通取直，逐渐演变成为排洪、除涝并可灌溉的河道，由东北到西南纵贯全县，在小店子村南汇入京杭运河，其上游由北泉河和南泉河组成。泉河长69km，流域面积626km</w:t>
            </w:r>
            <w:r>
              <w:rPr>
                <w:sz w:val="24"/>
                <w:vertAlign w:val="superscript"/>
              </w:rPr>
              <w:t>2</w:t>
            </w:r>
            <w:r>
              <w:rPr>
                <w:sz w:val="24"/>
              </w:rPr>
              <w:t>，多年平均流量0.93m</w:t>
            </w:r>
            <w:r>
              <w:rPr>
                <w:sz w:val="24"/>
                <w:vertAlign w:val="superscript"/>
              </w:rPr>
              <w:t>3</w:t>
            </w:r>
            <w:r>
              <w:rPr>
                <w:sz w:val="24"/>
              </w:rPr>
              <w:t>/s，多年平均最大流量3.25 m</w:t>
            </w:r>
            <w:r>
              <w:rPr>
                <w:sz w:val="24"/>
                <w:vertAlign w:val="superscript"/>
              </w:rPr>
              <w:t>3</w:t>
            </w:r>
            <w:r>
              <w:rPr>
                <w:sz w:val="24"/>
              </w:rPr>
              <w:t>/s，多年平均最小流量为零，属季节性河流。</w:t>
            </w:r>
          </w:p>
          <w:p>
            <w:pPr>
              <w:spacing w:line="360" w:lineRule="auto"/>
              <w:rPr>
                <w:sz w:val="24"/>
              </w:rPr>
            </w:pPr>
            <w:r>
              <w:rPr>
                <w:sz w:val="24"/>
              </w:rPr>
              <w:t xml:space="preserve">   （4）京杭运河（梁济运河）：自梁山向东经汶上穿过济宁汇入南四湖，区内长10.7km，丰水期流量29.65m</w:t>
            </w:r>
            <w:r>
              <w:rPr>
                <w:sz w:val="24"/>
                <w:vertAlign w:val="superscript"/>
              </w:rPr>
              <w:t>3</w:t>
            </w:r>
            <w:r>
              <w:rPr>
                <w:sz w:val="24"/>
              </w:rPr>
              <w:t>/s，平水期流量0.5 m</w:t>
            </w:r>
            <w:r>
              <w:rPr>
                <w:sz w:val="24"/>
                <w:vertAlign w:val="superscript"/>
              </w:rPr>
              <w:t>3</w:t>
            </w:r>
            <w:r>
              <w:rPr>
                <w:sz w:val="24"/>
              </w:rPr>
              <w:t>/s，枯水期有出现短期断流，南水北调工程实施后，梁济运河对汶上县的引水资源，抬高地下水位，减轻污染，改善生态环境起到一定作用。</w:t>
            </w:r>
          </w:p>
          <w:p>
            <w:pPr>
              <w:spacing w:line="360" w:lineRule="auto"/>
              <w:rPr>
                <w:sz w:val="24"/>
              </w:rPr>
            </w:pPr>
            <w:r>
              <w:rPr>
                <w:sz w:val="24"/>
              </w:rPr>
              <w:t xml:space="preserve">   （5）排渗河：全名湖东排渗河。源于东平县吴家漫，南至嘉祥县刘口入梁济运河。1960年由汶上、东平两县开挖。主要用于东平湖东排渗与汶上西部排水，全长47km，总流域面积337.7km</w:t>
            </w:r>
            <w:r>
              <w:rPr>
                <w:sz w:val="24"/>
                <w:vertAlign w:val="superscript"/>
              </w:rPr>
              <w:t>2</w:t>
            </w:r>
            <w:r>
              <w:rPr>
                <w:sz w:val="24"/>
              </w:rPr>
              <w:t>，其中汶上境内长14km，流域面积103.5km</w:t>
            </w:r>
            <w:r>
              <w:rPr>
                <w:sz w:val="24"/>
                <w:vertAlign w:val="superscript"/>
              </w:rPr>
              <w:t>2</w:t>
            </w:r>
            <w:r>
              <w:rPr>
                <w:sz w:val="24"/>
              </w:rPr>
              <w:t>。支流有唐河、安流渠。</w:t>
            </w:r>
          </w:p>
          <w:p>
            <w:pPr>
              <w:spacing w:line="360" w:lineRule="auto"/>
              <w:ind w:firstLine="480" w:firstLineChars="200"/>
              <w:textAlignment w:val="baseline"/>
              <w:rPr>
                <w:sz w:val="24"/>
              </w:rPr>
            </w:pPr>
            <w:r>
              <w:rPr>
                <w:sz w:val="24"/>
              </w:rPr>
              <w:t>2、地下水</w:t>
            </w:r>
          </w:p>
          <w:p>
            <w:pPr>
              <w:spacing w:line="360" w:lineRule="auto"/>
              <w:ind w:firstLine="512" w:firstLineChars="200"/>
              <w:rPr>
                <w:spacing w:val="8"/>
                <w:sz w:val="24"/>
              </w:rPr>
            </w:pPr>
            <w:r>
              <w:rPr>
                <w:spacing w:val="8"/>
                <w:sz w:val="24"/>
              </w:rPr>
              <w:t>汶上县所在地处理黄河冲击扇与汶泗河冲击扇的交接地带，第四系冲洪积层厚60～150m，潜水丰富。该区以朱庄疃里大张江庄一线为界，东部位于汶河、泗河冲洪积扇尾部，东至京杭大运河，含水层以细砂为主，粉细砂次之，埋深一般在7～50m，层数2～4层，总厚3～5.5m，水位埋深6～8m；该区西部为黄河冲积层与汶、泗河冲击层交错地段，向西黄河冲击层厚度逐渐增大，汶、泗河冲积层逐消失，含水砂层以粉细砂为主，埋深7～57m，层数3～6层，单层厚0.8～8.4m，总厚度7～18m，水位埋深6～8m左右。</w:t>
            </w:r>
          </w:p>
          <w:p>
            <w:pPr>
              <w:spacing w:line="360" w:lineRule="auto"/>
              <w:ind w:firstLine="512" w:firstLineChars="200"/>
              <w:textAlignment w:val="baseline"/>
              <w:rPr>
                <w:sz w:val="24"/>
              </w:rPr>
            </w:pPr>
            <w:r>
              <w:rPr>
                <w:spacing w:val="8"/>
                <w:sz w:val="24"/>
              </w:rPr>
              <w:t>区内地下水主要补给源为大气降水，其次是周边补给，包括灌溉回归和河流侧向径流补给。浅层地下水流向与地表水流向基本一致，为西北向东南。</w:t>
            </w:r>
          </w:p>
          <w:p>
            <w:pPr>
              <w:spacing w:line="360" w:lineRule="auto"/>
              <w:ind w:firstLine="481" w:firstLineChars="200"/>
              <w:rPr>
                <w:b/>
                <w:sz w:val="24"/>
              </w:rPr>
            </w:pPr>
            <w:r>
              <w:rPr>
                <w:b/>
                <w:sz w:val="24"/>
              </w:rPr>
              <w:t>五、地质</w:t>
            </w:r>
          </w:p>
          <w:p>
            <w:pPr>
              <w:spacing w:line="360" w:lineRule="auto"/>
              <w:ind w:firstLine="480" w:firstLineChars="200"/>
              <w:rPr>
                <w:sz w:val="24"/>
              </w:rPr>
            </w:pPr>
            <w:r>
              <w:rPr>
                <w:sz w:val="24"/>
              </w:rPr>
              <w:t>1、地质构造</w:t>
            </w:r>
          </w:p>
          <w:p>
            <w:pPr>
              <w:spacing w:line="360" w:lineRule="auto"/>
              <w:ind w:firstLine="512" w:firstLineChars="200"/>
              <w:rPr>
                <w:spacing w:val="8"/>
                <w:sz w:val="24"/>
              </w:rPr>
            </w:pPr>
            <w:r>
              <w:rPr>
                <w:spacing w:val="8"/>
                <w:sz w:val="24"/>
              </w:rPr>
              <w:t>汶上县位于鲁西隆起区西部，纵跨3个IV构造单元，中部是汶上凹陷，南部和北部跨济宁凹陷和东平凸起的少部分。境内除东部零星露基岩外，其余广为第四纪松散堆积物覆盖。据钻探揭露和物探资料，在第四系以下，自下而上广泛发育有太古界泰山群，古生界寒武、奥陶系、石炭、二叠系，新生界第三系，局部分布有中生界侏罗系。除泰山群、寒武系外，其余均无基岩出露。</w:t>
            </w:r>
          </w:p>
          <w:p>
            <w:pPr>
              <w:spacing w:line="360" w:lineRule="auto"/>
              <w:ind w:firstLine="512" w:firstLineChars="200"/>
              <w:rPr>
                <w:spacing w:val="8"/>
                <w:sz w:val="24"/>
              </w:rPr>
            </w:pPr>
            <w:r>
              <w:rPr>
                <w:spacing w:val="8"/>
                <w:sz w:val="24"/>
              </w:rPr>
              <w:t>本区地质构造，汶泗断裂和郓城断裂横贯县境中部，将本县分割成三部分。</w:t>
            </w:r>
          </w:p>
          <w:p>
            <w:pPr>
              <w:spacing w:line="360" w:lineRule="auto"/>
              <w:ind w:firstLine="512" w:firstLineChars="200"/>
              <w:rPr>
                <w:spacing w:val="8"/>
                <w:sz w:val="24"/>
              </w:rPr>
            </w:pPr>
            <w:r>
              <w:rPr>
                <w:spacing w:val="8"/>
                <w:sz w:val="24"/>
              </w:rPr>
              <w:t>北部为东平凸起一部分，由泰山群变质岩系组成，轴向大致呈300</w:t>
            </w:r>
            <w:r>
              <w:rPr>
                <w:spacing w:val="8"/>
                <w:sz w:val="24"/>
                <w:vertAlign w:val="superscript"/>
              </w:rPr>
              <w:t>。</w:t>
            </w:r>
            <w:r>
              <w:rPr>
                <w:spacing w:val="8"/>
                <w:sz w:val="24"/>
              </w:rPr>
              <w:t>～350</w:t>
            </w:r>
            <w:r>
              <w:rPr>
                <w:spacing w:val="8"/>
                <w:sz w:val="24"/>
                <w:vertAlign w:val="superscript"/>
              </w:rPr>
              <w:t>。</w:t>
            </w:r>
            <w:r>
              <w:rPr>
                <w:spacing w:val="8"/>
                <w:sz w:val="24"/>
              </w:rPr>
              <w:t>的倒转褶皱，倾向南西；中部是汶上凹陷，四周均有断层控制，内部又被刘堤头断裂分割成东西两部分，发育较厚的第四系和下第三系；南部跨济宁凹陷的北端，并被南边的刘堤头断裂切割成两部分，西部发育寒武奥陶系，东部则分布有煤系地层，局部有上侏罗系。</w:t>
            </w:r>
          </w:p>
          <w:p>
            <w:pPr>
              <w:spacing w:line="360" w:lineRule="auto"/>
              <w:ind w:firstLine="512" w:firstLineChars="200"/>
              <w:rPr>
                <w:spacing w:val="8"/>
                <w:sz w:val="24"/>
              </w:rPr>
            </w:pPr>
            <w:r>
              <w:rPr>
                <w:spacing w:val="8"/>
                <w:sz w:val="24"/>
              </w:rPr>
              <w:t>在区域上地层属华北地层区鲁西地层分区的济宁地层小区，地层主要发育有古生代奥陶系、石岩系、二叠系、中生代侏罗系和新生代第四系。由老到新的顺序分述如下：</w:t>
            </w:r>
          </w:p>
          <w:p>
            <w:pPr>
              <w:spacing w:line="360" w:lineRule="auto"/>
              <w:ind w:firstLine="512" w:firstLineChars="200"/>
              <w:rPr>
                <w:spacing w:val="8"/>
                <w:sz w:val="24"/>
              </w:rPr>
            </w:pPr>
            <w:r>
              <w:rPr>
                <w:spacing w:val="8"/>
                <w:sz w:val="24"/>
              </w:rPr>
              <w:t>（1）寒武．奥陶系(∈-O)</w:t>
            </w:r>
          </w:p>
          <w:p>
            <w:pPr>
              <w:spacing w:line="360" w:lineRule="auto"/>
              <w:ind w:firstLine="512" w:firstLineChars="200"/>
              <w:rPr>
                <w:spacing w:val="8"/>
                <w:sz w:val="24"/>
              </w:rPr>
            </w:pPr>
            <w:r>
              <w:rPr>
                <w:spacing w:val="8"/>
                <w:sz w:val="24"/>
              </w:rPr>
              <w:t>区域上主要分布在刘堤头断裂以西，属海相沉积，厚度800m以上，岩性以浅灰色、灰色厚层状隐晶质灰岩为主，少为深灰色石灰岩，夹有灰褐色白云岩或白云质灰岩，岩溶不发育。</w:t>
            </w:r>
          </w:p>
          <w:p>
            <w:pPr>
              <w:spacing w:line="360" w:lineRule="auto"/>
              <w:ind w:firstLine="512" w:firstLineChars="200"/>
              <w:rPr>
                <w:spacing w:val="8"/>
                <w:sz w:val="24"/>
              </w:rPr>
            </w:pPr>
            <w:r>
              <w:rPr>
                <w:spacing w:val="8"/>
                <w:sz w:val="24"/>
              </w:rPr>
              <w:t>（2）石炭系(C)</w:t>
            </w:r>
          </w:p>
          <w:p>
            <w:pPr>
              <w:spacing w:line="360" w:lineRule="auto"/>
              <w:ind w:firstLine="512" w:firstLineChars="200"/>
              <w:rPr>
                <w:spacing w:val="8"/>
                <w:sz w:val="24"/>
              </w:rPr>
            </w:pPr>
            <w:r>
              <w:rPr>
                <w:spacing w:val="8"/>
                <w:sz w:val="24"/>
              </w:rPr>
              <w:t>区域上主要分布在刘堤头断裂以东。</w:t>
            </w:r>
          </w:p>
          <w:p>
            <w:pPr>
              <w:spacing w:line="360" w:lineRule="auto"/>
              <w:ind w:firstLine="512" w:firstLineChars="200"/>
              <w:rPr>
                <w:spacing w:val="8"/>
                <w:sz w:val="24"/>
              </w:rPr>
            </w:pPr>
            <w:r>
              <w:rPr>
                <w:spacing w:val="8"/>
                <w:sz w:val="24"/>
              </w:rPr>
              <w:t>1）石炭系上统太原组(C</w:t>
            </w:r>
            <w:r>
              <w:rPr>
                <w:spacing w:val="8"/>
                <w:sz w:val="24"/>
                <w:vertAlign w:val="subscript"/>
              </w:rPr>
              <w:t>3</w:t>
            </w:r>
            <w:r>
              <w:rPr>
                <w:spacing w:val="8"/>
                <w:sz w:val="24"/>
              </w:rPr>
              <w:t>t)：厚161：55～175.OOm，为浅海与滨海环境下的碳酸盐岩与细碎屑岩含煤交替沉积。该组共由8层灰色石灰岩与浅灰色细砂岩、中砂岩及灰黑色粉砂岩、泥岩交互沉积，含煤15层。该地层以三灰、八灰、十灰为重要标志，三灰厚度较大，坚硬，含较丰富的蜒科化石及隧石结核，沉积稳定为特征；八灰位于该地层中部以颜色深，沉积稳定，除极不稳定的九灰外，距下部十灰间距较大；十灰位于本组地层下部，十上灰与十下灰组成上薄下厚的双层机构区分于其它灰岩，为该组地层对比的重要标志。</w:t>
            </w:r>
          </w:p>
          <w:p>
            <w:pPr>
              <w:spacing w:line="360" w:lineRule="auto"/>
              <w:ind w:firstLine="512" w:firstLineChars="200"/>
              <w:rPr>
                <w:spacing w:val="8"/>
                <w:sz w:val="24"/>
              </w:rPr>
            </w:pPr>
            <w:r>
              <w:rPr>
                <w:spacing w:val="8"/>
                <w:sz w:val="24"/>
              </w:rPr>
              <w:t>2）石炭系中统本溪组(C</w:t>
            </w:r>
            <w:r>
              <w:rPr>
                <w:spacing w:val="8"/>
                <w:sz w:val="24"/>
                <w:vertAlign w:val="subscript"/>
              </w:rPr>
              <w:t>2</w:t>
            </w:r>
            <w:r>
              <w:rPr>
                <w:spacing w:val="8"/>
                <w:sz w:val="24"/>
              </w:rPr>
              <w:t>b)：本组厚25.04～29.14m。为浅海及滨海环境沉积。由浅灰色、灰白色石灰岩及灰绿色、紫红色、灰色泥岩及铝质泥岩组成，偶见粉砂岩。底部褐红色铁质泥岩因长期沉积间断，铁质得到富集而形成残余式铁矿，为本溪组地层与奥陶泵的分界标志。</w:t>
            </w:r>
          </w:p>
          <w:p>
            <w:pPr>
              <w:spacing w:line="360" w:lineRule="auto"/>
              <w:ind w:firstLine="384" w:firstLineChars="150"/>
              <w:rPr>
                <w:spacing w:val="8"/>
                <w:sz w:val="24"/>
              </w:rPr>
            </w:pPr>
            <w:r>
              <w:rPr>
                <w:spacing w:val="8"/>
                <w:sz w:val="24"/>
              </w:rPr>
              <w:t>（3）二叠系(P)</w:t>
            </w:r>
          </w:p>
          <w:p>
            <w:pPr>
              <w:spacing w:line="360" w:lineRule="auto"/>
              <w:ind w:firstLine="512" w:firstLineChars="200"/>
              <w:rPr>
                <w:spacing w:val="8"/>
                <w:sz w:val="24"/>
              </w:rPr>
            </w:pPr>
            <w:r>
              <w:rPr>
                <w:spacing w:val="8"/>
                <w:sz w:val="24"/>
              </w:rPr>
              <w:t>区域上主要分布在刘堤头断裂以东。</w:t>
            </w:r>
          </w:p>
          <w:p>
            <w:pPr>
              <w:spacing w:line="360" w:lineRule="auto"/>
              <w:ind w:firstLine="512" w:firstLineChars="200"/>
              <w:rPr>
                <w:spacing w:val="8"/>
                <w:sz w:val="24"/>
              </w:rPr>
            </w:pPr>
            <w:r>
              <w:rPr>
                <w:spacing w:val="8"/>
                <w:sz w:val="24"/>
              </w:rPr>
              <w:t>1）二叠系上石盒子组(P</w:t>
            </w:r>
            <w:r>
              <w:rPr>
                <w:spacing w:val="8"/>
                <w:sz w:val="24"/>
                <w:vertAlign w:val="subscript"/>
              </w:rPr>
              <w:t>2</w:t>
            </w:r>
            <w:r>
              <w:rPr>
                <w:spacing w:val="8"/>
                <w:sz w:val="24"/>
              </w:rPr>
              <w:t>SS)：最大接露厚度389.84m，岩性由杂色泥岩、粉砂岩及砂岩组成。下部有一层铝质泥岩，为灰一紫红色，含鲕粒。</w:t>
            </w:r>
          </w:p>
          <w:p>
            <w:pPr>
              <w:spacing w:line="360" w:lineRule="auto"/>
              <w:ind w:firstLine="512" w:firstLineChars="200"/>
              <w:rPr>
                <w:spacing w:val="8"/>
                <w:sz w:val="24"/>
              </w:rPr>
            </w:pPr>
            <w:r>
              <w:rPr>
                <w:spacing w:val="8"/>
                <w:sz w:val="24"/>
              </w:rPr>
              <w:t>2）二叠系下石盒子组(P</w:t>
            </w:r>
            <w:r>
              <w:rPr>
                <w:spacing w:val="8"/>
                <w:sz w:val="24"/>
                <w:vertAlign w:val="subscript"/>
              </w:rPr>
              <w:t>1</w:t>
            </w:r>
            <w:r>
              <w:rPr>
                <w:spacing w:val="8"/>
                <w:sz w:val="24"/>
              </w:rPr>
              <w:t>XS)：厚度42～69m，岩性由灰绿色、浅灰色砂岩和灰绿色含紫斑的粉砂岩、泥岩组成。与下伏地层整合接触。</w:t>
            </w:r>
          </w:p>
          <w:p>
            <w:pPr>
              <w:spacing w:line="360" w:lineRule="auto"/>
              <w:ind w:firstLine="512" w:firstLineChars="200"/>
              <w:rPr>
                <w:spacing w:val="8"/>
                <w:sz w:val="24"/>
              </w:rPr>
            </w:pPr>
            <w:r>
              <w:rPr>
                <w:spacing w:val="8"/>
                <w:sz w:val="24"/>
              </w:rPr>
              <w:t>3）二叠系山西组(P</w:t>
            </w:r>
            <w:r>
              <w:rPr>
                <w:spacing w:val="8"/>
                <w:sz w:val="24"/>
                <w:vertAlign w:val="subscript"/>
              </w:rPr>
              <w:t>1</w:t>
            </w:r>
            <w:r>
              <w:rPr>
                <w:spacing w:val="8"/>
                <w:sz w:val="24"/>
              </w:rPr>
              <w:t>S)：厚度52～80m，岩性由灰色一深灰色砂岩、粉砂岩、砂岩和煤组成。其中砂岩含量较高。与下伏地层整合接触。</w:t>
            </w:r>
          </w:p>
          <w:p>
            <w:pPr>
              <w:spacing w:line="360" w:lineRule="auto"/>
              <w:ind w:firstLine="512" w:firstLineChars="200"/>
              <w:rPr>
                <w:spacing w:val="8"/>
                <w:sz w:val="24"/>
              </w:rPr>
            </w:pPr>
            <w:r>
              <w:rPr>
                <w:spacing w:val="8"/>
                <w:sz w:val="24"/>
              </w:rPr>
              <w:t>（4）侏罗系(J</w:t>
            </w:r>
            <w:r>
              <w:rPr>
                <w:spacing w:val="8"/>
                <w:sz w:val="24"/>
                <w:vertAlign w:val="subscript"/>
              </w:rPr>
              <w:t>3</w:t>
            </w:r>
            <w:r>
              <w:rPr>
                <w:spacing w:val="8"/>
                <w:sz w:val="24"/>
              </w:rPr>
              <w:t>)</w:t>
            </w:r>
          </w:p>
          <w:p>
            <w:pPr>
              <w:spacing w:line="360" w:lineRule="auto"/>
              <w:rPr>
                <w:spacing w:val="8"/>
                <w:sz w:val="24"/>
              </w:rPr>
            </w:pPr>
            <w:r>
              <w:rPr>
                <w:spacing w:val="8"/>
                <w:sz w:val="24"/>
              </w:rPr>
              <w:t>区域上分布在郓城断裂以南，刘堤头断裂以东。</w:t>
            </w:r>
          </w:p>
          <w:p>
            <w:pPr>
              <w:spacing w:line="360" w:lineRule="auto"/>
              <w:ind w:firstLine="512" w:firstLineChars="200"/>
              <w:rPr>
                <w:spacing w:val="8"/>
                <w:sz w:val="24"/>
              </w:rPr>
            </w:pPr>
            <w:r>
              <w:rPr>
                <w:spacing w:val="8"/>
                <w:sz w:val="24"/>
              </w:rPr>
              <w:t>最大揭露厚度10.93m，岩性主要为紫红色或红色中、细粒砂岩。夹紫红色泥岩或粉砂岩，与下伏地层不整合接触。</w:t>
            </w:r>
          </w:p>
          <w:p>
            <w:pPr>
              <w:spacing w:line="360" w:lineRule="auto"/>
              <w:ind w:firstLine="512" w:firstLineChars="200"/>
              <w:rPr>
                <w:spacing w:val="8"/>
                <w:sz w:val="24"/>
              </w:rPr>
            </w:pPr>
            <w:r>
              <w:rPr>
                <w:spacing w:val="8"/>
                <w:sz w:val="24"/>
              </w:rPr>
              <w:t>（5）第四系(Q)</w:t>
            </w:r>
          </w:p>
          <w:p>
            <w:pPr>
              <w:spacing w:line="360" w:lineRule="auto"/>
              <w:ind w:firstLine="512" w:firstLineChars="200"/>
              <w:rPr>
                <w:spacing w:val="8"/>
                <w:sz w:val="24"/>
              </w:rPr>
            </w:pPr>
            <w:r>
              <w:rPr>
                <w:spacing w:val="8"/>
                <w:sz w:val="24"/>
              </w:rPr>
              <w:t>在本区广泛分布，厚度达284.41m。岩性以粘土、粉质粘土、细砂、中砂、混粒砂为主，局部发育有呈透镜体或条带状分布粗砂。与下伏地层呈不整合接触。</w:t>
            </w:r>
          </w:p>
          <w:p>
            <w:pPr>
              <w:spacing w:line="360" w:lineRule="auto"/>
              <w:ind w:firstLine="512" w:firstLineChars="200"/>
              <w:rPr>
                <w:spacing w:val="8"/>
                <w:sz w:val="24"/>
              </w:rPr>
            </w:pPr>
            <w:r>
              <w:rPr>
                <w:spacing w:val="8"/>
                <w:sz w:val="24"/>
              </w:rPr>
              <w:t>拟建厂址区地层为第四系全新统冲积层(Q</w:t>
            </w:r>
            <w:r>
              <w:rPr>
                <w:spacing w:val="8"/>
                <w:sz w:val="24"/>
                <w:vertAlign w:val="subscript"/>
              </w:rPr>
              <w:t xml:space="preserve">4 </w:t>
            </w:r>
            <w:r>
              <w:rPr>
                <w:spacing w:val="8"/>
                <w:sz w:val="24"/>
                <w:vertAlign w:val="superscript"/>
              </w:rPr>
              <w:t>aL</w:t>
            </w:r>
            <w:r>
              <w:rPr>
                <w:spacing w:val="8"/>
                <w:sz w:val="24"/>
              </w:rPr>
              <w:t>)、第四系上更新统冲积层(Q</w:t>
            </w:r>
            <w:r>
              <w:rPr>
                <w:spacing w:val="8"/>
                <w:sz w:val="24"/>
                <w:vertAlign w:val="subscript"/>
              </w:rPr>
              <w:t>3</w:t>
            </w:r>
            <w:r>
              <w:rPr>
                <w:spacing w:val="8"/>
                <w:sz w:val="24"/>
                <w:vertAlign w:val="superscript"/>
              </w:rPr>
              <w:t>aL</w:t>
            </w:r>
            <w:r>
              <w:rPr>
                <w:spacing w:val="8"/>
                <w:sz w:val="24"/>
              </w:rPr>
              <w:t>)，岩性由粉土、粉质粘土、中粗砂等构成。其地层特征描述如下：</w:t>
            </w:r>
          </w:p>
          <w:p>
            <w:pPr>
              <w:spacing w:line="360" w:lineRule="auto"/>
              <w:ind w:firstLine="512" w:firstLineChars="200"/>
              <w:rPr>
                <w:spacing w:val="8"/>
                <w:sz w:val="24"/>
              </w:rPr>
            </w:pPr>
            <w:r>
              <w:rPr>
                <w:spacing w:val="8"/>
                <w:sz w:val="24"/>
              </w:rPr>
              <w:t>（6）第四系全新统冲积层(Q</w:t>
            </w:r>
            <w:r>
              <w:rPr>
                <w:spacing w:val="8"/>
                <w:sz w:val="24"/>
                <w:vertAlign w:val="subscript"/>
              </w:rPr>
              <w:t>4</w:t>
            </w:r>
            <w:r>
              <w:rPr>
                <w:spacing w:val="8"/>
                <w:sz w:val="24"/>
                <w:vertAlign w:val="superscript"/>
              </w:rPr>
              <w:t xml:space="preserve"> aL</w:t>
            </w:r>
            <w:r>
              <w:rPr>
                <w:spacing w:val="8"/>
                <w:sz w:val="24"/>
              </w:rPr>
              <w:t xml:space="preserve">) </w:t>
            </w:r>
          </w:p>
          <w:p>
            <w:pPr>
              <w:spacing w:line="360" w:lineRule="auto"/>
              <w:ind w:firstLine="512" w:firstLineChars="200"/>
              <w:rPr>
                <w:spacing w:val="8"/>
                <w:sz w:val="24"/>
              </w:rPr>
            </w:pPr>
            <w:r>
              <w:rPr>
                <w:spacing w:val="8"/>
                <w:sz w:val="24"/>
              </w:rPr>
              <w:t>1）粉土（Q</w:t>
            </w:r>
            <w:r>
              <w:rPr>
                <w:spacing w:val="8"/>
                <w:sz w:val="24"/>
                <w:vertAlign w:val="subscript"/>
              </w:rPr>
              <w:t>4</w:t>
            </w:r>
            <w:r>
              <w:rPr>
                <w:spacing w:val="8"/>
                <w:sz w:val="24"/>
                <w:vertAlign w:val="superscript"/>
              </w:rPr>
              <w:t xml:space="preserve"> aL</w:t>
            </w:r>
            <w:r>
              <w:rPr>
                <w:spacing w:val="8"/>
                <w:sz w:val="24"/>
              </w:rPr>
              <w:t>）：褐黄、黄褐等色，稍密，湿～很湿，具触变性，局部夹粘性土簿层。该层厚度1.10～3.80m，地基土承载力特征值fak=100～130kpa。</w:t>
            </w:r>
          </w:p>
          <w:p>
            <w:pPr>
              <w:spacing w:line="360" w:lineRule="auto"/>
              <w:ind w:firstLine="512" w:firstLineChars="200"/>
              <w:rPr>
                <w:spacing w:val="8"/>
                <w:sz w:val="24"/>
              </w:rPr>
            </w:pPr>
            <w:r>
              <w:rPr>
                <w:spacing w:val="8"/>
                <w:sz w:val="24"/>
              </w:rPr>
              <w:t>2）粉质粘土(Q</w:t>
            </w:r>
            <w:r>
              <w:rPr>
                <w:spacing w:val="8"/>
                <w:sz w:val="24"/>
                <w:vertAlign w:val="subscript"/>
              </w:rPr>
              <w:t xml:space="preserve">4 </w:t>
            </w:r>
            <w:r>
              <w:rPr>
                <w:spacing w:val="8"/>
                <w:sz w:val="24"/>
                <w:vertAlign w:val="superscript"/>
              </w:rPr>
              <w:t>aL</w:t>
            </w:r>
            <w:r>
              <w:rPr>
                <w:spacing w:val="8"/>
                <w:sz w:val="24"/>
              </w:rPr>
              <w:t>)：灰褐、黄褐、灰黑等色，以软塑状态为主，局部可塑状态，很湿，局部相变为粘土，夹中粗砂薄层。该层厚度2.60～6.50m，地基土承载特征值fak=100N130kpa。</w:t>
            </w:r>
          </w:p>
          <w:p>
            <w:pPr>
              <w:spacing w:line="360" w:lineRule="auto"/>
              <w:ind w:firstLine="512" w:firstLineChars="200"/>
              <w:rPr>
                <w:spacing w:val="8"/>
                <w:sz w:val="24"/>
              </w:rPr>
            </w:pPr>
            <w:r>
              <w:rPr>
                <w:spacing w:val="8"/>
                <w:sz w:val="24"/>
              </w:rPr>
              <w:t>（7）第四系上更新冲积层(Q</w:t>
            </w:r>
            <w:r>
              <w:rPr>
                <w:spacing w:val="8"/>
                <w:sz w:val="24"/>
                <w:vertAlign w:val="subscript"/>
              </w:rPr>
              <w:t>3</w:t>
            </w:r>
            <w:r>
              <w:rPr>
                <w:spacing w:val="8"/>
                <w:sz w:val="24"/>
                <w:vertAlign w:val="superscript"/>
              </w:rPr>
              <w:t>aL</w:t>
            </w:r>
            <w:r>
              <w:rPr>
                <w:spacing w:val="8"/>
                <w:sz w:val="24"/>
              </w:rPr>
              <w:t>)</w:t>
            </w:r>
          </w:p>
          <w:p>
            <w:pPr>
              <w:spacing w:line="360" w:lineRule="auto"/>
              <w:ind w:firstLine="512" w:firstLineChars="200"/>
              <w:rPr>
                <w:spacing w:val="8"/>
                <w:sz w:val="24"/>
              </w:rPr>
            </w:pPr>
            <w:r>
              <w:rPr>
                <w:spacing w:val="8"/>
                <w:sz w:val="24"/>
              </w:rPr>
              <w:t>1）粉质粘土(Q</w:t>
            </w:r>
            <w:r>
              <w:rPr>
                <w:spacing w:val="8"/>
                <w:sz w:val="24"/>
                <w:vertAlign w:val="subscript"/>
              </w:rPr>
              <w:t xml:space="preserve">3 </w:t>
            </w:r>
            <w:r>
              <w:rPr>
                <w:spacing w:val="8"/>
                <w:sz w:val="24"/>
                <w:vertAlign w:val="superscript"/>
              </w:rPr>
              <w:t>aL</w:t>
            </w:r>
            <w:r>
              <w:rPr>
                <w:spacing w:val="8"/>
                <w:sz w:val="24"/>
              </w:rPr>
              <w:t>)：灰黄、黄褐、棕黄等色，硬塑状态为主，局部可塑状态，很湿，局部混小姜石或含铁锰结核，夹粉土、粘土透镜体。该层厚度1.20～8.l0m，地基土承载力特征值fak=200～230kpa。</w:t>
            </w:r>
          </w:p>
          <w:p>
            <w:pPr>
              <w:spacing w:line="360" w:lineRule="auto"/>
              <w:ind w:firstLine="512" w:firstLineChars="200"/>
              <w:rPr>
                <w:spacing w:val="8"/>
                <w:sz w:val="24"/>
              </w:rPr>
            </w:pPr>
            <w:r>
              <w:rPr>
                <w:spacing w:val="8"/>
                <w:sz w:val="24"/>
              </w:rPr>
              <w:t>2）中粗砂(Q</w:t>
            </w:r>
            <w:r>
              <w:rPr>
                <w:spacing w:val="8"/>
                <w:sz w:val="24"/>
                <w:vertAlign w:val="subscript"/>
              </w:rPr>
              <w:t>3</w:t>
            </w:r>
            <w:r>
              <w:rPr>
                <w:spacing w:val="8"/>
                <w:sz w:val="24"/>
                <w:vertAlign w:val="superscript"/>
              </w:rPr>
              <w:t xml:space="preserve"> aL</w:t>
            </w:r>
            <w:r>
              <w:rPr>
                <w:spacing w:val="8"/>
                <w:sz w:val="24"/>
              </w:rPr>
              <w:t>)：灰黄、灰白等色，密实，饱和。该层厚度0.50～6.90m，地基土承载力特征值fak=200～230kpa。</w:t>
            </w:r>
          </w:p>
          <w:p>
            <w:pPr>
              <w:spacing w:line="360" w:lineRule="auto"/>
              <w:ind w:firstLine="512" w:firstLineChars="200"/>
              <w:rPr>
                <w:spacing w:val="8"/>
                <w:sz w:val="24"/>
              </w:rPr>
            </w:pPr>
            <w:r>
              <w:rPr>
                <w:spacing w:val="8"/>
                <w:sz w:val="24"/>
              </w:rPr>
              <w:t>3）粉质粘土(Q</w:t>
            </w:r>
            <w:r>
              <w:rPr>
                <w:spacing w:val="8"/>
                <w:sz w:val="24"/>
                <w:vertAlign w:val="subscript"/>
              </w:rPr>
              <w:t>3</w:t>
            </w:r>
            <w:r>
              <w:rPr>
                <w:spacing w:val="8"/>
                <w:sz w:val="24"/>
                <w:vertAlign w:val="superscript"/>
              </w:rPr>
              <w:t>aL</w:t>
            </w:r>
            <w:r>
              <w:rPr>
                <w:spacing w:val="8"/>
                <w:sz w:val="24"/>
              </w:rPr>
              <w:t>)：棕褐、黄褐、棕黄、褐黄等色，硬塑～坚硬状态，很湿，局部混小量小姜石，夹粘土和粉土透镜体。该层厚度1.40～12.80m，地基土承载力特征值fak=220～250kpa。</w:t>
            </w:r>
          </w:p>
          <w:p>
            <w:pPr>
              <w:spacing w:line="360" w:lineRule="auto"/>
              <w:ind w:firstLine="512" w:firstLineChars="200"/>
              <w:rPr>
                <w:spacing w:val="8"/>
                <w:sz w:val="24"/>
              </w:rPr>
            </w:pPr>
            <w:r>
              <w:rPr>
                <w:spacing w:val="8"/>
                <w:sz w:val="24"/>
              </w:rPr>
              <w:t xml:space="preserve">4）中粗砂(Q </w:t>
            </w:r>
            <w:r>
              <w:rPr>
                <w:spacing w:val="8"/>
                <w:sz w:val="24"/>
                <w:vertAlign w:val="subscript"/>
              </w:rPr>
              <w:t>3</w:t>
            </w:r>
            <w:r>
              <w:rPr>
                <w:spacing w:val="8"/>
                <w:sz w:val="24"/>
                <w:vertAlign w:val="superscript"/>
              </w:rPr>
              <w:t xml:space="preserve"> aL</w:t>
            </w:r>
            <w:r>
              <w:rPr>
                <w:spacing w:val="8"/>
                <w:sz w:val="24"/>
              </w:rPr>
              <w:t>)：黄褐、灰黄、灰白等色，密实，饱和，局部夹薄层粉土或粘性土透镜体。该层揭露厚度为1.60～8.70m。</w:t>
            </w:r>
          </w:p>
          <w:p>
            <w:pPr>
              <w:spacing w:line="360" w:lineRule="auto"/>
              <w:ind w:firstLine="512" w:firstLineChars="200"/>
              <w:rPr>
                <w:spacing w:val="8"/>
                <w:sz w:val="24"/>
              </w:rPr>
            </w:pPr>
            <w:r>
              <w:rPr>
                <w:spacing w:val="8"/>
                <w:sz w:val="24"/>
              </w:rPr>
              <w:t xml:space="preserve">5）粉质粘土(Q </w:t>
            </w:r>
            <w:r>
              <w:rPr>
                <w:spacing w:val="8"/>
                <w:sz w:val="24"/>
                <w:vertAlign w:val="subscript"/>
              </w:rPr>
              <w:t>3</w:t>
            </w:r>
            <w:r>
              <w:rPr>
                <w:spacing w:val="8"/>
                <w:sz w:val="24"/>
                <w:vertAlign w:val="superscript"/>
              </w:rPr>
              <w:t>aL</w:t>
            </w:r>
            <w:r>
              <w:rPr>
                <w:spacing w:val="8"/>
                <w:sz w:val="24"/>
              </w:rPr>
              <w:t>)：黄褐、棕黄、棕褐等色，硬塑～坚硬状态，很湿，混水量小姜石，夹粘土和粉土透镜体。该层揭露厚度为1.60～9.20m。</w:t>
            </w:r>
          </w:p>
          <w:p>
            <w:pPr>
              <w:spacing w:line="360" w:lineRule="auto"/>
              <w:ind w:firstLine="512" w:firstLineChars="200"/>
              <w:rPr>
                <w:spacing w:val="8"/>
                <w:sz w:val="24"/>
              </w:rPr>
            </w:pPr>
            <w:r>
              <w:rPr>
                <w:spacing w:val="8"/>
                <w:sz w:val="24"/>
              </w:rPr>
              <w:t>6）中粗砂(Q</w:t>
            </w:r>
            <w:r>
              <w:rPr>
                <w:spacing w:val="8"/>
                <w:sz w:val="24"/>
                <w:vertAlign w:val="subscript"/>
              </w:rPr>
              <w:t>3</w:t>
            </w:r>
            <w:r>
              <w:rPr>
                <w:spacing w:val="8"/>
                <w:sz w:val="24"/>
                <w:vertAlign w:val="superscript"/>
              </w:rPr>
              <w:t>aL</w:t>
            </w:r>
            <w:r>
              <w:rPr>
                <w:spacing w:val="8"/>
                <w:sz w:val="24"/>
              </w:rPr>
              <w:t>)：灰黄、灰白等色，密实，饱和。该层揭露厚度为0.70～&gt;4.00m。</w:t>
            </w:r>
          </w:p>
          <w:p>
            <w:pPr>
              <w:spacing w:line="360" w:lineRule="auto"/>
              <w:ind w:firstLine="512" w:firstLineChars="200"/>
              <w:rPr>
                <w:sz w:val="24"/>
              </w:rPr>
            </w:pPr>
            <w:r>
              <w:rPr>
                <w:spacing w:val="8"/>
                <w:sz w:val="24"/>
              </w:rPr>
              <w:t>7）粉质粘土(Q</w:t>
            </w:r>
            <w:r>
              <w:rPr>
                <w:spacing w:val="8"/>
                <w:sz w:val="24"/>
                <w:vertAlign w:val="subscript"/>
              </w:rPr>
              <w:t xml:space="preserve">3 </w:t>
            </w:r>
            <w:r>
              <w:rPr>
                <w:spacing w:val="8"/>
                <w:sz w:val="24"/>
                <w:vertAlign w:val="superscript"/>
              </w:rPr>
              <w:t>aL</w:t>
            </w:r>
            <w:r>
              <w:rPr>
                <w:spacing w:val="8"/>
                <w:sz w:val="24"/>
              </w:rPr>
              <w:t>)：黄褐、棕黄、棕褐等色，硬塑～坚硬状态，很湿，局部混少量小姜石，夹粘土和粉土透镜体。最大揭露厚度6.90 m。</w:t>
            </w:r>
          </w:p>
          <w:p>
            <w:pPr>
              <w:spacing w:line="360" w:lineRule="auto"/>
              <w:ind w:firstLine="480" w:firstLineChars="200"/>
              <w:rPr>
                <w:sz w:val="24"/>
              </w:rPr>
            </w:pPr>
            <w:r>
              <w:rPr>
                <w:sz w:val="24"/>
              </w:rPr>
              <w:t>2、水文地质</w:t>
            </w:r>
          </w:p>
          <w:p>
            <w:pPr>
              <w:spacing w:line="360" w:lineRule="auto"/>
              <w:ind w:firstLine="512" w:firstLineChars="200"/>
              <w:rPr>
                <w:spacing w:val="8"/>
                <w:sz w:val="24"/>
              </w:rPr>
            </w:pPr>
            <w:r>
              <w:rPr>
                <w:spacing w:val="8"/>
                <w:sz w:val="24"/>
              </w:rPr>
              <w:t>汶上县位于鲁西隆起区西部，纵跨3个构造单元，中部是汶上凹陷，南部和北部分跨济宁凹陷和东平凸起的少部分，境内除东部零星出露基岩外，其余广为第四纪松散堆积物覆盖。</w:t>
            </w:r>
          </w:p>
          <w:p>
            <w:pPr>
              <w:spacing w:line="360" w:lineRule="auto"/>
              <w:ind w:firstLine="512" w:firstLineChars="200"/>
              <w:rPr>
                <w:spacing w:val="8"/>
                <w:sz w:val="24"/>
              </w:rPr>
            </w:pPr>
            <w:r>
              <w:rPr>
                <w:spacing w:val="8"/>
                <w:sz w:val="24"/>
              </w:rPr>
              <w:t>汶上县现有水资源主要为地下水、引汶河水以及南、北泉河承接宁阳、兖州客水和河道拦蓄水。</w:t>
            </w:r>
          </w:p>
          <w:p>
            <w:pPr>
              <w:spacing w:line="360" w:lineRule="auto"/>
              <w:ind w:firstLine="512" w:firstLineChars="200"/>
              <w:rPr>
                <w:spacing w:val="8"/>
                <w:sz w:val="24"/>
              </w:rPr>
            </w:pPr>
            <w:r>
              <w:rPr>
                <w:spacing w:val="8"/>
                <w:sz w:val="24"/>
              </w:rPr>
              <w:t>汶上县地下含水层同地貌、地质构造基本一致，地下水丰富，受降雨和河渠侧渗量影响，含水岩组分布、地下水运动规律，受地质条件制约。含水层以粗、中、细沙为主，分布于第四系上组全新冲积洪积物中，结构松散，层次明显。埋藏量自东北至西南随第四系增大而递增，但因总厚度增大，颗粒由粗变细，透水性逐渐减弱，埋藏部位亦渐深。</w:t>
            </w:r>
          </w:p>
          <w:p>
            <w:pPr>
              <w:pStyle w:val="14"/>
              <w:spacing w:after="0" w:line="360" w:lineRule="auto"/>
              <w:ind w:firstLine="256"/>
              <w:rPr>
                <w:spacing w:val="8"/>
                <w:sz w:val="24"/>
              </w:rPr>
            </w:pPr>
            <w:r>
              <w:rPr>
                <w:spacing w:val="8"/>
                <w:sz w:val="24"/>
              </w:rPr>
              <w:t>其中南旺湖、马踏湖、排渗河一带，上部为湖相沉积物、黄泛冲积物覆盖，结构系松散的砂质粘土，易龟裂。东北部军屯、杨店、白石三乡镇及苑庄镇北部，第四系厚度在50米以下。古河道中的含水层，厚度不过5米。隐伏古河道两侧的沙层渐薄，直至消失。中南部其他乡镇，第四系厚度在50米以上，含水层多而不稳，具有多元结构。据钻孔探测，60米以上的含水层厚度约为15.1米，60～130米含水性逐渐减少，厚度变薄，颗粒由粗变细，透水性相应减弱；130米以下为第四系下组，岩性系各种粘土质亚砂、淤泥和粘土互层。</w:t>
            </w:r>
          </w:p>
          <w:p>
            <w:pPr>
              <w:pStyle w:val="14"/>
              <w:spacing w:after="0" w:line="360" w:lineRule="auto"/>
              <w:ind w:firstLine="512" w:firstLineChars="200"/>
              <w:rPr>
                <w:spacing w:val="8"/>
                <w:sz w:val="24"/>
              </w:rPr>
            </w:pPr>
            <w:r>
              <w:rPr>
                <w:spacing w:val="8"/>
                <w:sz w:val="24"/>
              </w:rPr>
              <w:t>汶上地下粗沙含水层分布广，单井出水每小时60～120立方米，给工农业和人畜用水提供了良好条件，但境内河流多为季节性，自然补源不足，河道干涸，地下水位下降很快。</w:t>
            </w:r>
          </w:p>
          <w:p>
            <w:pPr>
              <w:pStyle w:val="14"/>
              <w:spacing w:after="0" w:line="360" w:lineRule="auto"/>
              <w:ind w:firstLine="512" w:firstLineChars="200"/>
              <w:rPr>
                <w:spacing w:val="8"/>
                <w:sz w:val="24"/>
              </w:rPr>
            </w:pPr>
            <w:r>
              <w:rPr>
                <w:spacing w:val="8"/>
                <w:sz w:val="24"/>
              </w:rPr>
              <w:t>地下水流向为由东北向西南，水力坡度1/5000～10000，渗透系数每小时7—25米。年内变化随降雨大小升降，并受灌溉高峰制约，有明显的季节性变化。</w:t>
            </w:r>
          </w:p>
          <w:p>
            <w:pPr>
              <w:spacing w:line="360" w:lineRule="auto"/>
              <w:ind w:firstLine="512" w:firstLineChars="200"/>
              <w:textAlignment w:val="baseline"/>
              <w:rPr>
                <w:sz w:val="24"/>
              </w:rPr>
            </w:pPr>
            <w:r>
              <w:rPr>
                <w:spacing w:val="8"/>
                <w:sz w:val="24"/>
              </w:rPr>
              <w:t>拟建厂址区的地下水类型为第四系孔隙潜水，大气降水、灌溉入渗为其主要补给来源，农田灌溉及人工取水为其主要排泄方式。</w:t>
            </w:r>
          </w:p>
          <w:p>
            <w:pPr>
              <w:spacing w:line="360" w:lineRule="auto"/>
              <w:ind w:firstLine="481" w:firstLineChars="200"/>
              <w:textAlignment w:val="baseline"/>
              <w:rPr>
                <w:b/>
                <w:sz w:val="24"/>
              </w:rPr>
            </w:pPr>
            <w:r>
              <w:rPr>
                <w:b/>
                <w:sz w:val="24"/>
              </w:rPr>
              <w:t>六、地震</w:t>
            </w:r>
          </w:p>
          <w:p>
            <w:pPr>
              <w:spacing w:line="360" w:lineRule="auto"/>
              <w:ind w:firstLine="480" w:firstLineChars="200"/>
              <w:rPr>
                <w:sz w:val="24"/>
              </w:rPr>
            </w:pPr>
            <w:r>
              <w:rPr>
                <w:sz w:val="24"/>
              </w:rPr>
              <w:t>拟建项目所在区域平坦开阔，无地震活动记载。根据《中国地震动参数区划图》（GB18306-2001），该地区的地震动峰值加速度为0.10g，建设项目所在地地震基本烈度为7度。根据《建筑抗震设计规范》（GB50011-2001）标准划分，按</w:t>
            </w:r>
            <w:r>
              <w:rPr>
                <w:rFonts w:ascii="宋体"/>
                <w:sz w:val="24"/>
              </w:rPr>
              <w:t>Ⅳ</w:t>
            </w:r>
            <w:r>
              <w:rPr>
                <w:sz w:val="24"/>
              </w:rPr>
              <w:t>度设防；设计基本地震加速度为0.05g，属设计地震第一组，不考虑液化问题。根据国家地震局编制三百万分之一《中国地震烈度区划图（1990）》，该区</w:t>
            </w:r>
            <w:r>
              <w:rPr>
                <w:sz w:val="24"/>
                <w:szCs w:val="28"/>
              </w:rPr>
              <w:t>地震动加速度峰值为103.0 cm/s</w:t>
            </w:r>
            <w:r>
              <w:rPr>
                <w:sz w:val="24"/>
                <w:szCs w:val="28"/>
                <w:vertAlign w:val="superscript"/>
              </w:rPr>
              <w:t>2</w:t>
            </w:r>
            <w:r>
              <w:rPr>
                <w:sz w:val="24"/>
                <w:szCs w:val="28"/>
              </w:rPr>
              <w:t>，地震动反应谱特征周期为0.65s（相应的地震基本烈度为7度）</w:t>
            </w:r>
            <w:r>
              <w:rPr>
                <w:sz w:val="24"/>
              </w:rPr>
              <w:t>。</w:t>
            </w:r>
          </w:p>
          <w:p>
            <w:pPr>
              <w:spacing w:line="360" w:lineRule="auto"/>
              <w:rPr>
                <w:b/>
                <w:sz w:val="24"/>
              </w:rPr>
            </w:pPr>
            <w:r>
              <w:rPr>
                <w:b/>
                <w:sz w:val="24"/>
              </w:rPr>
              <w:t>社会环境简况（社会经济结构、教育、文化、文物保护等）：</w:t>
            </w:r>
          </w:p>
          <w:p>
            <w:pPr>
              <w:spacing w:line="360" w:lineRule="auto"/>
              <w:ind w:firstLine="480" w:firstLineChars="200"/>
              <w:rPr>
                <w:sz w:val="24"/>
              </w:rPr>
            </w:pPr>
            <w:r>
              <w:rPr>
                <w:sz w:val="24"/>
              </w:rPr>
              <w:t>汶上县总面积877平方公里，耕地84.7万亩，辖2个街道、13处乡镇，即：中都街道、汶上街道、南站镇、康驿镇、南旺镇、刘楼镇、次丘镇、寅寺镇、汶上县、郭仓镇、杨店镇、白石镇、苑庄镇、义桥镇、军屯乡，493个村居，全县总面积877平方公里，总人口74万，是全省30个经济欠发达县之一。</w:t>
            </w:r>
          </w:p>
          <w:p>
            <w:pPr>
              <w:spacing w:line="360" w:lineRule="auto"/>
              <w:ind w:firstLine="480" w:firstLineChars="200"/>
              <w:rPr>
                <w:sz w:val="24"/>
              </w:rPr>
            </w:pPr>
            <w:r>
              <w:rPr>
                <w:sz w:val="24"/>
              </w:rPr>
              <w:t>汶上矿产资源丰富，主要有煤、铁、花岗岩、黄金、水晶、石灰石等，其中煤炭储量20亿吨。黄金经初步探明属中型以上矿藏，含金品位高达13.68克/吨。花岗岩储量达1.2亿立方米，其中多数为国内稀有的“泰山红”、“泰山乌”、“泰山蓝”等品种，目前产品已出口日本、韩国等国家。</w:t>
            </w:r>
          </w:p>
          <w:p>
            <w:pPr>
              <w:spacing w:line="360" w:lineRule="auto"/>
              <w:ind w:firstLine="556" w:firstLineChars="232"/>
              <w:rPr>
                <w:sz w:val="24"/>
              </w:rPr>
            </w:pPr>
            <w:r>
              <w:rPr>
                <w:sz w:val="24"/>
              </w:rPr>
              <w:t>汶上地属平原，有富饶的动植物资源，种植的农作物达200余种，盛产棉花、小麦、玉米、大豆、花生、地瓜等，是国家优质棉基地县、商品粮基地县、黄牛出口基地县和小尾寒羊繁育基地县。小尾寒羊系山东省科技开发研究中心重点开发项目。汶上芦花鸡以体大肉多而</w:t>
            </w:r>
            <w:r>
              <w:rPr>
                <w:rFonts w:hint="eastAsia"/>
                <w:sz w:val="24"/>
                <w:lang w:eastAsia="zh-CN"/>
              </w:rPr>
              <w:t>备受青睐</w:t>
            </w:r>
            <w:r>
              <w:rPr>
                <w:sz w:val="24"/>
              </w:rPr>
              <w:t>汶上白莲藕、大荸荠、芦笋等都闻名遐迩。</w:t>
            </w:r>
          </w:p>
          <w:p>
            <w:pPr>
              <w:spacing w:line="360" w:lineRule="auto"/>
              <w:ind w:firstLine="480" w:firstLineChars="200"/>
              <w:rPr>
                <w:sz w:val="24"/>
              </w:rPr>
            </w:pPr>
            <w:r>
              <w:rPr>
                <w:sz w:val="24"/>
              </w:rPr>
              <w:t>汶上的工业门类齐全。工业产值占工农业总产值的比重已达到70%，形成了有汶上特色的轻纺业、机电产品制造业、农副产品加工业和编织业等四大工业门类。棉纱、巾被、砻谷机、发电机组、豆乳粉、中药材等100多种产品打入国际市场。</w:t>
            </w:r>
          </w:p>
          <w:p>
            <w:pPr>
              <w:spacing w:line="360" w:lineRule="auto"/>
              <w:ind w:firstLine="480" w:firstLineChars="200"/>
              <w:rPr>
                <w:sz w:val="24"/>
              </w:rPr>
            </w:pPr>
            <w:r>
              <w:rPr>
                <w:sz w:val="24"/>
              </w:rPr>
              <w:t>汶上交通网络四通八达。105国道纵贯南北，县城距济宁机场50公里，距兖州火车站40公里。县城下的泉河水运800吨级，是济宁市辖区的主要航道之一。</w:t>
            </w:r>
          </w:p>
          <w:p>
            <w:pPr>
              <w:spacing w:line="360" w:lineRule="auto"/>
              <w:ind w:firstLine="480" w:firstLineChars="200"/>
              <w:rPr>
                <w:sz w:val="24"/>
              </w:rPr>
            </w:pPr>
            <w:r>
              <w:rPr>
                <w:sz w:val="24"/>
              </w:rPr>
              <w:t>汶上第三产业不断发展，建有中药材市场、建材市场、黄牛市场、禽蛋批发市场、工业品批发市场、无公害蔬菜批发市场、棉制品大世界、副食品一条街等。中都公园、长乐湖、圣泽湖、宝相池是休息和游览的理想场所。县内还兴建了高标准的文化馆、舞厅、图书馆、大型体育场等文体娱乐场所。</w:t>
            </w:r>
          </w:p>
          <w:p>
            <w:pPr>
              <w:spacing w:line="360" w:lineRule="auto"/>
              <w:ind w:firstLine="480" w:firstLineChars="200"/>
              <w:rPr>
                <w:sz w:val="24"/>
              </w:rPr>
            </w:pPr>
            <w:r>
              <w:rPr>
                <w:sz w:val="24"/>
              </w:rPr>
              <w:t>汶上历史悠久，文化底蕴丰厚，素有“千年佛都、儒贤圣地”之美誉，是北辛文化和大汶口文化的发祥地之一。</w:t>
            </w:r>
          </w:p>
          <w:p>
            <w:pPr>
              <w:pStyle w:val="7"/>
              <w:spacing w:line="480" w:lineRule="exact"/>
              <w:ind w:right="-107" w:rightChars="-51" w:firstLine="480" w:firstLineChars="200"/>
              <w:rPr>
                <w:sz w:val="24"/>
              </w:rPr>
            </w:pPr>
            <w:r>
              <w:rPr>
                <w:sz w:val="24"/>
              </w:rPr>
              <w:t>近年来，汶上县委、县政府坚持以科学发展观统领全局，紧紧抓住省、市扶持经济欠发达县加快发展的机遇，立足于资源优势的充分发挥和传统产业的做大做强，按照“一三六”工作思路，解放思想，干事创业，全县经济社会发展呈现出实力显著提升、后劲不断增强、城乡面貌明显改观、社会事业全面进步的良好局面。</w:t>
            </w:r>
          </w:p>
          <w:p>
            <w:pPr>
              <w:spacing w:line="480" w:lineRule="auto"/>
              <w:rPr>
                <w:rFonts w:eastAsia="黑体"/>
                <w:bCs/>
                <w:sz w:val="28"/>
                <w:szCs w:val="28"/>
              </w:rPr>
            </w:pPr>
          </w:p>
          <w:p>
            <w:pPr>
              <w:spacing w:line="480" w:lineRule="auto"/>
              <w:rPr>
                <w:rFonts w:eastAsia="黑体"/>
                <w:bCs/>
                <w:sz w:val="28"/>
                <w:szCs w:val="28"/>
              </w:rPr>
            </w:pPr>
          </w:p>
          <w:p>
            <w:pPr>
              <w:spacing w:line="480" w:lineRule="auto"/>
              <w:rPr>
                <w:rFonts w:eastAsia="黑体"/>
                <w:bCs/>
                <w:sz w:val="28"/>
                <w:szCs w:val="28"/>
              </w:rPr>
            </w:pPr>
          </w:p>
          <w:p>
            <w:pPr>
              <w:spacing w:line="480" w:lineRule="auto"/>
              <w:rPr>
                <w:rFonts w:eastAsia="黑体"/>
                <w:bCs/>
                <w:sz w:val="28"/>
                <w:szCs w:val="28"/>
              </w:rPr>
            </w:pPr>
          </w:p>
          <w:p>
            <w:pPr>
              <w:spacing w:line="480" w:lineRule="auto"/>
              <w:rPr>
                <w:rFonts w:eastAsia="黑体"/>
                <w:bCs/>
                <w:sz w:val="28"/>
                <w:szCs w:val="28"/>
              </w:rPr>
            </w:pPr>
          </w:p>
          <w:p>
            <w:pPr>
              <w:spacing w:line="480" w:lineRule="auto"/>
              <w:rPr>
                <w:rFonts w:eastAsia="黑体"/>
                <w:bCs/>
                <w:sz w:val="28"/>
                <w:szCs w:val="28"/>
              </w:rPr>
            </w:pPr>
          </w:p>
          <w:p>
            <w:pPr>
              <w:spacing w:line="480" w:lineRule="auto"/>
              <w:rPr>
                <w:rFonts w:eastAsia="黑体"/>
                <w:bCs/>
                <w:sz w:val="28"/>
                <w:szCs w:val="28"/>
              </w:rPr>
            </w:pPr>
          </w:p>
          <w:p>
            <w:pPr>
              <w:spacing w:line="480" w:lineRule="auto"/>
              <w:rPr>
                <w:rFonts w:eastAsia="黑体"/>
                <w:bCs/>
                <w:sz w:val="28"/>
                <w:szCs w:val="28"/>
              </w:rPr>
            </w:pPr>
          </w:p>
          <w:p>
            <w:pPr>
              <w:spacing w:line="480" w:lineRule="auto"/>
              <w:rPr>
                <w:rFonts w:eastAsia="黑体"/>
                <w:bCs/>
                <w:sz w:val="28"/>
                <w:szCs w:val="28"/>
              </w:rPr>
            </w:pPr>
          </w:p>
          <w:p>
            <w:pPr>
              <w:spacing w:line="480" w:lineRule="auto"/>
              <w:rPr>
                <w:rFonts w:eastAsia="黑体"/>
                <w:bCs/>
                <w:sz w:val="28"/>
                <w:szCs w:val="28"/>
              </w:rPr>
            </w:pPr>
          </w:p>
          <w:p>
            <w:pPr>
              <w:spacing w:line="480" w:lineRule="auto"/>
              <w:rPr>
                <w:rFonts w:eastAsia="黑体"/>
                <w:bCs/>
                <w:sz w:val="28"/>
                <w:szCs w:val="28"/>
              </w:rPr>
            </w:pPr>
          </w:p>
          <w:p>
            <w:pPr>
              <w:spacing w:line="480" w:lineRule="auto"/>
              <w:rPr>
                <w:rFonts w:eastAsia="黑体"/>
                <w:bCs/>
                <w:sz w:val="28"/>
                <w:szCs w:val="28"/>
              </w:rPr>
            </w:pPr>
          </w:p>
          <w:p>
            <w:pPr>
              <w:spacing w:line="480" w:lineRule="auto"/>
              <w:rPr>
                <w:rFonts w:eastAsia="黑体"/>
                <w:bCs/>
                <w:sz w:val="28"/>
                <w:szCs w:val="28"/>
              </w:rPr>
            </w:pPr>
          </w:p>
          <w:p>
            <w:pPr>
              <w:spacing w:line="480" w:lineRule="auto"/>
              <w:rPr>
                <w:rFonts w:eastAsia="黑体"/>
                <w:bCs/>
                <w:sz w:val="28"/>
                <w:szCs w:val="28"/>
              </w:rPr>
            </w:pPr>
          </w:p>
          <w:p>
            <w:pPr>
              <w:spacing w:line="480" w:lineRule="auto"/>
              <w:rPr>
                <w:rFonts w:eastAsia="黑体"/>
                <w:bCs/>
                <w:sz w:val="28"/>
                <w:szCs w:val="28"/>
              </w:rPr>
            </w:pPr>
          </w:p>
          <w:p>
            <w:pPr>
              <w:spacing w:line="480" w:lineRule="auto"/>
              <w:rPr>
                <w:rFonts w:eastAsia="黑体"/>
                <w:bCs/>
                <w:sz w:val="28"/>
                <w:szCs w:val="28"/>
              </w:rPr>
            </w:pPr>
          </w:p>
          <w:p>
            <w:pPr>
              <w:spacing w:line="480" w:lineRule="auto"/>
              <w:rPr>
                <w:rFonts w:eastAsia="黑体"/>
                <w:bCs/>
                <w:sz w:val="28"/>
                <w:szCs w:val="28"/>
              </w:rPr>
            </w:pPr>
          </w:p>
          <w:p>
            <w:pPr>
              <w:spacing w:line="480" w:lineRule="auto"/>
              <w:rPr>
                <w:rFonts w:eastAsia="黑体"/>
                <w:bCs/>
                <w:sz w:val="28"/>
                <w:szCs w:val="28"/>
              </w:rPr>
            </w:pPr>
          </w:p>
        </w:tc>
      </w:tr>
    </w:tbl>
    <w:p>
      <w:pPr>
        <w:spacing w:line="360" w:lineRule="auto"/>
        <w:rPr>
          <w:rFonts w:eastAsia="新宋体"/>
          <w:b/>
          <w:sz w:val="30"/>
          <w:szCs w:val="30"/>
        </w:rPr>
      </w:pPr>
      <w:r>
        <w:rPr>
          <w:rFonts w:eastAsia="新宋体"/>
          <w:b/>
          <w:sz w:val="30"/>
          <w:szCs w:val="30"/>
        </w:rPr>
        <w:t>三、环境质量状况</w:t>
      </w:r>
    </w:p>
    <w:tbl>
      <w:tblPr>
        <w:tblStyle w:val="16"/>
        <w:tblW w:w="9285" w:type="dxa"/>
        <w:tblInd w:w="-3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5" w:type="dxa"/>
          </w:tcPr>
          <w:p>
            <w:pPr>
              <w:spacing w:line="360" w:lineRule="auto"/>
              <w:rPr>
                <w:b/>
                <w:sz w:val="24"/>
              </w:rPr>
            </w:pPr>
            <w:r>
              <w:rPr>
                <w:b/>
                <w:sz w:val="24"/>
              </w:rPr>
              <w:t>建设项目所在地区域环境质量现状及主要环境问题（环境空气、地面水、地下水、声环境、生态环境等）：</w:t>
            </w:r>
          </w:p>
          <w:p>
            <w:pPr>
              <w:spacing w:line="360" w:lineRule="auto"/>
              <w:ind w:firstLine="481" w:firstLineChars="200"/>
              <w:rPr>
                <w:b/>
                <w:sz w:val="24"/>
              </w:rPr>
            </w:pPr>
            <w:r>
              <w:rPr>
                <w:b/>
                <w:sz w:val="24"/>
              </w:rPr>
              <w:t>一、环境空气</w:t>
            </w:r>
          </w:p>
          <w:p>
            <w:pPr>
              <w:spacing w:line="360" w:lineRule="auto"/>
              <w:ind w:firstLine="480" w:firstLineChars="200"/>
              <w:rPr>
                <w:sz w:val="24"/>
                <w:szCs w:val="22"/>
              </w:rPr>
            </w:pPr>
            <w:r>
              <w:rPr>
                <w:rFonts w:eastAsia="新宋体"/>
                <w:sz w:val="24"/>
              </w:rPr>
              <w:t>项目所在地环境空气质量功能区属二类区，执行《环境空气质量标准》（GB3095－2012）二级标准。</w:t>
            </w:r>
            <w:r>
              <w:rPr>
                <w:sz w:val="24"/>
                <w:szCs w:val="22"/>
              </w:rPr>
              <w:t>参照《济宁市大气环境质量2018年</w:t>
            </w:r>
            <w:r>
              <w:rPr>
                <w:rFonts w:hint="eastAsia"/>
                <w:sz w:val="24"/>
                <w:szCs w:val="22"/>
              </w:rPr>
              <w:t>12</w:t>
            </w:r>
            <w:r>
              <w:rPr>
                <w:sz w:val="24"/>
                <w:szCs w:val="22"/>
              </w:rPr>
              <w:t>月份14县市区排名》可知项目附近评价区域大气质量现状较好，监测因子(SO</w:t>
            </w:r>
            <w:r>
              <w:rPr>
                <w:sz w:val="24"/>
                <w:szCs w:val="22"/>
                <w:vertAlign w:val="subscript"/>
              </w:rPr>
              <w:t>2</w:t>
            </w:r>
            <w:r>
              <w:rPr>
                <w:sz w:val="24"/>
                <w:szCs w:val="22"/>
              </w:rPr>
              <w:t>、NO</w:t>
            </w:r>
            <w:r>
              <w:rPr>
                <w:sz w:val="24"/>
                <w:szCs w:val="22"/>
                <w:vertAlign w:val="subscript"/>
              </w:rPr>
              <w:t>2</w:t>
            </w:r>
            <w:r>
              <w:rPr>
                <w:sz w:val="24"/>
                <w:szCs w:val="22"/>
              </w:rPr>
              <w:t>、PM</w:t>
            </w:r>
            <w:r>
              <w:rPr>
                <w:sz w:val="24"/>
                <w:szCs w:val="22"/>
                <w:vertAlign w:val="subscript"/>
              </w:rPr>
              <w:t>10</w:t>
            </w:r>
            <w:r>
              <w:rPr>
                <w:sz w:val="24"/>
                <w:szCs w:val="22"/>
              </w:rPr>
              <w:t>)均无超标现象</w:t>
            </w:r>
            <w:r>
              <w:rPr>
                <w:rFonts w:hint="eastAsia"/>
                <w:sz w:val="24"/>
                <w:szCs w:val="22"/>
              </w:rPr>
              <w:t>（见表3-1）</w:t>
            </w:r>
            <w:r>
              <w:rPr>
                <w:sz w:val="24"/>
                <w:szCs w:val="22"/>
              </w:rPr>
              <w:t>，</w:t>
            </w:r>
            <w:r>
              <w:rPr>
                <w:rFonts w:hint="eastAsia"/>
                <w:sz w:val="24"/>
                <w:szCs w:val="22"/>
              </w:rPr>
              <w:t>PM</w:t>
            </w:r>
            <w:r>
              <w:rPr>
                <w:rFonts w:hint="eastAsia"/>
                <w:sz w:val="24"/>
                <w:szCs w:val="22"/>
                <w:vertAlign w:val="subscript"/>
              </w:rPr>
              <w:t>2.5</w:t>
            </w:r>
            <w:r>
              <w:rPr>
                <w:rFonts w:hint="eastAsia"/>
                <w:sz w:val="24"/>
                <w:szCs w:val="22"/>
              </w:rPr>
              <w:t>略有超标。根据《生态环境部通报重点区域2018年10月-2019年1月环境空气质量有关情况》（见表3-2），2018年10月-2019年1月济宁PM</w:t>
            </w:r>
            <w:r>
              <w:rPr>
                <w:rFonts w:hint="eastAsia"/>
                <w:sz w:val="24"/>
                <w:szCs w:val="22"/>
                <w:vertAlign w:val="subscript"/>
              </w:rPr>
              <w:t>2.5</w:t>
            </w:r>
            <w:r>
              <w:rPr>
                <w:rFonts w:hint="eastAsia"/>
                <w:sz w:val="24"/>
                <w:szCs w:val="22"/>
              </w:rPr>
              <w:t>平均浓度65</w:t>
            </w:r>
            <w:r>
              <w:rPr>
                <w:sz w:val="24"/>
                <w:szCs w:val="22"/>
              </w:rPr>
              <w:t>µ</w:t>
            </w:r>
            <w:r>
              <w:rPr>
                <w:rFonts w:hint="eastAsia"/>
                <w:sz w:val="24"/>
                <w:szCs w:val="22"/>
              </w:rPr>
              <w:t>g/m</w:t>
            </w:r>
            <w:r>
              <w:rPr>
                <w:rFonts w:hint="eastAsia"/>
                <w:sz w:val="24"/>
                <w:szCs w:val="22"/>
                <w:vertAlign w:val="superscript"/>
              </w:rPr>
              <w:t>3</w:t>
            </w:r>
            <w:r>
              <w:rPr>
                <w:rFonts w:hint="eastAsia"/>
                <w:sz w:val="24"/>
                <w:szCs w:val="22"/>
              </w:rPr>
              <w:t>，2019年1月PM</w:t>
            </w:r>
            <w:r>
              <w:rPr>
                <w:rFonts w:hint="eastAsia"/>
                <w:sz w:val="24"/>
                <w:szCs w:val="22"/>
                <w:vertAlign w:val="subscript"/>
              </w:rPr>
              <w:t>2.5</w:t>
            </w:r>
            <w:r>
              <w:rPr>
                <w:rFonts w:hint="eastAsia"/>
                <w:sz w:val="24"/>
                <w:szCs w:val="22"/>
              </w:rPr>
              <w:t>浓度89</w:t>
            </w:r>
            <w:r>
              <w:rPr>
                <w:sz w:val="24"/>
                <w:szCs w:val="22"/>
              </w:rPr>
              <w:t>µ</w:t>
            </w:r>
            <w:r>
              <w:rPr>
                <w:rFonts w:hint="eastAsia"/>
                <w:sz w:val="24"/>
                <w:szCs w:val="22"/>
              </w:rPr>
              <w:t>g/m</w:t>
            </w:r>
            <w:r>
              <w:rPr>
                <w:rFonts w:hint="eastAsia"/>
                <w:sz w:val="24"/>
                <w:szCs w:val="22"/>
                <w:vertAlign w:val="superscript"/>
              </w:rPr>
              <w:t>3</w:t>
            </w:r>
            <w:r>
              <w:rPr>
                <w:rFonts w:hint="eastAsia"/>
                <w:sz w:val="24"/>
                <w:szCs w:val="22"/>
              </w:rPr>
              <w:t>，环境空气质量正逐步改善</w:t>
            </w:r>
            <w:r>
              <w:rPr>
                <w:sz w:val="24"/>
                <w:szCs w:val="22"/>
              </w:rPr>
              <w:t>。</w:t>
            </w:r>
          </w:p>
          <w:p>
            <w:pPr>
              <w:pStyle w:val="10"/>
              <w:ind w:firstLine="467"/>
              <w:jc w:val="center"/>
              <w:rPr>
                <w:rFonts w:ascii="Times New Roman"/>
              </w:rPr>
            </w:pPr>
            <w:r>
              <w:rPr>
                <w:rFonts w:ascii="Times New Roman" w:hAnsi="Times New Roman"/>
                <w:b/>
                <w:sz w:val="24"/>
                <w:szCs w:val="22"/>
              </w:rPr>
              <w:t>表3-1 2018年</w:t>
            </w:r>
            <w:r>
              <w:rPr>
                <w:rFonts w:hint="eastAsia" w:ascii="Times New Roman" w:hAnsi="Times New Roman"/>
                <w:b/>
                <w:sz w:val="24"/>
                <w:szCs w:val="22"/>
              </w:rPr>
              <w:t>12</w:t>
            </w:r>
            <w:r>
              <w:rPr>
                <w:rFonts w:ascii="Times New Roman" w:hAnsi="Times New Roman"/>
                <w:b/>
                <w:sz w:val="24"/>
                <w:szCs w:val="22"/>
              </w:rPr>
              <w:t>月全市大气环境质量污染物浓度情况一览表</w:t>
            </w:r>
          </w:p>
          <w:p>
            <w:pPr>
              <w:spacing w:line="360" w:lineRule="auto"/>
              <w:jc w:val="center"/>
              <w:rPr>
                <w:rFonts w:eastAsia="新宋体"/>
                <w:b/>
                <w:sz w:val="24"/>
              </w:rPr>
            </w:pPr>
            <w:r>
              <w:drawing>
                <wp:inline distT="0" distB="0" distL="114300" distR="114300">
                  <wp:extent cx="5272405" cy="4187190"/>
                  <wp:effectExtent l="9525" t="9525" r="13970" b="13335"/>
                  <wp:docPr id="5"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true"/>
                          </pic:cNvPicPr>
                        </pic:nvPicPr>
                        <pic:blipFill>
                          <a:blip r:embed="rId12"/>
                          <a:stretch>
                            <a:fillRect/>
                          </a:stretch>
                        </pic:blipFill>
                        <pic:spPr>
                          <a:xfrm>
                            <a:off x="0" y="0"/>
                            <a:ext cx="5272405" cy="4187190"/>
                          </a:xfrm>
                          <a:prstGeom prst="rect">
                            <a:avLst/>
                          </a:prstGeom>
                          <a:noFill/>
                          <a:ln w="9525">
                            <a:solidFill>
                              <a:schemeClr val="tx1"/>
                            </a:solidFill>
                          </a:ln>
                        </pic:spPr>
                      </pic:pic>
                    </a:graphicData>
                  </a:graphic>
                </wp:inline>
              </w:drawing>
            </w:r>
          </w:p>
          <w:p>
            <w:pPr>
              <w:spacing w:line="360" w:lineRule="auto"/>
              <w:ind w:firstLine="480"/>
              <w:rPr>
                <w:rFonts w:eastAsia="新宋体"/>
                <w:b/>
                <w:sz w:val="24"/>
              </w:rPr>
            </w:pPr>
            <w:r>
              <w:rPr>
                <w:rFonts w:hint="eastAsia" w:eastAsia="新宋体"/>
                <w:b/>
                <w:sz w:val="24"/>
              </w:rPr>
              <w:t>表3-2  “2+26”城市2018年--2019年秋冬季PM</w:t>
            </w:r>
            <w:r>
              <w:rPr>
                <w:rFonts w:hint="eastAsia" w:eastAsia="新宋体"/>
                <w:b/>
                <w:sz w:val="24"/>
                <w:vertAlign w:val="subscript"/>
              </w:rPr>
              <w:t>2.5</w:t>
            </w:r>
            <w:r>
              <w:rPr>
                <w:rFonts w:hint="eastAsia" w:eastAsia="新宋体"/>
                <w:b/>
                <w:sz w:val="24"/>
              </w:rPr>
              <w:t>平均浓度及同比变幅排名</w:t>
            </w:r>
          </w:p>
          <w:p>
            <w:pPr>
              <w:spacing w:line="360" w:lineRule="auto"/>
              <w:jc w:val="center"/>
              <w:rPr>
                <w:b/>
                <w:sz w:val="24"/>
              </w:rPr>
            </w:pPr>
            <w:r>
              <w:drawing>
                <wp:inline distT="0" distB="0" distL="114300" distR="114300">
                  <wp:extent cx="5092700" cy="1149350"/>
                  <wp:effectExtent l="0" t="0" r="12700" b="12700"/>
                  <wp:docPr id="6"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true"/>
                          </pic:cNvPicPr>
                        </pic:nvPicPr>
                        <pic:blipFill>
                          <a:blip r:embed="rId13"/>
                          <a:stretch>
                            <a:fillRect/>
                          </a:stretch>
                        </pic:blipFill>
                        <pic:spPr>
                          <a:xfrm>
                            <a:off x="0" y="0"/>
                            <a:ext cx="5092700" cy="1149350"/>
                          </a:xfrm>
                          <a:prstGeom prst="rect">
                            <a:avLst/>
                          </a:prstGeom>
                          <a:noFill/>
                          <a:ln w="9525">
                            <a:noFill/>
                          </a:ln>
                        </pic:spPr>
                      </pic:pic>
                    </a:graphicData>
                  </a:graphic>
                </wp:inline>
              </w:drawing>
            </w:r>
          </w:p>
          <w:p>
            <w:pPr>
              <w:spacing w:line="360" w:lineRule="auto"/>
              <w:ind w:firstLine="480"/>
              <w:rPr>
                <w:rFonts w:eastAsia="新宋体"/>
                <w:b/>
                <w:sz w:val="24"/>
              </w:rPr>
            </w:pPr>
            <w:r>
              <w:rPr>
                <w:rFonts w:eastAsia="新宋体"/>
                <w:b/>
                <w:sz w:val="24"/>
              </w:rPr>
              <w:t>二、水环境</w:t>
            </w:r>
          </w:p>
          <w:p>
            <w:pPr>
              <w:spacing w:line="360" w:lineRule="auto"/>
              <w:ind w:firstLine="480" w:firstLineChars="200"/>
              <w:jc w:val="left"/>
              <w:rPr>
                <w:rFonts w:eastAsia="新宋体"/>
                <w:sz w:val="24"/>
              </w:rPr>
            </w:pPr>
            <w:r>
              <w:rPr>
                <w:rFonts w:eastAsia="新宋体"/>
                <w:sz w:val="24"/>
              </w:rPr>
              <w:t>项目所在地表水环境质量功能区属</w:t>
            </w:r>
            <w:r>
              <w:rPr>
                <w:sz w:val="24"/>
              </w:rPr>
              <w:t>Ⅲ</w:t>
            </w:r>
            <w:r>
              <w:rPr>
                <w:rFonts w:eastAsia="新宋体"/>
                <w:sz w:val="24"/>
              </w:rPr>
              <w:t>类区，执行国家《地表水环境质量标准》（GB3838－2002）</w:t>
            </w:r>
            <w:r>
              <w:rPr>
                <w:sz w:val="24"/>
              </w:rPr>
              <w:t>Ⅲ</w:t>
            </w:r>
            <w:r>
              <w:rPr>
                <w:rFonts w:eastAsia="新宋体"/>
                <w:sz w:val="24"/>
              </w:rPr>
              <w:t>类标准。项目所在地地下水环境质量较好，达到《地下水质量标准》（GB/T14848－2017）</w:t>
            </w:r>
            <w:r>
              <w:rPr>
                <w:sz w:val="24"/>
              </w:rPr>
              <w:t>Ⅲ</w:t>
            </w:r>
            <w:r>
              <w:rPr>
                <w:rFonts w:eastAsia="新宋体"/>
                <w:sz w:val="24"/>
              </w:rPr>
              <w:t>类标准。</w:t>
            </w:r>
          </w:p>
          <w:p>
            <w:pPr>
              <w:spacing w:line="360" w:lineRule="auto"/>
              <w:ind w:firstLine="481" w:firstLineChars="200"/>
              <w:jc w:val="left"/>
              <w:rPr>
                <w:rFonts w:eastAsia="新宋体"/>
                <w:b/>
                <w:sz w:val="24"/>
              </w:rPr>
            </w:pPr>
            <w:r>
              <w:rPr>
                <w:rFonts w:eastAsia="新宋体"/>
                <w:b/>
                <w:sz w:val="24"/>
              </w:rPr>
              <w:t>三、声环境</w:t>
            </w:r>
          </w:p>
          <w:p>
            <w:pPr>
              <w:spacing w:line="360" w:lineRule="auto"/>
              <w:ind w:firstLine="480"/>
              <w:rPr>
                <w:sz w:val="24"/>
              </w:rPr>
            </w:pPr>
            <w:r>
              <w:rPr>
                <w:rFonts w:eastAsia="新宋体"/>
                <w:sz w:val="24"/>
              </w:rPr>
              <w:t>本项目所在地周围声环境昼间和夜间均符合国家《声环境质量标准》（GB3096-2008）中的2类标准。</w:t>
            </w:r>
          </w:p>
          <w:p>
            <w:pPr>
              <w:spacing w:line="360" w:lineRule="auto"/>
              <w:ind w:firstLine="482"/>
              <w:rPr>
                <w:b/>
                <w:sz w:val="24"/>
              </w:rPr>
            </w:pPr>
            <w:r>
              <w:rPr>
                <w:b/>
                <w:sz w:val="24"/>
              </w:rPr>
              <w:t>四、生态环境</w:t>
            </w:r>
          </w:p>
          <w:p>
            <w:pPr>
              <w:spacing w:line="360" w:lineRule="auto"/>
              <w:ind w:firstLine="482"/>
              <w:rPr>
                <w:sz w:val="24"/>
              </w:rPr>
            </w:pPr>
            <w:r>
              <w:rPr>
                <w:sz w:val="24"/>
              </w:rPr>
              <w:t>该项目所在地周围绿化较好，项目区内无珍稀动植物和文物保护区，无重大环境制约因素。</w:t>
            </w:r>
          </w:p>
          <w:p>
            <w:pPr>
              <w:spacing w:line="360" w:lineRule="auto"/>
              <w:rPr>
                <w:rFonts w:eastAsia="新宋体"/>
                <w:b/>
                <w:sz w:val="24"/>
              </w:rPr>
            </w:pPr>
            <w:r>
              <w:rPr>
                <w:rFonts w:eastAsia="新宋体"/>
                <w:b/>
                <w:sz w:val="24"/>
              </w:rPr>
              <w:t>主要环境保护目标（列出名单及保护级别）：</w:t>
            </w:r>
          </w:p>
          <w:p>
            <w:pPr>
              <w:spacing w:line="360" w:lineRule="auto"/>
              <w:ind w:firstLine="480" w:firstLineChars="200"/>
              <w:rPr>
                <w:sz w:val="24"/>
              </w:rPr>
            </w:pPr>
            <w:r>
              <w:rPr>
                <w:sz w:val="24"/>
              </w:rPr>
              <w:t>项目所在区域无</w:t>
            </w:r>
            <w:r>
              <w:rPr>
                <w:rFonts w:eastAsia="新宋体"/>
                <w:sz w:val="24"/>
              </w:rPr>
              <w:t>自然保护区、饮用水水源保护区、风景名胜区以及重要生态功能区</w:t>
            </w:r>
            <w:r>
              <w:rPr>
                <w:sz w:val="24"/>
              </w:rPr>
              <w:t>等特殊环境敏感目标。</w:t>
            </w:r>
          </w:p>
          <w:p>
            <w:pPr>
              <w:widowControl/>
              <w:spacing w:line="360" w:lineRule="auto"/>
              <w:jc w:val="center"/>
              <w:rPr>
                <w:rFonts w:eastAsia="新宋体"/>
                <w:b/>
                <w:sz w:val="24"/>
              </w:rPr>
            </w:pPr>
            <w:r>
              <w:rPr>
                <w:rFonts w:eastAsia="新宋体"/>
                <w:b/>
                <w:sz w:val="24"/>
              </w:rPr>
              <w:t>表3-</w:t>
            </w:r>
            <w:r>
              <w:rPr>
                <w:rFonts w:hint="eastAsia" w:eastAsia="新宋体"/>
                <w:b/>
                <w:sz w:val="24"/>
              </w:rPr>
              <w:t>3</w:t>
            </w:r>
            <w:r>
              <w:rPr>
                <w:rFonts w:eastAsia="新宋体"/>
                <w:b/>
                <w:sz w:val="24"/>
              </w:rPr>
              <w:t xml:space="preserve"> 主要环境保护目标</w:t>
            </w:r>
          </w:p>
          <w:tbl>
            <w:tblPr>
              <w:tblStyle w:val="15"/>
              <w:tblW w:w="7938" w:type="dxa"/>
              <w:jc w:val="center"/>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35"/>
              <w:gridCol w:w="2138"/>
              <w:gridCol w:w="1158"/>
              <w:gridCol w:w="1624"/>
              <w:gridCol w:w="1583"/>
            </w:tblGrid>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435" w:type="dxa"/>
                  <w:vAlign w:val="center"/>
                </w:tcPr>
                <w:p>
                  <w:pPr>
                    <w:jc w:val="center"/>
                    <w:rPr>
                      <w:szCs w:val="21"/>
                    </w:rPr>
                  </w:pPr>
                  <w:r>
                    <w:rPr>
                      <w:szCs w:val="21"/>
                    </w:rPr>
                    <w:t>类别</w:t>
                  </w:r>
                </w:p>
              </w:tc>
              <w:tc>
                <w:tcPr>
                  <w:tcW w:w="2138" w:type="dxa"/>
                  <w:vAlign w:val="center"/>
                </w:tcPr>
                <w:p>
                  <w:pPr>
                    <w:jc w:val="center"/>
                    <w:rPr>
                      <w:szCs w:val="21"/>
                    </w:rPr>
                  </w:pPr>
                  <w:r>
                    <w:rPr>
                      <w:szCs w:val="21"/>
                    </w:rPr>
                    <w:t>目标</w:t>
                  </w:r>
                </w:p>
              </w:tc>
              <w:tc>
                <w:tcPr>
                  <w:tcW w:w="1158" w:type="dxa"/>
                  <w:vAlign w:val="center"/>
                </w:tcPr>
                <w:p>
                  <w:pPr>
                    <w:jc w:val="center"/>
                    <w:rPr>
                      <w:szCs w:val="21"/>
                    </w:rPr>
                  </w:pPr>
                  <w:r>
                    <w:rPr>
                      <w:szCs w:val="21"/>
                    </w:rPr>
                    <w:t>相对方位</w:t>
                  </w:r>
                </w:p>
              </w:tc>
              <w:tc>
                <w:tcPr>
                  <w:tcW w:w="1624" w:type="dxa"/>
                  <w:vAlign w:val="center"/>
                </w:tcPr>
                <w:p>
                  <w:pPr>
                    <w:jc w:val="center"/>
                    <w:rPr>
                      <w:szCs w:val="21"/>
                    </w:rPr>
                  </w:pPr>
                  <w:r>
                    <w:rPr>
                      <w:szCs w:val="21"/>
                    </w:rPr>
                    <w:t>相对距离（m）</w:t>
                  </w:r>
                </w:p>
              </w:tc>
              <w:tc>
                <w:tcPr>
                  <w:tcW w:w="1583" w:type="dxa"/>
                  <w:vAlign w:val="center"/>
                </w:tcPr>
                <w:p>
                  <w:pPr>
                    <w:jc w:val="center"/>
                    <w:rPr>
                      <w:szCs w:val="21"/>
                    </w:rPr>
                  </w:pPr>
                  <w:r>
                    <w:rPr>
                      <w:szCs w:val="21"/>
                    </w:rPr>
                    <w:t>功  能</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435" w:type="dxa"/>
                  <w:vAlign w:val="center"/>
                </w:tcPr>
                <w:p>
                  <w:pPr>
                    <w:jc w:val="center"/>
                    <w:rPr>
                      <w:szCs w:val="21"/>
                    </w:rPr>
                  </w:pPr>
                  <w:r>
                    <w:rPr>
                      <w:szCs w:val="21"/>
                    </w:rPr>
                    <w:t>水环境</w:t>
                  </w:r>
                </w:p>
              </w:tc>
              <w:tc>
                <w:tcPr>
                  <w:tcW w:w="2138" w:type="dxa"/>
                  <w:vAlign w:val="center"/>
                </w:tcPr>
                <w:p>
                  <w:pPr>
                    <w:jc w:val="center"/>
                    <w:rPr>
                      <w:szCs w:val="21"/>
                    </w:rPr>
                  </w:pPr>
                  <w:r>
                    <w:rPr>
                      <w:szCs w:val="21"/>
                    </w:rPr>
                    <w:t>--</w:t>
                  </w:r>
                </w:p>
              </w:tc>
              <w:tc>
                <w:tcPr>
                  <w:tcW w:w="1158" w:type="dxa"/>
                  <w:vAlign w:val="center"/>
                </w:tcPr>
                <w:p>
                  <w:pPr>
                    <w:jc w:val="center"/>
                    <w:rPr>
                      <w:szCs w:val="21"/>
                    </w:rPr>
                  </w:pPr>
                  <w:r>
                    <w:rPr>
                      <w:szCs w:val="21"/>
                    </w:rPr>
                    <w:t>周边</w:t>
                  </w:r>
                </w:p>
              </w:tc>
              <w:tc>
                <w:tcPr>
                  <w:tcW w:w="1624" w:type="dxa"/>
                  <w:vAlign w:val="center"/>
                </w:tcPr>
                <w:p>
                  <w:pPr>
                    <w:jc w:val="center"/>
                    <w:rPr>
                      <w:szCs w:val="21"/>
                    </w:rPr>
                  </w:pPr>
                  <w:r>
                    <w:rPr>
                      <w:szCs w:val="21"/>
                    </w:rPr>
                    <w:t>--</w:t>
                  </w:r>
                </w:p>
              </w:tc>
              <w:tc>
                <w:tcPr>
                  <w:tcW w:w="1583" w:type="dxa"/>
                  <w:vAlign w:val="center"/>
                </w:tcPr>
                <w:p>
                  <w:pPr>
                    <w:jc w:val="center"/>
                    <w:rPr>
                      <w:szCs w:val="21"/>
                    </w:rPr>
                  </w:pPr>
                  <w:r>
                    <w:rPr>
                      <w:szCs w:val="21"/>
                    </w:rPr>
                    <w:t>III类水域</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435" w:type="dxa"/>
                  <w:vMerge w:val="restart"/>
                  <w:vAlign w:val="center"/>
                </w:tcPr>
                <w:p>
                  <w:pPr>
                    <w:jc w:val="center"/>
                    <w:rPr>
                      <w:szCs w:val="21"/>
                    </w:rPr>
                  </w:pPr>
                  <w:r>
                    <w:rPr>
                      <w:szCs w:val="21"/>
                    </w:rPr>
                    <w:t>环境空气</w:t>
                  </w:r>
                </w:p>
              </w:tc>
              <w:tc>
                <w:tcPr>
                  <w:tcW w:w="2138" w:type="dxa"/>
                  <w:vAlign w:val="center"/>
                </w:tcPr>
                <w:p>
                  <w:pPr>
                    <w:jc w:val="center"/>
                    <w:rPr>
                      <w:szCs w:val="21"/>
                    </w:rPr>
                  </w:pPr>
                  <w:r>
                    <w:rPr>
                      <w:rFonts w:hint="eastAsia"/>
                      <w:szCs w:val="21"/>
                    </w:rPr>
                    <w:t>小楼村</w:t>
                  </w:r>
                </w:p>
              </w:tc>
              <w:tc>
                <w:tcPr>
                  <w:tcW w:w="1158" w:type="dxa"/>
                  <w:vAlign w:val="center"/>
                </w:tcPr>
                <w:p>
                  <w:pPr>
                    <w:jc w:val="center"/>
                    <w:rPr>
                      <w:szCs w:val="21"/>
                    </w:rPr>
                  </w:pPr>
                  <w:r>
                    <w:rPr>
                      <w:rFonts w:hint="eastAsia"/>
                      <w:szCs w:val="21"/>
                    </w:rPr>
                    <w:t>西南</w:t>
                  </w:r>
                </w:p>
              </w:tc>
              <w:tc>
                <w:tcPr>
                  <w:tcW w:w="1624" w:type="dxa"/>
                  <w:vAlign w:val="center"/>
                </w:tcPr>
                <w:p>
                  <w:pPr>
                    <w:jc w:val="center"/>
                    <w:rPr>
                      <w:szCs w:val="21"/>
                    </w:rPr>
                  </w:pPr>
                  <w:r>
                    <w:rPr>
                      <w:rFonts w:hint="eastAsia"/>
                      <w:szCs w:val="21"/>
                    </w:rPr>
                    <w:t>10</w:t>
                  </w:r>
                </w:p>
              </w:tc>
              <w:tc>
                <w:tcPr>
                  <w:tcW w:w="1583" w:type="dxa"/>
                  <w:vMerge w:val="restart"/>
                  <w:vAlign w:val="center"/>
                </w:tcPr>
                <w:p>
                  <w:pPr>
                    <w:jc w:val="center"/>
                    <w:rPr>
                      <w:szCs w:val="21"/>
                    </w:rPr>
                  </w:pPr>
                  <w:r>
                    <w:rPr>
                      <w:szCs w:val="21"/>
                    </w:rPr>
                    <w:t>二类</w:t>
                  </w: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435" w:type="dxa"/>
                  <w:vMerge w:val="continue"/>
                  <w:vAlign w:val="center"/>
                </w:tcPr>
                <w:p>
                  <w:pPr>
                    <w:jc w:val="center"/>
                    <w:rPr>
                      <w:szCs w:val="21"/>
                    </w:rPr>
                  </w:pPr>
                </w:p>
              </w:tc>
              <w:tc>
                <w:tcPr>
                  <w:tcW w:w="2138" w:type="dxa"/>
                  <w:vAlign w:val="center"/>
                </w:tcPr>
                <w:p>
                  <w:pPr>
                    <w:jc w:val="center"/>
                    <w:rPr>
                      <w:szCs w:val="21"/>
                    </w:rPr>
                  </w:pPr>
                  <w:r>
                    <w:rPr>
                      <w:rFonts w:hint="eastAsia"/>
                      <w:szCs w:val="21"/>
                    </w:rPr>
                    <w:t>东岗村</w:t>
                  </w:r>
                </w:p>
              </w:tc>
              <w:tc>
                <w:tcPr>
                  <w:tcW w:w="1158" w:type="dxa"/>
                  <w:vAlign w:val="center"/>
                </w:tcPr>
                <w:p>
                  <w:pPr>
                    <w:jc w:val="center"/>
                    <w:rPr>
                      <w:szCs w:val="21"/>
                    </w:rPr>
                  </w:pPr>
                  <w:r>
                    <w:rPr>
                      <w:rFonts w:hint="eastAsia"/>
                      <w:szCs w:val="21"/>
                    </w:rPr>
                    <w:t>东北</w:t>
                  </w:r>
                </w:p>
              </w:tc>
              <w:tc>
                <w:tcPr>
                  <w:tcW w:w="1624" w:type="dxa"/>
                  <w:vAlign w:val="center"/>
                </w:tcPr>
                <w:p>
                  <w:pPr>
                    <w:jc w:val="center"/>
                    <w:rPr>
                      <w:szCs w:val="21"/>
                    </w:rPr>
                  </w:pPr>
                  <w:r>
                    <w:rPr>
                      <w:rFonts w:hint="eastAsia"/>
                      <w:szCs w:val="21"/>
                    </w:rPr>
                    <w:t>360</w:t>
                  </w:r>
                </w:p>
              </w:tc>
              <w:tc>
                <w:tcPr>
                  <w:tcW w:w="1583" w:type="dxa"/>
                  <w:vMerge w:val="continue"/>
                  <w:vAlign w:val="center"/>
                </w:tcPr>
                <w:p>
                  <w:pPr>
                    <w:jc w:val="center"/>
                    <w:rPr>
                      <w:szCs w:val="21"/>
                    </w:rPr>
                  </w:pP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435" w:type="dxa"/>
                  <w:vMerge w:val="continue"/>
                  <w:vAlign w:val="center"/>
                </w:tcPr>
                <w:p>
                  <w:pPr>
                    <w:jc w:val="center"/>
                    <w:rPr>
                      <w:szCs w:val="21"/>
                    </w:rPr>
                  </w:pPr>
                </w:p>
              </w:tc>
              <w:tc>
                <w:tcPr>
                  <w:tcW w:w="2138" w:type="dxa"/>
                  <w:vAlign w:val="center"/>
                </w:tcPr>
                <w:p>
                  <w:pPr>
                    <w:jc w:val="center"/>
                    <w:rPr>
                      <w:szCs w:val="21"/>
                    </w:rPr>
                  </w:pPr>
                  <w:r>
                    <w:rPr>
                      <w:rFonts w:hint="eastAsia"/>
                      <w:szCs w:val="21"/>
                    </w:rPr>
                    <w:t>前郑村</w:t>
                  </w:r>
                </w:p>
              </w:tc>
              <w:tc>
                <w:tcPr>
                  <w:tcW w:w="1158" w:type="dxa"/>
                  <w:vAlign w:val="center"/>
                </w:tcPr>
                <w:p>
                  <w:pPr>
                    <w:jc w:val="center"/>
                    <w:rPr>
                      <w:szCs w:val="21"/>
                    </w:rPr>
                  </w:pPr>
                  <w:r>
                    <w:rPr>
                      <w:rFonts w:hint="eastAsia"/>
                      <w:szCs w:val="21"/>
                    </w:rPr>
                    <w:t>北</w:t>
                  </w:r>
                </w:p>
              </w:tc>
              <w:tc>
                <w:tcPr>
                  <w:tcW w:w="1624" w:type="dxa"/>
                  <w:vAlign w:val="center"/>
                </w:tcPr>
                <w:p>
                  <w:pPr>
                    <w:jc w:val="center"/>
                    <w:rPr>
                      <w:szCs w:val="21"/>
                    </w:rPr>
                  </w:pPr>
                  <w:r>
                    <w:rPr>
                      <w:rFonts w:hint="eastAsia"/>
                      <w:szCs w:val="21"/>
                    </w:rPr>
                    <w:t>300</w:t>
                  </w:r>
                </w:p>
              </w:tc>
              <w:tc>
                <w:tcPr>
                  <w:tcW w:w="1583" w:type="dxa"/>
                  <w:vMerge w:val="continue"/>
                  <w:vAlign w:val="center"/>
                </w:tcPr>
                <w:p>
                  <w:pPr>
                    <w:jc w:val="center"/>
                    <w:rPr>
                      <w:szCs w:val="21"/>
                    </w:rPr>
                  </w:pPr>
                </w:p>
              </w:tc>
            </w:tr>
            <w:tr>
              <w:tblPrEx>
                <w:tblBorders>
                  <w:top w:val="single" w:color="auto" w:sz="12" w:space="0"/>
                  <w:left w:val="single" w:color="auto" w:sz="8" w:space="0"/>
                  <w:bottom w:val="single" w:color="auto" w:sz="12"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435" w:type="dxa"/>
                  <w:vAlign w:val="center"/>
                </w:tcPr>
                <w:p>
                  <w:pPr>
                    <w:jc w:val="center"/>
                    <w:rPr>
                      <w:szCs w:val="21"/>
                    </w:rPr>
                  </w:pPr>
                  <w:r>
                    <w:rPr>
                      <w:szCs w:val="21"/>
                    </w:rPr>
                    <w:t>声环境</w:t>
                  </w:r>
                </w:p>
              </w:tc>
              <w:tc>
                <w:tcPr>
                  <w:tcW w:w="2138" w:type="dxa"/>
                  <w:vAlign w:val="center"/>
                </w:tcPr>
                <w:p>
                  <w:pPr>
                    <w:jc w:val="center"/>
                    <w:rPr>
                      <w:szCs w:val="21"/>
                    </w:rPr>
                  </w:pPr>
                  <w:r>
                    <w:rPr>
                      <w:szCs w:val="21"/>
                    </w:rPr>
                    <w:t>厂界</w:t>
                  </w:r>
                </w:p>
              </w:tc>
              <w:tc>
                <w:tcPr>
                  <w:tcW w:w="1158" w:type="dxa"/>
                  <w:vAlign w:val="center"/>
                </w:tcPr>
                <w:p>
                  <w:pPr>
                    <w:jc w:val="center"/>
                    <w:rPr>
                      <w:szCs w:val="21"/>
                    </w:rPr>
                  </w:pPr>
                  <w:r>
                    <w:rPr>
                      <w:szCs w:val="21"/>
                    </w:rPr>
                    <w:t>--</w:t>
                  </w:r>
                </w:p>
              </w:tc>
              <w:tc>
                <w:tcPr>
                  <w:tcW w:w="1624" w:type="dxa"/>
                  <w:vAlign w:val="center"/>
                </w:tcPr>
                <w:p>
                  <w:pPr>
                    <w:jc w:val="center"/>
                    <w:rPr>
                      <w:szCs w:val="21"/>
                    </w:rPr>
                  </w:pPr>
                  <w:r>
                    <w:rPr>
                      <w:szCs w:val="21"/>
                    </w:rPr>
                    <w:t>--</w:t>
                  </w:r>
                </w:p>
              </w:tc>
              <w:tc>
                <w:tcPr>
                  <w:tcW w:w="1583" w:type="dxa"/>
                  <w:vAlign w:val="center"/>
                </w:tcPr>
                <w:p>
                  <w:pPr>
                    <w:jc w:val="center"/>
                    <w:rPr>
                      <w:szCs w:val="21"/>
                    </w:rPr>
                  </w:pPr>
                  <w:r>
                    <w:rPr>
                      <w:szCs w:val="21"/>
                    </w:rPr>
                    <w:t>2类</w:t>
                  </w:r>
                </w:p>
              </w:tc>
            </w:tr>
          </w:tbl>
          <w:p>
            <w:pPr>
              <w:spacing w:line="480" w:lineRule="auto"/>
              <w:rPr>
                <w:rFonts w:ascii="宋体" w:hAnsi="宋体" w:cs="宋体"/>
                <w:bCs/>
                <w:szCs w:val="21"/>
              </w:rPr>
            </w:pPr>
            <w:r>
              <w:rPr>
                <w:rFonts w:hint="eastAsia" w:ascii="宋体" w:hAnsi="宋体" w:cs="宋体"/>
                <w:bCs/>
                <w:szCs w:val="21"/>
              </w:rPr>
              <w:t>注：根据《汶上县白石镇总体规划》（二零一七一二零三五），白石镇人民政府已出具小楼村搬迁证明。</w:t>
            </w:r>
          </w:p>
          <w:p>
            <w:pPr>
              <w:spacing w:line="480" w:lineRule="auto"/>
              <w:rPr>
                <w:rFonts w:eastAsia="黑体"/>
                <w:bCs/>
                <w:sz w:val="28"/>
                <w:szCs w:val="28"/>
              </w:rPr>
            </w:pPr>
          </w:p>
        </w:tc>
      </w:tr>
    </w:tbl>
    <w:p>
      <w:pPr>
        <w:spacing w:line="360" w:lineRule="auto"/>
        <w:rPr>
          <w:rFonts w:eastAsia="新宋体"/>
          <w:b/>
          <w:sz w:val="30"/>
          <w:szCs w:val="30"/>
        </w:rPr>
      </w:pPr>
      <w:r>
        <w:rPr>
          <w:rFonts w:eastAsia="新宋体"/>
          <w:b/>
          <w:sz w:val="30"/>
          <w:szCs w:val="30"/>
        </w:rPr>
        <w:t>四、评价适用标准</w:t>
      </w:r>
    </w:p>
    <w:tbl>
      <w:tblPr>
        <w:tblStyle w:val="15"/>
        <w:tblW w:w="9356"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51"/>
        <w:gridCol w:w="870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971" w:hRule="atLeast"/>
          <w:jc w:val="center"/>
        </w:trPr>
        <w:tc>
          <w:tcPr>
            <w:tcW w:w="651" w:type="dxa"/>
            <w:noWrap/>
            <w:vAlign w:val="center"/>
          </w:tcPr>
          <w:p>
            <w:pPr>
              <w:spacing w:line="360" w:lineRule="auto"/>
              <w:jc w:val="center"/>
              <w:rPr>
                <w:b/>
                <w:sz w:val="24"/>
              </w:rPr>
            </w:pPr>
            <w:r>
              <w:rPr>
                <w:b/>
                <w:sz w:val="24"/>
              </w:rPr>
              <w:t>环</w:t>
            </w:r>
          </w:p>
          <w:p>
            <w:pPr>
              <w:spacing w:line="360" w:lineRule="auto"/>
              <w:jc w:val="center"/>
              <w:rPr>
                <w:b/>
                <w:sz w:val="24"/>
              </w:rPr>
            </w:pPr>
            <w:r>
              <w:rPr>
                <w:b/>
                <w:sz w:val="24"/>
              </w:rPr>
              <w:t>境</w:t>
            </w:r>
          </w:p>
          <w:p>
            <w:pPr>
              <w:spacing w:line="360" w:lineRule="auto"/>
              <w:jc w:val="center"/>
              <w:rPr>
                <w:b/>
                <w:sz w:val="24"/>
              </w:rPr>
            </w:pPr>
            <w:r>
              <w:rPr>
                <w:b/>
                <w:sz w:val="24"/>
              </w:rPr>
              <w:t>质</w:t>
            </w:r>
          </w:p>
          <w:p>
            <w:pPr>
              <w:spacing w:line="360" w:lineRule="auto"/>
              <w:jc w:val="center"/>
              <w:rPr>
                <w:b/>
                <w:sz w:val="24"/>
              </w:rPr>
            </w:pPr>
            <w:r>
              <w:rPr>
                <w:b/>
                <w:sz w:val="24"/>
              </w:rPr>
              <w:t>量</w:t>
            </w:r>
          </w:p>
          <w:p>
            <w:pPr>
              <w:spacing w:line="360" w:lineRule="auto"/>
              <w:jc w:val="center"/>
              <w:rPr>
                <w:b/>
                <w:sz w:val="24"/>
              </w:rPr>
            </w:pPr>
            <w:r>
              <w:rPr>
                <w:b/>
                <w:sz w:val="24"/>
              </w:rPr>
              <w:t>标</w:t>
            </w:r>
          </w:p>
          <w:p>
            <w:pPr>
              <w:spacing w:line="360" w:lineRule="auto"/>
              <w:jc w:val="center"/>
              <w:rPr>
                <w:sz w:val="28"/>
              </w:rPr>
            </w:pPr>
            <w:r>
              <w:rPr>
                <w:b/>
                <w:sz w:val="24"/>
              </w:rPr>
              <w:t>准</w:t>
            </w:r>
          </w:p>
        </w:tc>
        <w:tc>
          <w:tcPr>
            <w:tcW w:w="8705" w:type="dxa"/>
            <w:noWrap/>
          </w:tcPr>
          <w:p>
            <w:pPr>
              <w:spacing w:line="360" w:lineRule="auto"/>
              <w:ind w:firstLine="240" w:firstLineChars="100"/>
              <w:rPr>
                <w:rFonts w:eastAsia="新宋体"/>
                <w:sz w:val="24"/>
              </w:rPr>
            </w:pPr>
            <w:r>
              <w:rPr>
                <w:rFonts w:eastAsia="新宋体"/>
                <w:sz w:val="24"/>
              </w:rPr>
              <w:t>地表水：《地表水环境质量标准》（GB3838—2002）</w:t>
            </w:r>
            <w:r>
              <w:rPr>
                <w:rFonts w:ascii="宋体"/>
                <w:sz w:val="24"/>
              </w:rPr>
              <w:t>Ⅲ</w:t>
            </w:r>
            <w:r>
              <w:rPr>
                <w:rFonts w:eastAsia="新宋体"/>
                <w:sz w:val="24"/>
              </w:rPr>
              <w:t xml:space="preserve">类标准； </w:t>
            </w:r>
          </w:p>
          <w:p>
            <w:pPr>
              <w:spacing w:line="360" w:lineRule="auto"/>
              <w:jc w:val="center"/>
              <w:rPr>
                <w:rFonts w:eastAsia="新宋体"/>
                <w:b/>
                <w:sz w:val="24"/>
              </w:rPr>
            </w:pPr>
            <w:r>
              <w:rPr>
                <w:rFonts w:eastAsia="新宋体"/>
                <w:b/>
                <w:sz w:val="24"/>
              </w:rPr>
              <w:t>表4-1  地表水环境质量</w:t>
            </w:r>
            <w:r>
              <w:rPr>
                <w:rFonts w:ascii="宋体"/>
                <w:sz w:val="24"/>
              </w:rPr>
              <w:t>Ⅲ</w:t>
            </w:r>
            <w:r>
              <w:rPr>
                <w:rFonts w:eastAsia="新宋体"/>
                <w:b/>
                <w:sz w:val="24"/>
              </w:rPr>
              <w:t>类标准    单位：mg/L</w:t>
            </w:r>
          </w:p>
          <w:tbl>
            <w:tblPr>
              <w:tblStyle w:val="15"/>
              <w:tblW w:w="796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
            <w:tblGrid>
              <w:gridCol w:w="1643"/>
              <w:gridCol w:w="1269"/>
              <w:gridCol w:w="1642"/>
              <w:gridCol w:w="1642"/>
              <w:gridCol w:w="17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1643" w:type="dxa"/>
                  <w:shd w:val="clear" w:color="auto" w:fill="FFFFFF"/>
                  <w:vAlign w:val="center"/>
                </w:tcPr>
                <w:p>
                  <w:pPr>
                    <w:jc w:val="center"/>
                    <w:rPr>
                      <w:rFonts w:eastAsia="新宋体"/>
                      <w:b/>
                      <w:szCs w:val="21"/>
                    </w:rPr>
                  </w:pPr>
                  <w:r>
                    <w:rPr>
                      <w:rFonts w:eastAsia="新宋体"/>
                      <w:b/>
                      <w:szCs w:val="21"/>
                    </w:rPr>
                    <w:t>项  目</w:t>
                  </w:r>
                </w:p>
              </w:tc>
              <w:tc>
                <w:tcPr>
                  <w:tcW w:w="1269" w:type="dxa"/>
                  <w:shd w:val="clear" w:color="auto" w:fill="FFFFFF"/>
                  <w:vAlign w:val="center"/>
                </w:tcPr>
                <w:p>
                  <w:pPr>
                    <w:jc w:val="center"/>
                    <w:rPr>
                      <w:rFonts w:eastAsia="新宋体"/>
                      <w:b/>
                      <w:szCs w:val="21"/>
                    </w:rPr>
                  </w:pPr>
                  <w:r>
                    <w:rPr>
                      <w:rFonts w:eastAsia="新宋体"/>
                      <w:b/>
                      <w:szCs w:val="21"/>
                    </w:rPr>
                    <w:t>PH</w:t>
                  </w:r>
                </w:p>
              </w:tc>
              <w:tc>
                <w:tcPr>
                  <w:tcW w:w="1642" w:type="dxa"/>
                  <w:shd w:val="clear" w:color="auto" w:fill="FFFFFF"/>
                  <w:vAlign w:val="center"/>
                </w:tcPr>
                <w:p>
                  <w:pPr>
                    <w:jc w:val="center"/>
                    <w:rPr>
                      <w:rFonts w:eastAsia="新宋体"/>
                      <w:b/>
                      <w:szCs w:val="21"/>
                    </w:rPr>
                  </w:pPr>
                  <w:r>
                    <w:rPr>
                      <w:rFonts w:eastAsia="新宋体"/>
                      <w:b/>
                      <w:szCs w:val="21"/>
                    </w:rPr>
                    <w:t>溶解氧</w:t>
                  </w:r>
                </w:p>
              </w:tc>
              <w:tc>
                <w:tcPr>
                  <w:tcW w:w="1642" w:type="dxa"/>
                  <w:shd w:val="clear" w:color="auto" w:fill="FFFFFF"/>
                  <w:vAlign w:val="center"/>
                </w:tcPr>
                <w:p>
                  <w:pPr>
                    <w:jc w:val="center"/>
                    <w:rPr>
                      <w:rFonts w:eastAsia="新宋体"/>
                      <w:b/>
                      <w:szCs w:val="21"/>
                      <w:vertAlign w:val="subscript"/>
                    </w:rPr>
                  </w:pPr>
                  <w:r>
                    <w:rPr>
                      <w:rFonts w:eastAsia="新宋体"/>
                      <w:b/>
                      <w:szCs w:val="21"/>
                    </w:rPr>
                    <w:t>COD</w:t>
                  </w:r>
                  <w:r>
                    <w:rPr>
                      <w:rFonts w:eastAsia="新宋体"/>
                      <w:b/>
                      <w:szCs w:val="21"/>
                      <w:vertAlign w:val="subscript"/>
                    </w:rPr>
                    <w:t>Cr</w:t>
                  </w:r>
                </w:p>
              </w:tc>
              <w:tc>
                <w:tcPr>
                  <w:tcW w:w="1769" w:type="dxa"/>
                  <w:shd w:val="clear" w:color="auto" w:fill="FFFFFF"/>
                  <w:vAlign w:val="center"/>
                </w:tcPr>
                <w:p>
                  <w:pPr>
                    <w:jc w:val="center"/>
                    <w:rPr>
                      <w:rFonts w:eastAsia="新宋体"/>
                      <w:b/>
                      <w:szCs w:val="21"/>
                      <w:vertAlign w:val="subscript"/>
                    </w:rPr>
                  </w:pPr>
                  <w:r>
                    <w:rPr>
                      <w:rFonts w:eastAsia="新宋体"/>
                      <w:b/>
                      <w:szCs w:val="21"/>
                    </w:rPr>
                    <w:t>BOD</w:t>
                  </w:r>
                  <w:r>
                    <w:rPr>
                      <w:rFonts w:eastAsia="新宋体"/>
                      <w:b/>
                      <w:szCs w:val="21"/>
                      <w:vertAlign w:val="subscript"/>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1643" w:type="dxa"/>
                  <w:vAlign w:val="center"/>
                </w:tcPr>
                <w:p>
                  <w:pPr>
                    <w:jc w:val="center"/>
                    <w:rPr>
                      <w:rFonts w:eastAsia="新宋体"/>
                      <w:szCs w:val="21"/>
                    </w:rPr>
                  </w:pPr>
                  <w:r>
                    <w:rPr>
                      <w:rFonts w:eastAsia="新宋体"/>
                      <w:szCs w:val="21"/>
                    </w:rPr>
                    <w:t>标准值</w:t>
                  </w:r>
                </w:p>
              </w:tc>
              <w:tc>
                <w:tcPr>
                  <w:tcW w:w="1269" w:type="dxa"/>
                  <w:vAlign w:val="center"/>
                </w:tcPr>
                <w:p>
                  <w:pPr>
                    <w:jc w:val="center"/>
                    <w:rPr>
                      <w:rFonts w:eastAsia="新宋体"/>
                      <w:szCs w:val="21"/>
                    </w:rPr>
                  </w:pPr>
                  <w:r>
                    <w:rPr>
                      <w:rFonts w:eastAsia="新宋体"/>
                      <w:szCs w:val="21"/>
                    </w:rPr>
                    <w:t>6～9</w:t>
                  </w:r>
                </w:p>
              </w:tc>
              <w:tc>
                <w:tcPr>
                  <w:tcW w:w="1642" w:type="dxa"/>
                  <w:vAlign w:val="center"/>
                </w:tcPr>
                <w:p>
                  <w:pPr>
                    <w:jc w:val="center"/>
                    <w:rPr>
                      <w:rFonts w:eastAsia="新宋体"/>
                      <w:szCs w:val="21"/>
                    </w:rPr>
                  </w:pPr>
                  <w:r>
                    <w:rPr>
                      <w:rFonts w:eastAsia="新宋体"/>
                      <w:szCs w:val="21"/>
                    </w:rPr>
                    <w:t>≥5.0</w:t>
                  </w:r>
                </w:p>
              </w:tc>
              <w:tc>
                <w:tcPr>
                  <w:tcW w:w="1642" w:type="dxa"/>
                  <w:vAlign w:val="center"/>
                </w:tcPr>
                <w:p>
                  <w:pPr>
                    <w:jc w:val="center"/>
                    <w:rPr>
                      <w:rFonts w:eastAsia="新宋体"/>
                      <w:szCs w:val="21"/>
                    </w:rPr>
                  </w:pPr>
                  <w:r>
                    <w:rPr>
                      <w:rFonts w:eastAsia="新宋体"/>
                      <w:szCs w:val="21"/>
                    </w:rPr>
                    <w:t>≤20</w:t>
                  </w:r>
                </w:p>
              </w:tc>
              <w:tc>
                <w:tcPr>
                  <w:tcW w:w="1769" w:type="dxa"/>
                  <w:vAlign w:val="center"/>
                </w:tcPr>
                <w:p>
                  <w:pPr>
                    <w:jc w:val="center"/>
                    <w:rPr>
                      <w:rFonts w:eastAsia="新宋体"/>
                      <w:szCs w:val="21"/>
                    </w:rPr>
                  </w:pPr>
                  <w:r>
                    <w:rPr>
                      <w:rFonts w:eastAsia="新宋体"/>
                      <w:szCs w:val="21"/>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1643" w:type="dxa"/>
                  <w:shd w:val="clear" w:color="auto" w:fill="FFFFFF"/>
                  <w:vAlign w:val="center"/>
                </w:tcPr>
                <w:p>
                  <w:pPr>
                    <w:jc w:val="center"/>
                    <w:rPr>
                      <w:rFonts w:eastAsia="新宋体"/>
                      <w:b/>
                      <w:szCs w:val="21"/>
                    </w:rPr>
                  </w:pPr>
                  <w:r>
                    <w:rPr>
                      <w:rFonts w:eastAsia="新宋体"/>
                      <w:b/>
                      <w:szCs w:val="21"/>
                    </w:rPr>
                    <w:t>项  目</w:t>
                  </w:r>
                </w:p>
              </w:tc>
              <w:tc>
                <w:tcPr>
                  <w:tcW w:w="1269" w:type="dxa"/>
                  <w:shd w:val="clear" w:color="auto" w:fill="FFFFFF"/>
                  <w:vAlign w:val="center"/>
                </w:tcPr>
                <w:p>
                  <w:pPr>
                    <w:jc w:val="center"/>
                    <w:rPr>
                      <w:rFonts w:eastAsia="新宋体"/>
                      <w:b/>
                      <w:szCs w:val="21"/>
                    </w:rPr>
                  </w:pPr>
                  <w:r>
                    <w:rPr>
                      <w:rFonts w:eastAsia="新宋体"/>
                      <w:b/>
                      <w:szCs w:val="21"/>
                    </w:rPr>
                    <w:t>总磷</w:t>
                  </w:r>
                </w:p>
              </w:tc>
              <w:tc>
                <w:tcPr>
                  <w:tcW w:w="1642" w:type="dxa"/>
                  <w:shd w:val="clear" w:color="auto" w:fill="FFFFFF"/>
                  <w:vAlign w:val="center"/>
                </w:tcPr>
                <w:p>
                  <w:pPr>
                    <w:jc w:val="center"/>
                    <w:rPr>
                      <w:rFonts w:eastAsia="新宋体"/>
                      <w:b/>
                      <w:szCs w:val="21"/>
                    </w:rPr>
                  </w:pPr>
                  <w:r>
                    <w:rPr>
                      <w:rFonts w:eastAsia="新宋体"/>
                      <w:b/>
                      <w:szCs w:val="21"/>
                    </w:rPr>
                    <w:t>氨氮</w:t>
                  </w:r>
                </w:p>
              </w:tc>
              <w:tc>
                <w:tcPr>
                  <w:tcW w:w="1642" w:type="dxa"/>
                  <w:shd w:val="clear" w:color="auto" w:fill="FFFFFF"/>
                  <w:vAlign w:val="center"/>
                </w:tcPr>
                <w:p>
                  <w:pPr>
                    <w:jc w:val="center"/>
                    <w:rPr>
                      <w:rFonts w:eastAsia="新宋体"/>
                      <w:b/>
                      <w:szCs w:val="21"/>
                    </w:rPr>
                  </w:pPr>
                  <w:r>
                    <w:rPr>
                      <w:rFonts w:eastAsia="新宋体"/>
                      <w:b/>
                      <w:szCs w:val="21"/>
                    </w:rPr>
                    <w:t>石油类</w:t>
                  </w:r>
                </w:p>
              </w:tc>
              <w:tc>
                <w:tcPr>
                  <w:tcW w:w="1769" w:type="dxa"/>
                  <w:shd w:val="clear" w:color="auto" w:fill="FFFFFF"/>
                  <w:vAlign w:val="center"/>
                </w:tcPr>
                <w:p>
                  <w:pPr>
                    <w:jc w:val="center"/>
                    <w:rPr>
                      <w:rFonts w:eastAsia="新宋体"/>
                      <w:b/>
                      <w:szCs w:val="21"/>
                    </w:rPr>
                  </w:pPr>
                  <w:r>
                    <w:rPr>
                      <w:rFonts w:eastAsia="新宋体"/>
                      <w:b/>
                      <w:szCs w:val="21"/>
                    </w:rPr>
                    <w:t>挥发酚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1643" w:type="dxa"/>
                  <w:vAlign w:val="center"/>
                </w:tcPr>
                <w:p>
                  <w:pPr>
                    <w:jc w:val="center"/>
                    <w:rPr>
                      <w:rFonts w:eastAsia="新宋体"/>
                      <w:szCs w:val="21"/>
                    </w:rPr>
                  </w:pPr>
                  <w:r>
                    <w:rPr>
                      <w:rFonts w:eastAsia="新宋体"/>
                      <w:szCs w:val="21"/>
                    </w:rPr>
                    <w:t>标准值</w:t>
                  </w:r>
                </w:p>
              </w:tc>
              <w:tc>
                <w:tcPr>
                  <w:tcW w:w="1269" w:type="dxa"/>
                  <w:vAlign w:val="center"/>
                </w:tcPr>
                <w:p>
                  <w:pPr>
                    <w:jc w:val="center"/>
                    <w:rPr>
                      <w:rFonts w:eastAsia="新宋体"/>
                      <w:szCs w:val="21"/>
                    </w:rPr>
                  </w:pPr>
                  <w:r>
                    <w:rPr>
                      <w:rFonts w:eastAsia="新宋体"/>
                      <w:szCs w:val="21"/>
                    </w:rPr>
                    <w:t>≤0.2</w:t>
                  </w:r>
                </w:p>
              </w:tc>
              <w:tc>
                <w:tcPr>
                  <w:tcW w:w="1642" w:type="dxa"/>
                  <w:vAlign w:val="center"/>
                </w:tcPr>
                <w:p>
                  <w:pPr>
                    <w:jc w:val="center"/>
                    <w:rPr>
                      <w:rFonts w:eastAsia="新宋体"/>
                      <w:szCs w:val="21"/>
                    </w:rPr>
                  </w:pPr>
                  <w:r>
                    <w:rPr>
                      <w:rFonts w:eastAsia="新宋体"/>
                      <w:szCs w:val="21"/>
                    </w:rPr>
                    <w:t>≤1.0</w:t>
                  </w:r>
                </w:p>
              </w:tc>
              <w:tc>
                <w:tcPr>
                  <w:tcW w:w="1642" w:type="dxa"/>
                  <w:vAlign w:val="center"/>
                </w:tcPr>
                <w:p>
                  <w:pPr>
                    <w:jc w:val="center"/>
                    <w:rPr>
                      <w:rFonts w:eastAsia="新宋体"/>
                      <w:szCs w:val="21"/>
                    </w:rPr>
                  </w:pPr>
                  <w:r>
                    <w:rPr>
                      <w:rFonts w:eastAsia="新宋体"/>
                      <w:szCs w:val="21"/>
                    </w:rPr>
                    <w:t>≤0.05</w:t>
                  </w:r>
                </w:p>
              </w:tc>
              <w:tc>
                <w:tcPr>
                  <w:tcW w:w="1769" w:type="dxa"/>
                  <w:vAlign w:val="center"/>
                </w:tcPr>
                <w:p>
                  <w:pPr>
                    <w:jc w:val="center"/>
                    <w:rPr>
                      <w:rFonts w:eastAsia="新宋体"/>
                      <w:szCs w:val="21"/>
                    </w:rPr>
                  </w:pPr>
                  <w:r>
                    <w:rPr>
                      <w:rFonts w:eastAsia="新宋体"/>
                      <w:szCs w:val="21"/>
                    </w:rPr>
                    <w:t>≤0.005</w:t>
                  </w:r>
                </w:p>
              </w:tc>
            </w:tr>
          </w:tbl>
          <w:p>
            <w:pPr>
              <w:spacing w:line="360" w:lineRule="auto"/>
              <w:rPr>
                <w:rFonts w:eastAsia="新宋体"/>
                <w:sz w:val="24"/>
              </w:rPr>
            </w:pPr>
          </w:p>
          <w:p>
            <w:pPr>
              <w:spacing w:line="360" w:lineRule="auto"/>
              <w:rPr>
                <w:rFonts w:eastAsia="新宋体"/>
                <w:sz w:val="24"/>
              </w:rPr>
            </w:pPr>
            <w:r>
              <w:rPr>
                <w:rFonts w:eastAsia="新宋体"/>
                <w:sz w:val="24"/>
              </w:rPr>
              <w:t xml:space="preserve">  地下水：《地下水质量标准》（GB/T14848－2017）</w:t>
            </w:r>
            <w:r>
              <w:rPr>
                <w:rFonts w:ascii="宋体"/>
                <w:sz w:val="24"/>
              </w:rPr>
              <w:t>Ⅲ</w:t>
            </w:r>
            <w:r>
              <w:rPr>
                <w:rFonts w:eastAsia="新宋体"/>
                <w:sz w:val="24"/>
              </w:rPr>
              <w:t xml:space="preserve">类标准； </w:t>
            </w:r>
          </w:p>
          <w:p>
            <w:pPr>
              <w:spacing w:line="360" w:lineRule="auto"/>
              <w:ind w:firstLine="481" w:firstLineChars="200"/>
              <w:jc w:val="center"/>
              <w:rPr>
                <w:rFonts w:eastAsia="新宋体"/>
                <w:b/>
                <w:sz w:val="24"/>
              </w:rPr>
            </w:pPr>
            <w:r>
              <w:rPr>
                <w:rFonts w:eastAsia="新宋体"/>
                <w:b/>
                <w:sz w:val="24"/>
              </w:rPr>
              <w:t>表4-2  地下水环境质量</w:t>
            </w:r>
            <w:r>
              <w:rPr>
                <w:rFonts w:ascii="宋体"/>
                <w:b/>
                <w:sz w:val="24"/>
              </w:rPr>
              <w:t>Ⅲ</w:t>
            </w:r>
            <w:r>
              <w:rPr>
                <w:rFonts w:eastAsia="新宋体"/>
                <w:b/>
                <w:sz w:val="24"/>
              </w:rPr>
              <w:t>类标准</w:t>
            </w:r>
          </w:p>
          <w:tbl>
            <w:tblPr>
              <w:tblStyle w:val="15"/>
              <w:tblW w:w="809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
            <w:tblGrid>
              <w:gridCol w:w="1619"/>
              <w:gridCol w:w="1620"/>
              <w:gridCol w:w="1468"/>
              <w:gridCol w:w="1771"/>
              <w:gridCol w:w="16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74" w:hRule="exact"/>
                <w:jc w:val="center"/>
              </w:trPr>
              <w:tc>
                <w:tcPr>
                  <w:tcW w:w="1619" w:type="dxa"/>
                  <w:shd w:val="clear" w:color="auto" w:fill="FFFFFF"/>
                  <w:vAlign w:val="center"/>
                </w:tcPr>
                <w:p>
                  <w:pPr>
                    <w:jc w:val="center"/>
                    <w:rPr>
                      <w:rFonts w:eastAsia="新宋体"/>
                      <w:b/>
                      <w:szCs w:val="21"/>
                    </w:rPr>
                  </w:pPr>
                  <w:r>
                    <w:rPr>
                      <w:rFonts w:eastAsia="新宋体"/>
                      <w:b/>
                      <w:szCs w:val="21"/>
                    </w:rPr>
                    <w:t>项  目</w:t>
                  </w:r>
                </w:p>
              </w:tc>
              <w:tc>
                <w:tcPr>
                  <w:tcW w:w="1620" w:type="dxa"/>
                  <w:shd w:val="clear" w:color="auto" w:fill="FFFFFF"/>
                  <w:vAlign w:val="center"/>
                </w:tcPr>
                <w:p>
                  <w:pPr>
                    <w:jc w:val="center"/>
                    <w:rPr>
                      <w:rFonts w:eastAsia="新宋体"/>
                      <w:b/>
                      <w:szCs w:val="21"/>
                    </w:rPr>
                  </w:pPr>
                  <w:r>
                    <w:rPr>
                      <w:rFonts w:eastAsia="新宋体"/>
                      <w:b/>
                      <w:szCs w:val="21"/>
                    </w:rPr>
                    <w:t>PH</w:t>
                  </w:r>
                </w:p>
              </w:tc>
              <w:tc>
                <w:tcPr>
                  <w:tcW w:w="1468" w:type="dxa"/>
                  <w:shd w:val="clear" w:color="auto" w:fill="FFFFFF"/>
                  <w:vAlign w:val="center"/>
                </w:tcPr>
                <w:p>
                  <w:pPr>
                    <w:jc w:val="center"/>
                    <w:rPr>
                      <w:rFonts w:eastAsia="新宋体"/>
                      <w:b/>
                      <w:szCs w:val="21"/>
                    </w:rPr>
                  </w:pPr>
                  <w:r>
                    <w:rPr>
                      <w:rFonts w:eastAsia="新宋体"/>
                      <w:b/>
                      <w:szCs w:val="21"/>
                    </w:rPr>
                    <w:t>总硬度</w:t>
                  </w:r>
                </w:p>
              </w:tc>
              <w:tc>
                <w:tcPr>
                  <w:tcW w:w="1771" w:type="dxa"/>
                  <w:shd w:val="clear" w:color="auto" w:fill="FFFFFF"/>
                  <w:vAlign w:val="center"/>
                </w:tcPr>
                <w:p>
                  <w:pPr>
                    <w:jc w:val="center"/>
                    <w:rPr>
                      <w:rFonts w:eastAsia="新宋体"/>
                      <w:b/>
                      <w:szCs w:val="21"/>
                      <w:vertAlign w:val="subscript"/>
                    </w:rPr>
                  </w:pPr>
                  <w:r>
                    <w:rPr>
                      <w:rFonts w:eastAsia="新宋体"/>
                      <w:b/>
                      <w:szCs w:val="21"/>
                    </w:rPr>
                    <w:t>总大肠菌群</w:t>
                  </w:r>
                </w:p>
              </w:tc>
              <w:tc>
                <w:tcPr>
                  <w:tcW w:w="1619" w:type="dxa"/>
                  <w:shd w:val="clear" w:color="auto" w:fill="FFFFFF"/>
                  <w:vAlign w:val="center"/>
                </w:tcPr>
                <w:p>
                  <w:pPr>
                    <w:jc w:val="center"/>
                    <w:rPr>
                      <w:rFonts w:eastAsia="新宋体"/>
                      <w:b/>
                      <w:szCs w:val="21"/>
                      <w:vertAlign w:val="subscript"/>
                    </w:rPr>
                  </w:pPr>
                  <w:r>
                    <w:rPr>
                      <w:rFonts w:eastAsia="新宋体"/>
                      <w:b/>
                      <w:szCs w:val="21"/>
                    </w:rPr>
                    <w:t>亚硝酸盐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74" w:hRule="exact"/>
                <w:jc w:val="center"/>
              </w:trPr>
              <w:tc>
                <w:tcPr>
                  <w:tcW w:w="1619" w:type="dxa"/>
                  <w:vAlign w:val="center"/>
                </w:tcPr>
                <w:p>
                  <w:pPr>
                    <w:jc w:val="center"/>
                    <w:rPr>
                      <w:rFonts w:eastAsia="新宋体"/>
                      <w:szCs w:val="21"/>
                    </w:rPr>
                  </w:pPr>
                  <w:r>
                    <w:rPr>
                      <w:rFonts w:eastAsia="新宋体"/>
                      <w:szCs w:val="21"/>
                    </w:rPr>
                    <w:t>标准值</w:t>
                  </w:r>
                </w:p>
              </w:tc>
              <w:tc>
                <w:tcPr>
                  <w:tcW w:w="1620" w:type="dxa"/>
                  <w:vAlign w:val="center"/>
                </w:tcPr>
                <w:p>
                  <w:pPr>
                    <w:jc w:val="center"/>
                    <w:rPr>
                      <w:rFonts w:eastAsia="新宋体"/>
                      <w:szCs w:val="21"/>
                    </w:rPr>
                  </w:pPr>
                  <w:r>
                    <w:rPr>
                      <w:rFonts w:eastAsia="新宋体"/>
                      <w:szCs w:val="21"/>
                    </w:rPr>
                    <w:t>6.5～8.5</w:t>
                  </w:r>
                </w:p>
              </w:tc>
              <w:tc>
                <w:tcPr>
                  <w:tcW w:w="1468" w:type="dxa"/>
                  <w:vAlign w:val="center"/>
                </w:tcPr>
                <w:p>
                  <w:pPr>
                    <w:jc w:val="center"/>
                    <w:rPr>
                      <w:rFonts w:eastAsia="新宋体"/>
                      <w:szCs w:val="21"/>
                    </w:rPr>
                  </w:pPr>
                  <w:r>
                    <w:rPr>
                      <w:rFonts w:eastAsia="新宋体"/>
                      <w:szCs w:val="21"/>
                    </w:rPr>
                    <w:t>≤450</w:t>
                  </w:r>
                  <w:r>
                    <w:rPr>
                      <w:rFonts w:eastAsia="新宋体"/>
                      <w:bCs/>
                      <w:sz w:val="24"/>
                    </w:rPr>
                    <w:t>mg/L</w:t>
                  </w:r>
                </w:p>
              </w:tc>
              <w:tc>
                <w:tcPr>
                  <w:tcW w:w="1771" w:type="dxa"/>
                  <w:vAlign w:val="center"/>
                </w:tcPr>
                <w:p>
                  <w:pPr>
                    <w:jc w:val="center"/>
                    <w:rPr>
                      <w:rFonts w:eastAsia="新宋体"/>
                      <w:szCs w:val="21"/>
                    </w:rPr>
                  </w:pPr>
                  <w:r>
                    <w:rPr>
                      <w:rFonts w:eastAsia="新宋体"/>
                      <w:szCs w:val="21"/>
                    </w:rPr>
                    <w:t>≤3.0MPN/100mL</w:t>
                  </w:r>
                </w:p>
              </w:tc>
              <w:tc>
                <w:tcPr>
                  <w:tcW w:w="1619" w:type="dxa"/>
                  <w:vAlign w:val="center"/>
                </w:tcPr>
                <w:p>
                  <w:pPr>
                    <w:jc w:val="center"/>
                    <w:rPr>
                      <w:rFonts w:eastAsia="新宋体"/>
                      <w:szCs w:val="21"/>
                    </w:rPr>
                  </w:pPr>
                  <w:r>
                    <w:rPr>
                      <w:rFonts w:eastAsia="新宋体"/>
                      <w:szCs w:val="21"/>
                    </w:rPr>
                    <w:t>≤1.0</w:t>
                  </w:r>
                  <w:r>
                    <w:rPr>
                      <w:rFonts w:eastAsia="新宋体"/>
                      <w:bCs/>
                      <w:sz w:val="24"/>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74" w:hRule="exact"/>
                <w:jc w:val="center"/>
              </w:trPr>
              <w:tc>
                <w:tcPr>
                  <w:tcW w:w="1619" w:type="dxa"/>
                  <w:shd w:val="clear" w:color="auto" w:fill="FFFFFF"/>
                  <w:vAlign w:val="center"/>
                </w:tcPr>
                <w:p>
                  <w:pPr>
                    <w:jc w:val="center"/>
                    <w:rPr>
                      <w:rFonts w:eastAsia="新宋体"/>
                      <w:b/>
                      <w:szCs w:val="21"/>
                    </w:rPr>
                  </w:pPr>
                  <w:r>
                    <w:rPr>
                      <w:rFonts w:eastAsia="新宋体"/>
                      <w:b/>
                      <w:szCs w:val="21"/>
                    </w:rPr>
                    <w:t>项  目</w:t>
                  </w:r>
                </w:p>
              </w:tc>
              <w:tc>
                <w:tcPr>
                  <w:tcW w:w="1620" w:type="dxa"/>
                  <w:shd w:val="clear" w:color="auto" w:fill="FFFFFF"/>
                  <w:vAlign w:val="center"/>
                </w:tcPr>
                <w:p>
                  <w:pPr>
                    <w:jc w:val="center"/>
                    <w:rPr>
                      <w:rFonts w:eastAsia="新宋体"/>
                      <w:b/>
                      <w:szCs w:val="21"/>
                    </w:rPr>
                  </w:pPr>
                  <w:r>
                    <w:rPr>
                      <w:rFonts w:eastAsia="新宋体"/>
                      <w:b/>
                      <w:szCs w:val="21"/>
                    </w:rPr>
                    <w:t>耗氧量</w:t>
                  </w:r>
                </w:p>
              </w:tc>
              <w:tc>
                <w:tcPr>
                  <w:tcW w:w="1468" w:type="dxa"/>
                  <w:shd w:val="clear" w:color="auto" w:fill="FFFFFF"/>
                  <w:vAlign w:val="center"/>
                </w:tcPr>
                <w:p>
                  <w:pPr>
                    <w:jc w:val="center"/>
                    <w:rPr>
                      <w:rFonts w:eastAsia="新宋体"/>
                      <w:b/>
                      <w:szCs w:val="21"/>
                    </w:rPr>
                  </w:pPr>
                  <w:r>
                    <w:rPr>
                      <w:rFonts w:eastAsia="新宋体"/>
                      <w:b/>
                      <w:szCs w:val="21"/>
                    </w:rPr>
                    <w:t>氯化物</w:t>
                  </w:r>
                </w:p>
              </w:tc>
              <w:tc>
                <w:tcPr>
                  <w:tcW w:w="1771" w:type="dxa"/>
                  <w:shd w:val="clear" w:color="auto" w:fill="FFFFFF"/>
                  <w:vAlign w:val="center"/>
                </w:tcPr>
                <w:p>
                  <w:pPr>
                    <w:jc w:val="center"/>
                    <w:rPr>
                      <w:rFonts w:eastAsia="新宋体"/>
                      <w:b/>
                      <w:szCs w:val="21"/>
                    </w:rPr>
                  </w:pPr>
                  <w:r>
                    <w:rPr>
                      <w:rFonts w:eastAsia="新宋体"/>
                      <w:b/>
                      <w:szCs w:val="21"/>
                    </w:rPr>
                    <w:t>硝酸盐</w:t>
                  </w:r>
                </w:p>
              </w:tc>
              <w:tc>
                <w:tcPr>
                  <w:tcW w:w="1619" w:type="dxa"/>
                  <w:shd w:val="clear" w:color="auto" w:fill="FFFFFF"/>
                  <w:vAlign w:val="center"/>
                </w:tcPr>
                <w:p>
                  <w:pPr>
                    <w:jc w:val="center"/>
                    <w:rPr>
                      <w:rFonts w:eastAsia="新宋体"/>
                      <w:b/>
                      <w:szCs w:val="21"/>
                    </w:rPr>
                  </w:pPr>
                  <w:r>
                    <w:rPr>
                      <w:rFonts w:eastAsia="新宋体"/>
                      <w:b/>
                      <w:szCs w:val="21"/>
                    </w:rPr>
                    <w:t>挥发酚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74" w:hRule="exact"/>
                <w:jc w:val="center"/>
              </w:trPr>
              <w:tc>
                <w:tcPr>
                  <w:tcW w:w="1619" w:type="dxa"/>
                  <w:vAlign w:val="center"/>
                </w:tcPr>
                <w:p>
                  <w:pPr>
                    <w:jc w:val="center"/>
                    <w:rPr>
                      <w:rFonts w:eastAsia="新宋体"/>
                      <w:szCs w:val="21"/>
                    </w:rPr>
                  </w:pPr>
                  <w:r>
                    <w:rPr>
                      <w:rFonts w:eastAsia="新宋体"/>
                      <w:szCs w:val="21"/>
                    </w:rPr>
                    <w:t>标准值</w:t>
                  </w:r>
                </w:p>
              </w:tc>
              <w:tc>
                <w:tcPr>
                  <w:tcW w:w="1620" w:type="dxa"/>
                  <w:vAlign w:val="center"/>
                </w:tcPr>
                <w:p>
                  <w:pPr>
                    <w:jc w:val="center"/>
                    <w:rPr>
                      <w:rFonts w:eastAsia="新宋体"/>
                      <w:szCs w:val="21"/>
                    </w:rPr>
                  </w:pPr>
                  <w:r>
                    <w:rPr>
                      <w:rFonts w:eastAsia="新宋体"/>
                      <w:szCs w:val="21"/>
                    </w:rPr>
                    <w:t>≤3.0</w:t>
                  </w:r>
                  <w:r>
                    <w:rPr>
                      <w:rFonts w:eastAsia="新宋体"/>
                      <w:bCs/>
                      <w:sz w:val="24"/>
                    </w:rPr>
                    <w:t>mg/L</w:t>
                  </w:r>
                </w:p>
              </w:tc>
              <w:tc>
                <w:tcPr>
                  <w:tcW w:w="1468" w:type="dxa"/>
                  <w:vAlign w:val="center"/>
                </w:tcPr>
                <w:p>
                  <w:pPr>
                    <w:jc w:val="center"/>
                    <w:rPr>
                      <w:rFonts w:eastAsia="新宋体"/>
                      <w:szCs w:val="21"/>
                    </w:rPr>
                  </w:pPr>
                  <w:r>
                    <w:rPr>
                      <w:rFonts w:eastAsia="新宋体"/>
                      <w:szCs w:val="21"/>
                    </w:rPr>
                    <w:t>≤250</w:t>
                  </w:r>
                  <w:r>
                    <w:rPr>
                      <w:rFonts w:eastAsia="新宋体"/>
                      <w:bCs/>
                      <w:sz w:val="24"/>
                    </w:rPr>
                    <w:t>mg/L</w:t>
                  </w:r>
                </w:p>
              </w:tc>
              <w:tc>
                <w:tcPr>
                  <w:tcW w:w="1771" w:type="dxa"/>
                  <w:vAlign w:val="center"/>
                </w:tcPr>
                <w:p>
                  <w:pPr>
                    <w:jc w:val="center"/>
                    <w:rPr>
                      <w:rFonts w:eastAsia="新宋体"/>
                      <w:szCs w:val="21"/>
                    </w:rPr>
                  </w:pPr>
                  <w:r>
                    <w:rPr>
                      <w:rFonts w:eastAsia="新宋体"/>
                      <w:szCs w:val="21"/>
                    </w:rPr>
                    <w:t>≤20</w:t>
                  </w:r>
                  <w:r>
                    <w:rPr>
                      <w:rFonts w:eastAsia="新宋体"/>
                      <w:bCs/>
                      <w:sz w:val="24"/>
                    </w:rPr>
                    <w:t>mg/L</w:t>
                  </w:r>
                </w:p>
              </w:tc>
              <w:tc>
                <w:tcPr>
                  <w:tcW w:w="1619" w:type="dxa"/>
                  <w:vAlign w:val="center"/>
                </w:tcPr>
                <w:p>
                  <w:pPr>
                    <w:jc w:val="center"/>
                    <w:rPr>
                      <w:rFonts w:eastAsia="新宋体"/>
                      <w:szCs w:val="21"/>
                    </w:rPr>
                  </w:pPr>
                  <w:r>
                    <w:rPr>
                      <w:rFonts w:eastAsia="新宋体"/>
                      <w:szCs w:val="21"/>
                    </w:rPr>
                    <w:t>≤0.002</w:t>
                  </w:r>
                  <w:r>
                    <w:rPr>
                      <w:rFonts w:eastAsia="新宋体"/>
                      <w:bCs/>
                      <w:sz w:val="24"/>
                    </w:rPr>
                    <w:t>mg/L</w:t>
                  </w:r>
                </w:p>
              </w:tc>
            </w:tr>
          </w:tbl>
          <w:p>
            <w:pPr>
              <w:spacing w:line="360" w:lineRule="auto"/>
              <w:rPr>
                <w:rFonts w:eastAsia="新宋体"/>
                <w:sz w:val="24"/>
              </w:rPr>
            </w:pPr>
          </w:p>
          <w:p>
            <w:pPr>
              <w:spacing w:line="360" w:lineRule="auto"/>
              <w:ind w:firstLine="240" w:firstLineChars="100"/>
              <w:rPr>
                <w:sz w:val="24"/>
              </w:rPr>
            </w:pPr>
            <w:r>
              <w:rPr>
                <w:sz w:val="24"/>
              </w:rPr>
              <w:t>环境空气：《环境空气质量标准》（GB3095—2012）二级标准；</w:t>
            </w:r>
          </w:p>
          <w:p>
            <w:pPr>
              <w:spacing w:line="360" w:lineRule="auto"/>
              <w:jc w:val="center"/>
              <w:rPr>
                <w:b/>
                <w:sz w:val="24"/>
              </w:rPr>
            </w:pPr>
            <w:r>
              <w:rPr>
                <w:b/>
                <w:sz w:val="24"/>
              </w:rPr>
              <w:t xml:space="preserve">表4-3  环境空气质量二级标准 </w:t>
            </w:r>
          </w:p>
          <w:tbl>
            <w:tblPr>
              <w:tblStyle w:val="15"/>
              <w:tblW w:w="7954"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1438"/>
              <w:gridCol w:w="1395"/>
              <w:gridCol w:w="1508"/>
              <w:gridCol w:w="194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exact"/>
                <w:jc w:val="center"/>
              </w:trPr>
              <w:tc>
                <w:tcPr>
                  <w:tcW w:w="1670" w:type="dxa"/>
                  <w:vMerge w:val="restart"/>
                  <w:tcBorders>
                    <w:top w:val="single" w:color="auto" w:sz="12" w:space="0"/>
                  </w:tcBorders>
                  <w:vAlign w:val="center"/>
                </w:tcPr>
                <w:p>
                  <w:pPr>
                    <w:jc w:val="center"/>
                    <w:rPr>
                      <w:szCs w:val="21"/>
                    </w:rPr>
                  </w:pPr>
                  <w:r>
                    <w:rPr>
                      <w:szCs w:val="21"/>
                    </w:rPr>
                    <w:t>污染物项目</w:t>
                  </w:r>
                </w:p>
              </w:tc>
              <w:tc>
                <w:tcPr>
                  <w:tcW w:w="4341" w:type="dxa"/>
                  <w:gridSpan w:val="3"/>
                  <w:tcBorders>
                    <w:top w:val="single" w:color="auto" w:sz="12" w:space="0"/>
                    <w:bottom w:val="single" w:color="auto" w:sz="4" w:space="0"/>
                  </w:tcBorders>
                  <w:vAlign w:val="center"/>
                </w:tcPr>
                <w:p>
                  <w:pPr>
                    <w:jc w:val="center"/>
                    <w:rPr>
                      <w:szCs w:val="21"/>
                    </w:rPr>
                  </w:pPr>
                  <w:r>
                    <w:rPr>
                      <w:szCs w:val="21"/>
                    </w:rPr>
                    <w:t>浓度限值</w:t>
                  </w:r>
                </w:p>
              </w:tc>
              <w:tc>
                <w:tcPr>
                  <w:tcW w:w="1943" w:type="dxa"/>
                  <w:vMerge w:val="restart"/>
                  <w:tcBorders>
                    <w:top w:val="single" w:color="auto" w:sz="12" w:space="0"/>
                  </w:tcBorders>
                  <w:vAlign w:val="center"/>
                </w:tcPr>
                <w:p>
                  <w:pPr>
                    <w:jc w:val="center"/>
                    <w:rPr>
                      <w:szCs w:val="21"/>
                    </w:rPr>
                  </w:pPr>
                  <w:r>
                    <w:rPr>
                      <w:szCs w:val="21"/>
                    </w:rPr>
                    <w:t>单位</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670" w:type="dxa"/>
                  <w:vMerge w:val="continue"/>
                  <w:tcBorders>
                    <w:bottom w:val="single" w:color="auto" w:sz="4" w:space="0"/>
                  </w:tcBorders>
                  <w:vAlign w:val="center"/>
                </w:tcPr>
                <w:p>
                  <w:pPr>
                    <w:jc w:val="center"/>
                    <w:rPr>
                      <w:szCs w:val="21"/>
                    </w:rPr>
                  </w:pPr>
                </w:p>
              </w:tc>
              <w:tc>
                <w:tcPr>
                  <w:tcW w:w="1438" w:type="dxa"/>
                  <w:tcBorders>
                    <w:top w:val="single" w:color="auto" w:sz="4" w:space="0"/>
                    <w:bottom w:val="single" w:color="auto" w:sz="4" w:space="0"/>
                  </w:tcBorders>
                  <w:vAlign w:val="center"/>
                </w:tcPr>
                <w:p>
                  <w:pPr>
                    <w:jc w:val="center"/>
                  </w:pPr>
                  <w:r>
                    <w:t>1小时平均</w:t>
                  </w:r>
                </w:p>
              </w:tc>
              <w:tc>
                <w:tcPr>
                  <w:tcW w:w="1395" w:type="dxa"/>
                  <w:tcBorders>
                    <w:top w:val="single" w:color="auto" w:sz="4" w:space="0"/>
                    <w:bottom w:val="single" w:color="auto" w:sz="4" w:space="0"/>
                  </w:tcBorders>
                  <w:vAlign w:val="center"/>
                </w:tcPr>
                <w:p>
                  <w:pPr>
                    <w:jc w:val="center"/>
                  </w:pPr>
                  <w:r>
                    <w:t>日平均</w:t>
                  </w:r>
                </w:p>
              </w:tc>
              <w:tc>
                <w:tcPr>
                  <w:tcW w:w="1508" w:type="dxa"/>
                  <w:tcBorders>
                    <w:top w:val="single" w:color="auto" w:sz="4" w:space="0"/>
                    <w:bottom w:val="single" w:color="auto" w:sz="4" w:space="0"/>
                  </w:tcBorders>
                  <w:vAlign w:val="center"/>
                </w:tcPr>
                <w:p>
                  <w:pPr>
                    <w:jc w:val="center"/>
                  </w:pPr>
                  <w:r>
                    <w:t>年平均</w:t>
                  </w:r>
                </w:p>
              </w:tc>
              <w:tc>
                <w:tcPr>
                  <w:tcW w:w="1943" w:type="dxa"/>
                  <w:vMerge w:val="continue"/>
                  <w:tcBorders>
                    <w:bottom w:val="single" w:color="auto" w:sz="4" w:space="0"/>
                  </w:tcBorders>
                  <w:vAlign w:val="center"/>
                </w:tcPr>
                <w:p>
                  <w:pPr>
                    <w:jc w:val="center"/>
                    <w:rPr>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70" w:type="dxa"/>
                  <w:vAlign w:val="center"/>
                </w:tcPr>
                <w:p>
                  <w:pPr>
                    <w:jc w:val="center"/>
                    <w:rPr>
                      <w:szCs w:val="21"/>
                    </w:rPr>
                  </w:pPr>
                  <w:r>
                    <w:rPr>
                      <w:szCs w:val="21"/>
                    </w:rPr>
                    <w:t>SO</w:t>
                  </w:r>
                  <w:r>
                    <w:rPr>
                      <w:szCs w:val="21"/>
                      <w:vertAlign w:val="subscript"/>
                    </w:rPr>
                    <w:t>2</w:t>
                  </w:r>
                </w:p>
              </w:tc>
              <w:tc>
                <w:tcPr>
                  <w:tcW w:w="1438" w:type="dxa"/>
                  <w:tcBorders>
                    <w:top w:val="single" w:color="auto" w:sz="4" w:space="0"/>
                  </w:tcBorders>
                  <w:vAlign w:val="center"/>
                </w:tcPr>
                <w:p>
                  <w:pPr>
                    <w:jc w:val="center"/>
                    <w:rPr>
                      <w:szCs w:val="21"/>
                    </w:rPr>
                  </w:pPr>
                  <w:r>
                    <w:rPr>
                      <w:szCs w:val="21"/>
                    </w:rPr>
                    <w:t>500</w:t>
                  </w:r>
                </w:p>
              </w:tc>
              <w:tc>
                <w:tcPr>
                  <w:tcW w:w="1395" w:type="dxa"/>
                  <w:tcBorders>
                    <w:top w:val="single" w:color="auto" w:sz="4" w:space="0"/>
                  </w:tcBorders>
                  <w:vAlign w:val="center"/>
                </w:tcPr>
                <w:p>
                  <w:pPr>
                    <w:jc w:val="center"/>
                    <w:rPr>
                      <w:szCs w:val="21"/>
                    </w:rPr>
                  </w:pPr>
                  <w:r>
                    <w:rPr>
                      <w:szCs w:val="21"/>
                    </w:rPr>
                    <w:t>150</w:t>
                  </w:r>
                </w:p>
              </w:tc>
              <w:tc>
                <w:tcPr>
                  <w:tcW w:w="1508" w:type="dxa"/>
                  <w:tcBorders>
                    <w:top w:val="single" w:color="auto" w:sz="4" w:space="0"/>
                  </w:tcBorders>
                  <w:vAlign w:val="center"/>
                </w:tcPr>
                <w:p>
                  <w:pPr>
                    <w:jc w:val="center"/>
                    <w:rPr>
                      <w:szCs w:val="21"/>
                    </w:rPr>
                  </w:pPr>
                  <w:r>
                    <w:rPr>
                      <w:szCs w:val="21"/>
                    </w:rPr>
                    <w:t>60</w:t>
                  </w:r>
                </w:p>
              </w:tc>
              <w:tc>
                <w:tcPr>
                  <w:tcW w:w="1943" w:type="dxa"/>
                  <w:vMerge w:val="restart"/>
                  <w:tcBorders>
                    <w:top w:val="single" w:color="auto" w:sz="4" w:space="0"/>
                  </w:tcBorders>
                  <w:vAlign w:val="center"/>
                </w:tcPr>
                <w:p>
                  <w:pPr>
                    <w:jc w:val="center"/>
                    <w:rPr>
                      <w:szCs w:val="21"/>
                    </w:rPr>
                  </w:pPr>
                  <w:r>
                    <w:rPr>
                      <w:szCs w:val="21"/>
                    </w:rPr>
                    <w:t>μg/m</w:t>
                  </w:r>
                  <w:r>
                    <w:rPr>
                      <w:szCs w:val="21"/>
                      <w:vertAlign w:val="superscript"/>
                    </w:rPr>
                    <w:t>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70" w:type="dxa"/>
                  <w:vAlign w:val="center"/>
                </w:tcPr>
                <w:p>
                  <w:pPr>
                    <w:jc w:val="center"/>
                    <w:rPr>
                      <w:szCs w:val="21"/>
                    </w:rPr>
                  </w:pPr>
                  <w:r>
                    <w:rPr>
                      <w:szCs w:val="21"/>
                    </w:rPr>
                    <w:t>NO</w:t>
                  </w:r>
                  <w:r>
                    <w:rPr>
                      <w:szCs w:val="21"/>
                      <w:vertAlign w:val="subscript"/>
                    </w:rPr>
                    <w:t>2</w:t>
                  </w:r>
                </w:p>
              </w:tc>
              <w:tc>
                <w:tcPr>
                  <w:tcW w:w="1438" w:type="dxa"/>
                  <w:vAlign w:val="center"/>
                </w:tcPr>
                <w:p>
                  <w:pPr>
                    <w:jc w:val="center"/>
                    <w:rPr>
                      <w:szCs w:val="21"/>
                    </w:rPr>
                  </w:pPr>
                  <w:r>
                    <w:rPr>
                      <w:szCs w:val="21"/>
                    </w:rPr>
                    <w:t>200</w:t>
                  </w:r>
                </w:p>
              </w:tc>
              <w:tc>
                <w:tcPr>
                  <w:tcW w:w="1395" w:type="dxa"/>
                  <w:vAlign w:val="center"/>
                </w:tcPr>
                <w:p>
                  <w:pPr>
                    <w:jc w:val="center"/>
                    <w:rPr>
                      <w:szCs w:val="21"/>
                    </w:rPr>
                  </w:pPr>
                  <w:r>
                    <w:rPr>
                      <w:szCs w:val="21"/>
                    </w:rPr>
                    <w:t>80</w:t>
                  </w:r>
                </w:p>
              </w:tc>
              <w:tc>
                <w:tcPr>
                  <w:tcW w:w="1508" w:type="dxa"/>
                  <w:vAlign w:val="center"/>
                </w:tcPr>
                <w:p>
                  <w:pPr>
                    <w:jc w:val="center"/>
                    <w:rPr>
                      <w:szCs w:val="21"/>
                    </w:rPr>
                  </w:pPr>
                  <w:r>
                    <w:rPr>
                      <w:szCs w:val="21"/>
                    </w:rPr>
                    <w:t>40</w:t>
                  </w:r>
                </w:p>
              </w:tc>
              <w:tc>
                <w:tcPr>
                  <w:tcW w:w="1943" w:type="dxa"/>
                  <w:vMerge w:val="continue"/>
                  <w:vAlign w:val="center"/>
                </w:tcPr>
                <w:p>
                  <w:pPr>
                    <w:jc w:val="center"/>
                    <w:rPr>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70" w:type="dxa"/>
                  <w:vAlign w:val="center"/>
                </w:tcPr>
                <w:p>
                  <w:pPr>
                    <w:jc w:val="center"/>
                    <w:rPr>
                      <w:szCs w:val="21"/>
                    </w:rPr>
                  </w:pPr>
                  <w:r>
                    <w:rPr>
                      <w:szCs w:val="21"/>
                    </w:rPr>
                    <w:t>PM</w:t>
                  </w:r>
                  <w:r>
                    <w:rPr>
                      <w:szCs w:val="21"/>
                      <w:vertAlign w:val="subscript"/>
                    </w:rPr>
                    <w:t>10</w:t>
                  </w:r>
                </w:p>
              </w:tc>
              <w:tc>
                <w:tcPr>
                  <w:tcW w:w="1438" w:type="dxa"/>
                  <w:vAlign w:val="center"/>
                </w:tcPr>
                <w:p>
                  <w:pPr>
                    <w:jc w:val="center"/>
                    <w:rPr>
                      <w:szCs w:val="21"/>
                    </w:rPr>
                  </w:pPr>
                  <w:r>
                    <w:rPr>
                      <w:szCs w:val="21"/>
                    </w:rPr>
                    <w:t>/</w:t>
                  </w:r>
                </w:p>
              </w:tc>
              <w:tc>
                <w:tcPr>
                  <w:tcW w:w="1395" w:type="dxa"/>
                  <w:vAlign w:val="center"/>
                </w:tcPr>
                <w:p>
                  <w:pPr>
                    <w:jc w:val="center"/>
                    <w:rPr>
                      <w:szCs w:val="21"/>
                    </w:rPr>
                  </w:pPr>
                  <w:r>
                    <w:rPr>
                      <w:szCs w:val="21"/>
                    </w:rPr>
                    <w:t>150</w:t>
                  </w:r>
                </w:p>
              </w:tc>
              <w:tc>
                <w:tcPr>
                  <w:tcW w:w="1508" w:type="dxa"/>
                  <w:vAlign w:val="center"/>
                </w:tcPr>
                <w:p>
                  <w:pPr>
                    <w:jc w:val="center"/>
                    <w:rPr>
                      <w:szCs w:val="21"/>
                    </w:rPr>
                  </w:pPr>
                  <w:r>
                    <w:rPr>
                      <w:szCs w:val="21"/>
                    </w:rPr>
                    <w:t>70</w:t>
                  </w:r>
                </w:p>
              </w:tc>
              <w:tc>
                <w:tcPr>
                  <w:tcW w:w="1943" w:type="dxa"/>
                  <w:vMerge w:val="continue"/>
                  <w:vAlign w:val="center"/>
                </w:tcPr>
                <w:p>
                  <w:pPr>
                    <w:jc w:val="center"/>
                    <w:rPr>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70" w:type="dxa"/>
                  <w:vAlign w:val="center"/>
                </w:tcPr>
                <w:p>
                  <w:pPr>
                    <w:jc w:val="center"/>
                    <w:rPr>
                      <w:szCs w:val="21"/>
                    </w:rPr>
                  </w:pPr>
                  <w:r>
                    <w:rPr>
                      <w:szCs w:val="21"/>
                    </w:rPr>
                    <w:t>PM</w:t>
                  </w:r>
                  <w:r>
                    <w:rPr>
                      <w:szCs w:val="21"/>
                      <w:vertAlign w:val="subscript"/>
                    </w:rPr>
                    <w:t>2.5</w:t>
                  </w:r>
                </w:p>
              </w:tc>
              <w:tc>
                <w:tcPr>
                  <w:tcW w:w="1438" w:type="dxa"/>
                  <w:vAlign w:val="center"/>
                </w:tcPr>
                <w:p>
                  <w:pPr>
                    <w:jc w:val="center"/>
                    <w:rPr>
                      <w:szCs w:val="21"/>
                    </w:rPr>
                  </w:pPr>
                  <w:r>
                    <w:rPr>
                      <w:szCs w:val="21"/>
                    </w:rPr>
                    <w:t>/</w:t>
                  </w:r>
                </w:p>
              </w:tc>
              <w:tc>
                <w:tcPr>
                  <w:tcW w:w="1395" w:type="dxa"/>
                  <w:vAlign w:val="center"/>
                </w:tcPr>
                <w:p>
                  <w:pPr>
                    <w:jc w:val="center"/>
                    <w:rPr>
                      <w:szCs w:val="21"/>
                    </w:rPr>
                  </w:pPr>
                  <w:r>
                    <w:rPr>
                      <w:szCs w:val="21"/>
                    </w:rPr>
                    <w:t>75</w:t>
                  </w:r>
                </w:p>
              </w:tc>
              <w:tc>
                <w:tcPr>
                  <w:tcW w:w="1508" w:type="dxa"/>
                  <w:vAlign w:val="center"/>
                </w:tcPr>
                <w:p>
                  <w:pPr>
                    <w:jc w:val="center"/>
                    <w:rPr>
                      <w:szCs w:val="21"/>
                    </w:rPr>
                  </w:pPr>
                  <w:r>
                    <w:rPr>
                      <w:szCs w:val="21"/>
                    </w:rPr>
                    <w:t>35</w:t>
                  </w:r>
                </w:p>
              </w:tc>
              <w:tc>
                <w:tcPr>
                  <w:tcW w:w="1943" w:type="dxa"/>
                  <w:vMerge w:val="continue"/>
                  <w:vAlign w:val="center"/>
                </w:tcPr>
                <w:p>
                  <w:pPr>
                    <w:jc w:val="center"/>
                    <w:rPr>
                      <w:szCs w:val="21"/>
                    </w:rPr>
                  </w:pPr>
                </w:p>
              </w:tc>
            </w:tr>
          </w:tbl>
          <w:p>
            <w:pPr>
              <w:spacing w:line="360" w:lineRule="auto"/>
              <w:rPr>
                <w:rFonts w:eastAsia="新宋体"/>
                <w:sz w:val="24"/>
              </w:rPr>
            </w:pPr>
          </w:p>
          <w:p>
            <w:pPr>
              <w:spacing w:line="360" w:lineRule="auto"/>
              <w:ind w:firstLine="240" w:firstLineChars="100"/>
              <w:rPr>
                <w:rFonts w:eastAsia="新宋体"/>
                <w:sz w:val="24"/>
              </w:rPr>
            </w:pPr>
            <w:r>
              <w:rPr>
                <w:rFonts w:eastAsia="新宋体"/>
                <w:sz w:val="24"/>
              </w:rPr>
              <w:t>声环境：《声环境质量标准》（GB3096--2008）2类标准；</w:t>
            </w:r>
          </w:p>
          <w:p>
            <w:pPr>
              <w:spacing w:line="360" w:lineRule="auto"/>
              <w:jc w:val="center"/>
              <w:rPr>
                <w:rFonts w:eastAsia="新宋体"/>
                <w:b/>
                <w:sz w:val="24"/>
              </w:rPr>
            </w:pPr>
            <w:r>
              <w:rPr>
                <w:rFonts w:eastAsia="新宋体"/>
                <w:b/>
                <w:sz w:val="24"/>
              </w:rPr>
              <w:t>表4-4  声环境质量标准      单位：dB(A)</w:t>
            </w:r>
          </w:p>
          <w:tbl>
            <w:tblPr>
              <w:tblStyle w:val="15"/>
              <w:tblW w:w="809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1"/>
              <w:gridCol w:w="3681"/>
              <w:gridCol w:w="1747"/>
              <w:gridCol w:w="17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exact"/>
                <w:jc w:val="center"/>
              </w:trPr>
              <w:tc>
                <w:tcPr>
                  <w:tcW w:w="921" w:type="dxa"/>
                  <w:shd w:val="clear" w:color="auto" w:fill="FFFFFF"/>
                  <w:vAlign w:val="center"/>
                </w:tcPr>
                <w:p>
                  <w:pPr>
                    <w:jc w:val="center"/>
                    <w:rPr>
                      <w:rFonts w:eastAsia="新宋体"/>
                      <w:b/>
                      <w:szCs w:val="21"/>
                    </w:rPr>
                  </w:pPr>
                  <w:r>
                    <w:rPr>
                      <w:rFonts w:eastAsia="新宋体"/>
                      <w:b/>
                      <w:szCs w:val="21"/>
                    </w:rPr>
                    <w:t>类别</w:t>
                  </w:r>
                </w:p>
              </w:tc>
              <w:tc>
                <w:tcPr>
                  <w:tcW w:w="3681" w:type="dxa"/>
                  <w:shd w:val="clear" w:color="auto" w:fill="FFFFFF"/>
                  <w:vAlign w:val="center"/>
                </w:tcPr>
                <w:p>
                  <w:pPr>
                    <w:jc w:val="center"/>
                    <w:rPr>
                      <w:rFonts w:eastAsia="新宋体"/>
                      <w:b/>
                      <w:szCs w:val="21"/>
                    </w:rPr>
                  </w:pPr>
                  <w:r>
                    <w:rPr>
                      <w:rFonts w:eastAsia="新宋体"/>
                      <w:b/>
                      <w:szCs w:val="21"/>
                    </w:rPr>
                    <w:t>适用区域</w:t>
                  </w:r>
                </w:p>
              </w:tc>
              <w:tc>
                <w:tcPr>
                  <w:tcW w:w="1747" w:type="dxa"/>
                  <w:shd w:val="clear" w:color="auto" w:fill="FFFFFF"/>
                  <w:vAlign w:val="center"/>
                </w:tcPr>
                <w:p>
                  <w:pPr>
                    <w:jc w:val="center"/>
                    <w:rPr>
                      <w:rFonts w:eastAsia="新宋体"/>
                      <w:b/>
                      <w:szCs w:val="21"/>
                    </w:rPr>
                  </w:pPr>
                  <w:r>
                    <w:rPr>
                      <w:rFonts w:eastAsia="新宋体"/>
                      <w:b/>
                      <w:szCs w:val="21"/>
                    </w:rPr>
                    <w:t>昼间</w:t>
                  </w:r>
                </w:p>
              </w:tc>
              <w:tc>
                <w:tcPr>
                  <w:tcW w:w="1748" w:type="dxa"/>
                  <w:shd w:val="clear" w:color="auto" w:fill="FFFFFF"/>
                  <w:vAlign w:val="center"/>
                </w:tcPr>
                <w:p>
                  <w:pPr>
                    <w:jc w:val="center"/>
                    <w:rPr>
                      <w:rFonts w:eastAsia="新宋体"/>
                      <w:b/>
                      <w:szCs w:val="21"/>
                    </w:rPr>
                  </w:pPr>
                  <w:r>
                    <w:rPr>
                      <w:rFonts w:eastAsia="新宋体"/>
                      <w:b/>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exact"/>
                <w:jc w:val="center"/>
              </w:trPr>
              <w:tc>
                <w:tcPr>
                  <w:tcW w:w="921" w:type="dxa"/>
                  <w:vAlign w:val="center"/>
                </w:tcPr>
                <w:p>
                  <w:pPr>
                    <w:jc w:val="center"/>
                    <w:rPr>
                      <w:rFonts w:eastAsia="新宋体"/>
                      <w:szCs w:val="21"/>
                    </w:rPr>
                  </w:pPr>
                  <w:r>
                    <w:rPr>
                      <w:rFonts w:eastAsia="新宋体"/>
                      <w:szCs w:val="21"/>
                    </w:rPr>
                    <w:t>2</w:t>
                  </w:r>
                </w:p>
              </w:tc>
              <w:tc>
                <w:tcPr>
                  <w:tcW w:w="3681" w:type="dxa"/>
                  <w:vAlign w:val="center"/>
                </w:tcPr>
                <w:p>
                  <w:pPr>
                    <w:jc w:val="center"/>
                    <w:rPr>
                      <w:rFonts w:eastAsia="新宋体"/>
                      <w:szCs w:val="21"/>
                    </w:rPr>
                  </w:pPr>
                  <w:r>
                    <w:rPr>
                      <w:rFonts w:eastAsia="新宋体"/>
                      <w:szCs w:val="21"/>
                    </w:rPr>
                    <w:t>居住、商业、工业混杂区</w:t>
                  </w:r>
                </w:p>
              </w:tc>
              <w:tc>
                <w:tcPr>
                  <w:tcW w:w="1747" w:type="dxa"/>
                  <w:vAlign w:val="center"/>
                </w:tcPr>
                <w:p>
                  <w:pPr>
                    <w:jc w:val="center"/>
                    <w:rPr>
                      <w:rFonts w:eastAsia="新宋体"/>
                      <w:szCs w:val="21"/>
                    </w:rPr>
                  </w:pPr>
                  <w:r>
                    <w:rPr>
                      <w:rFonts w:eastAsia="新宋体"/>
                      <w:szCs w:val="21"/>
                    </w:rPr>
                    <w:t>60</w:t>
                  </w:r>
                </w:p>
              </w:tc>
              <w:tc>
                <w:tcPr>
                  <w:tcW w:w="1748" w:type="dxa"/>
                  <w:vAlign w:val="center"/>
                </w:tcPr>
                <w:p>
                  <w:pPr>
                    <w:jc w:val="center"/>
                    <w:rPr>
                      <w:rFonts w:eastAsia="新宋体"/>
                      <w:szCs w:val="21"/>
                    </w:rPr>
                  </w:pPr>
                  <w:r>
                    <w:rPr>
                      <w:rFonts w:eastAsia="新宋体"/>
                      <w:szCs w:val="21"/>
                    </w:rPr>
                    <w:t>50</w:t>
                  </w:r>
                </w:p>
              </w:tc>
            </w:tr>
          </w:tbl>
          <w:p>
            <w:pPr>
              <w:spacing w:line="360" w:lineRule="auto"/>
              <w:textAlignment w:val="baseline"/>
              <w:rPr>
                <w:sz w:val="24"/>
              </w:rPr>
            </w:pPr>
          </w:p>
          <w:p>
            <w:pPr>
              <w:spacing w:line="360" w:lineRule="auto"/>
              <w:textAlignment w:val="baseline"/>
              <w:rPr>
                <w:sz w:val="24"/>
              </w:rPr>
            </w:pPr>
          </w:p>
          <w:p>
            <w:pPr>
              <w:spacing w:afterLines="140" w:line="360" w:lineRule="auto"/>
              <w:textAlignment w:val="baseline"/>
              <w:rPr>
                <w:sz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64" w:hRule="atLeast"/>
          <w:jc w:val="center"/>
        </w:trPr>
        <w:tc>
          <w:tcPr>
            <w:tcW w:w="651" w:type="dxa"/>
            <w:noWrap/>
            <w:vAlign w:val="center"/>
          </w:tcPr>
          <w:p>
            <w:pPr>
              <w:ind w:firstLine="118" w:firstLineChars="49"/>
              <w:rPr>
                <w:b/>
                <w:sz w:val="24"/>
              </w:rPr>
            </w:pPr>
            <w:r>
              <w:rPr>
                <w:b/>
                <w:sz w:val="24"/>
              </w:rPr>
              <w:t>污</w:t>
            </w:r>
          </w:p>
          <w:p>
            <w:pPr>
              <w:jc w:val="center"/>
              <w:rPr>
                <w:b/>
                <w:sz w:val="24"/>
              </w:rPr>
            </w:pPr>
            <w:r>
              <w:rPr>
                <w:b/>
                <w:sz w:val="24"/>
              </w:rPr>
              <w:t>染</w:t>
            </w:r>
          </w:p>
          <w:p>
            <w:pPr>
              <w:jc w:val="center"/>
              <w:rPr>
                <w:b/>
                <w:sz w:val="24"/>
              </w:rPr>
            </w:pPr>
            <w:r>
              <w:rPr>
                <w:b/>
                <w:sz w:val="24"/>
              </w:rPr>
              <w:t>物</w:t>
            </w:r>
          </w:p>
          <w:p>
            <w:pPr>
              <w:jc w:val="center"/>
              <w:rPr>
                <w:b/>
                <w:sz w:val="24"/>
              </w:rPr>
            </w:pPr>
            <w:r>
              <w:rPr>
                <w:b/>
                <w:sz w:val="24"/>
              </w:rPr>
              <w:t>排</w:t>
            </w:r>
          </w:p>
          <w:p>
            <w:pPr>
              <w:jc w:val="center"/>
              <w:rPr>
                <w:b/>
                <w:sz w:val="24"/>
              </w:rPr>
            </w:pPr>
            <w:r>
              <w:rPr>
                <w:b/>
                <w:sz w:val="24"/>
              </w:rPr>
              <w:t>放</w:t>
            </w:r>
          </w:p>
          <w:p>
            <w:pPr>
              <w:jc w:val="center"/>
              <w:rPr>
                <w:b/>
                <w:sz w:val="24"/>
              </w:rPr>
            </w:pPr>
            <w:r>
              <w:rPr>
                <w:b/>
                <w:sz w:val="24"/>
              </w:rPr>
              <w:t>标</w:t>
            </w:r>
          </w:p>
          <w:p>
            <w:pPr>
              <w:jc w:val="center"/>
              <w:rPr>
                <w:sz w:val="28"/>
              </w:rPr>
            </w:pPr>
            <w:r>
              <w:rPr>
                <w:b/>
                <w:sz w:val="24"/>
              </w:rPr>
              <w:t>准</w:t>
            </w:r>
          </w:p>
        </w:tc>
        <w:tc>
          <w:tcPr>
            <w:tcW w:w="8705" w:type="dxa"/>
            <w:noWrap/>
          </w:tcPr>
          <w:p>
            <w:pPr>
              <w:spacing w:line="360" w:lineRule="auto"/>
              <w:ind w:firstLine="120" w:firstLineChars="50"/>
              <w:rPr>
                <w:sz w:val="24"/>
              </w:rPr>
            </w:pPr>
            <w:r>
              <w:rPr>
                <w:rFonts w:hint="eastAsia"/>
                <w:b/>
                <w:sz w:val="24"/>
              </w:rPr>
              <w:t>1</w:t>
            </w:r>
            <w:r>
              <w:rPr>
                <w:b/>
                <w:sz w:val="24"/>
              </w:rPr>
              <w:t>、废   气：</w:t>
            </w:r>
            <w:r>
              <w:rPr>
                <w:rFonts w:hint="eastAsia"/>
                <w:sz w:val="24"/>
              </w:rPr>
              <w:t>《山东省建材工业大气污染物排放标准》（DB 37/2373—2018）表3无组织排放限值</w:t>
            </w:r>
            <w:r>
              <w:rPr>
                <w:sz w:val="24"/>
              </w:rPr>
              <w:t xml:space="preserve">； </w:t>
            </w:r>
          </w:p>
          <w:p>
            <w:pPr>
              <w:spacing w:line="360" w:lineRule="auto"/>
              <w:ind w:left="6503" w:leftChars="114" w:hanging="6264" w:hangingChars="2600"/>
              <w:jc w:val="center"/>
              <w:rPr>
                <w:b/>
                <w:sz w:val="24"/>
              </w:rPr>
            </w:pPr>
            <w:r>
              <w:rPr>
                <w:b/>
                <w:sz w:val="24"/>
              </w:rPr>
              <w:t>表4-5 大气污染物排放标准</w:t>
            </w:r>
          </w:p>
          <w:tbl>
            <w:tblPr>
              <w:tblStyle w:val="15"/>
              <w:tblW w:w="850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721"/>
              <w:gridCol w:w="47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3721" w:type="dxa"/>
                  <w:vAlign w:val="center"/>
                </w:tcPr>
                <w:p>
                  <w:pPr>
                    <w:jc w:val="center"/>
                    <w:rPr>
                      <w:szCs w:val="21"/>
                    </w:rPr>
                  </w:pPr>
                  <w:r>
                    <w:rPr>
                      <w:szCs w:val="21"/>
                    </w:rPr>
                    <w:t>污染物</w:t>
                  </w:r>
                </w:p>
              </w:tc>
              <w:tc>
                <w:tcPr>
                  <w:tcW w:w="4784" w:type="dxa"/>
                  <w:vAlign w:val="center"/>
                </w:tcPr>
                <w:p>
                  <w:pPr>
                    <w:jc w:val="center"/>
                    <w:rPr>
                      <w:szCs w:val="21"/>
                    </w:rPr>
                  </w:pPr>
                  <w:r>
                    <w:rPr>
                      <w:szCs w:val="21"/>
                    </w:rPr>
                    <w:t>无组织排放监控浓度限值mg/m</w:t>
                  </w:r>
                  <w:r>
                    <w:rPr>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3721" w:type="dxa"/>
                  <w:vAlign w:val="center"/>
                </w:tcPr>
                <w:p>
                  <w:pPr>
                    <w:jc w:val="center"/>
                    <w:rPr>
                      <w:bCs/>
                      <w:szCs w:val="21"/>
                    </w:rPr>
                  </w:pPr>
                  <w:r>
                    <w:rPr>
                      <w:bCs/>
                      <w:szCs w:val="21"/>
                    </w:rPr>
                    <w:t>颗粒物</w:t>
                  </w:r>
                </w:p>
              </w:tc>
              <w:tc>
                <w:tcPr>
                  <w:tcW w:w="4784" w:type="dxa"/>
                  <w:vAlign w:val="center"/>
                </w:tcPr>
                <w:p>
                  <w:pPr>
                    <w:jc w:val="center"/>
                    <w:rPr>
                      <w:bCs/>
                      <w:szCs w:val="21"/>
                    </w:rPr>
                  </w:pPr>
                  <w:r>
                    <w:rPr>
                      <w:bCs/>
                      <w:szCs w:val="21"/>
                    </w:rPr>
                    <w:t>1.0</w:t>
                  </w:r>
                </w:p>
              </w:tc>
            </w:tr>
          </w:tbl>
          <w:p>
            <w:pPr>
              <w:spacing w:line="360" w:lineRule="auto"/>
              <w:ind w:firstLine="120" w:firstLineChars="50"/>
              <w:rPr>
                <w:b/>
                <w:sz w:val="24"/>
              </w:rPr>
            </w:pPr>
            <w:r>
              <w:rPr>
                <w:rFonts w:hint="eastAsia"/>
                <w:b/>
                <w:sz w:val="24"/>
              </w:rPr>
              <w:t>3</w:t>
            </w:r>
            <w:r>
              <w:rPr>
                <w:b/>
                <w:sz w:val="24"/>
              </w:rPr>
              <w:t>、噪   声：</w:t>
            </w:r>
            <w:r>
              <w:rPr>
                <w:sz w:val="24"/>
              </w:rPr>
              <w:t>执行《工业企业厂界环境噪声排放标准》（GB12348-2008）2类标准，具体见下表。</w:t>
            </w:r>
          </w:p>
          <w:p>
            <w:pPr>
              <w:ind w:firstLine="238"/>
              <w:jc w:val="center"/>
              <w:rPr>
                <w:b/>
                <w:sz w:val="24"/>
              </w:rPr>
            </w:pPr>
            <w:r>
              <w:rPr>
                <w:b/>
                <w:sz w:val="24"/>
              </w:rPr>
              <w:t>　表4-</w:t>
            </w:r>
            <w:r>
              <w:rPr>
                <w:rFonts w:hint="eastAsia"/>
                <w:b/>
                <w:sz w:val="24"/>
              </w:rPr>
              <w:t>6</w:t>
            </w:r>
            <w:r>
              <w:rPr>
                <w:b/>
                <w:sz w:val="24"/>
              </w:rPr>
              <w:t xml:space="preserve">  厂界噪声执行标准    单位：dB(A)</w:t>
            </w:r>
          </w:p>
          <w:tbl>
            <w:tblPr>
              <w:tblStyle w:val="15"/>
              <w:tblpPr w:leftFromText="180" w:rightFromText="180" w:vertAnchor="text" w:horzAnchor="margin" w:tblpXSpec="center" w:tblpY="158"/>
              <w:tblOverlap w:val="never"/>
              <w:tblW w:w="8459" w:type="dxa"/>
              <w:tblInd w:w="0" w:type="dxa"/>
              <w:tblBorders>
                <w:top w:val="single" w:color="auto" w:sz="12" w:space="0"/>
                <w:left w:val="single" w:color="auto" w:sz="8" w:space="0"/>
                <w:bottom w:val="single" w:color="auto" w:sz="12"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595"/>
              <w:gridCol w:w="1721"/>
              <w:gridCol w:w="1117"/>
              <w:gridCol w:w="930"/>
              <w:gridCol w:w="1049"/>
              <w:gridCol w:w="1047"/>
            </w:tblGrid>
            <w:tr>
              <w:tblPrEx>
                <w:tblBorders>
                  <w:top w:val="single" w:color="auto" w:sz="12" w:space="0"/>
                  <w:left w:val="single" w:color="auto" w:sz="8" w:space="0"/>
                  <w:bottom w:val="single" w:color="auto" w:sz="12"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95" w:type="dxa"/>
                  <w:tcBorders>
                    <w:left w:val="single" w:color="auto" w:sz="12" w:space="0"/>
                  </w:tcBorders>
                  <w:vAlign w:val="center"/>
                </w:tcPr>
                <w:p>
                  <w:pPr>
                    <w:pStyle w:val="9"/>
                    <w:ind w:left="16"/>
                    <w:jc w:val="center"/>
                    <w:rPr>
                      <w:rFonts w:ascii="Times New Roman" w:hAnsi="Times New Roman"/>
                      <w:b/>
                      <w:sz w:val="21"/>
                      <w:szCs w:val="21"/>
                    </w:rPr>
                  </w:pPr>
                  <w:r>
                    <w:rPr>
                      <w:rFonts w:ascii="Times New Roman" w:hAnsi="Times New Roman"/>
                      <w:b/>
                      <w:sz w:val="21"/>
                      <w:szCs w:val="21"/>
                    </w:rPr>
                    <w:t>名  称</w:t>
                  </w:r>
                </w:p>
              </w:tc>
              <w:tc>
                <w:tcPr>
                  <w:tcW w:w="1721" w:type="dxa"/>
                  <w:vAlign w:val="center"/>
                </w:tcPr>
                <w:p>
                  <w:pPr>
                    <w:pStyle w:val="9"/>
                    <w:ind w:left="16"/>
                    <w:jc w:val="center"/>
                    <w:rPr>
                      <w:rFonts w:ascii="Times New Roman" w:hAnsi="Times New Roman"/>
                      <w:b/>
                      <w:sz w:val="21"/>
                      <w:szCs w:val="21"/>
                    </w:rPr>
                  </w:pPr>
                  <w:r>
                    <w:rPr>
                      <w:rFonts w:ascii="Times New Roman" w:hAnsi="Times New Roman"/>
                      <w:b/>
                      <w:sz w:val="21"/>
                      <w:szCs w:val="21"/>
                    </w:rPr>
                    <w:t>标准文号</w:t>
                  </w:r>
                </w:p>
              </w:tc>
              <w:tc>
                <w:tcPr>
                  <w:tcW w:w="1117" w:type="dxa"/>
                  <w:vAlign w:val="center"/>
                </w:tcPr>
                <w:p>
                  <w:pPr>
                    <w:pStyle w:val="9"/>
                    <w:ind w:left="16"/>
                    <w:jc w:val="center"/>
                    <w:rPr>
                      <w:rFonts w:ascii="Times New Roman" w:hAnsi="Times New Roman"/>
                      <w:b/>
                      <w:sz w:val="21"/>
                      <w:szCs w:val="21"/>
                    </w:rPr>
                  </w:pPr>
                  <w:r>
                    <w:rPr>
                      <w:rFonts w:ascii="Times New Roman" w:hAnsi="Times New Roman"/>
                      <w:b/>
                      <w:sz w:val="21"/>
                      <w:szCs w:val="21"/>
                    </w:rPr>
                    <w:t>单位</w:t>
                  </w:r>
                </w:p>
              </w:tc>
              <w:tc>
                <w:tcPr>
                  <w:tcW w:w="930" w:type="dxa"/>
                  <w:vAlign w:val="center"/>
                </w:tcPr>
                <w:p>
                  <w:pPr>
                    <w:pStyle w:val="9"/>
                    <w:ind w:left="16"/>
                    <w:jc w:val="center"/>
                    <w:rPr>
                      <w:rFonts w:ascii="Times New Roman" w:hAnsi="Times New Roman"/>
                      <w:b/>
                      <w:sz w:val="21"/>
                      <w:szCs w:val="21"/>
                    </w:rPr>
                  </w:pPr>
                  <w:r>
                    <w:rPr>
                      <w:rFonts w:ascii="Times New Roman" w:hAnsi="Times New Roman"/>
                      <w:b/>
                      <w:sz w:val="21"/>
                      <w:szCs w:val="21"/>
                    </w:rPr>
                    <w:t>级别</w:t>
                  </w:r>
                </w:p>
              </w:tc>
              <w:tc>
                <w:tcPr>
                  <w:tcW w:w="2096" w:type="dxa"/>
                  <w:gridSpan w:val="2"/>
                  <w:tcBorders>
                    <w:right w:val="single" w:color="auto" w:sz="12" w:space="0"/>
                  </w:tcBorders>
                  <w:vAlign w:val="center"/>
                </w:tcPr>
                <w:p>
                  <w:pPr>
                    <w:pStyle w:val="9"/>
                    <w:ind w:left="16"/>
                    <w:jc w:val="center"/>
                    <w:rPr>
                      <w:rFonts w:ascii="Times New Roman" w:hAnsi="Times New Roman"/>
                      <w:b/>
                      <w:sz w:val="21"/>
                      <w:szCs w:val="21"/>
                    </w:rPr>
                  </w:pPr>
                  <w:r>
                    <w:rPr>
                      <w:rFonts w:ascii="Times New Roman" w:hAnsi="Times New Roman"/>
                      <w:b/>
                      <w:sz w:val="21"/>
                      <w:szCs w:val="21"/>
                    </w:rPr>
                    <w:t>标准限值</w:t>
                  </w:r>
                </w:p>
              </w:tc>
            </w:tr>
            <w:tr>
              <w:tblPrEx>
                <w:tblBorders>
                  <w:top w:val="single" w:color="auto" w:sz="12" w:space="0"/>
                  <w:left w:val="single" w:color="auto" w:sz="8" w:space="0"/>
                  <w:bottom w:val="single" w:color="auto" w:sz="12"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95" w:type="dxa"/>
                  <w:vMerge w:val="restart"/>
                  <w:tcBorders>
                    <w:left w:val="single" w:color="auto" w:sz="12" w:space="0"/>
                  </w:tcBorders>
                  <w:vAlign w:val="center"/>
                </w:tcPr>
                <w:p>
                  <w:pPr>
                    <w:pStyle w:val="9"/>
                    <w:ind w:left="17"/>
                    <w:jc w:val="center"/>
                    <w:rPr>
                      <w:rFonts w:ascii="Times New Roman" w:hAnsi="Times New Roman"/>
                      <w:sz w:val="21"/>
                      <w:szCs w:val="21"/>
                    </w:rPr>
                  </w:pPr>
                  <w:r>
                    <w:rPr>
                      <w:rFonts w:ascii="Times New Roman" w:hAnsi="Times New Roman"/>
                      <w:sz w:val="21"/>
                      <w:szCs w:val="21"/>
                    </w:rPr>
                    <w:t>工业企业厂界环境噪声排放限值</w:t>
                  </w:r>
                </w:p>
              </w:tc>
              <w:tc>
                <w:tcPr>
                  <w:tcW w:w="1721" w:type="dxa"/>
                  <w:vMerge w:val="restart"/>
                  <w:vAlign w:val="center"/>
                </w:tcPr>
                <w:p>
                  <w:pPr>
                    <w:pStyle w:val="9"/>
                    <w:ind w:left="16"/>
                    <w:jc w:val="center"/>
                    <w:rPr>
                      <w:rFonts w:ascii="Times New Roman" w:hAnsi="Times New Roman"/>
                      <w:sz w:val="21"/>
                      <w:szCs w:val="21"/>
                    </w:rPr>
                  </w:pPr>
                  <w:r>
                    <w:rPr>
                      <w:rFonts w:ascii="Times New Roman" w:hAnsi="Times New Roman"/>
                      <w:sz w:val="21"/>
                      <w:szCs w:val="21"/>
                    </w:rPr>
                    <w:t>GB12348-2008</w:t>
                  </w:r>
                </w:p>
              </w:tc>
              <w:tc>
                <w:tcPr>
                  <w:tcW w:w="1117" w:type="dxa"/>
                  <w:vMerge w:val="restart"/>
                  <w:vAlign w:val="center"/>
                </w:tcPr>
                <w:p>
                  <w:pPr>
                    <w:pStyle w:val="9"/>
                    <w:ind w:left="16"/>
                    <w:jc w:val="center"/>
                    <w:rPr>
                      <w:rFonts w:ascii="Times New Roman" w:hAnsi="Times New Roman"/>
                      <w:sz w:val="21"/>
                      <w:szCs w:val="21"/>
                    </w:rPr>
                  </w:pPr>
                  <w:r>
                    <w:rPr>
                      <w:rFonts w:ascii="Times New Roman" w:hAnsi="Times New Roman"/>
                      <w:sz w:val="21"/>
                      <w:szCs w:val="21"/>
                    </w:rPr>
                    <w:t>dB(A)</w:t>
                  </w:r>
                </w:p>
              </w:tc>
              <w:tc>
                <w:tcPr>
                  <w:tcW w:w="930" w:type="dxa"/>
                  <w:vMerge w:val="restart"/>
                  <w:vAlign w:val="center"/>
                </w:tcPr>
                <w:p>
                  <w:pPr>
                    <w:pStyle w:val="9"/>
                    <w:jc w:val="center"/>
                    <w:rPr>
                      <w:rFonts w:ascii="Times New Roman" w:hAnsi="Times New Roman"/>
                      <w:sz w:val="21"/>
                      <w:szCs w:val="21"/>
                    </w:rPr>
                  </w:pPr>
                  <w:r>
                    <w:rPr>
                      <w:rFonts w:ascii="Times New Roman" w:hAnsi="Times New Roman"/>
                      <w:sz w:val="21"/>
                      <w:szCs w:val="21"/>
                    </w:rPr>
                    <w:t>2类</w:t>
                  </w:r>
                </w:p>
              </w:tc>
              <w:tc>
                <w:tcPr>
                  <w:tcW w:w="1049" w:type="dxa"/>
                  <w:vAlign w:val="center"/>
                </w:tcPr>
                <w:p>
                  <w:pPr>
                    <w:pStyle w:val="9"/>
                    <w:ind w:left="16"/>
                    <w:jc w:val="center"/>
                    <w:rPr>
                      <w:rFonts w:ascii="Times New Roman" w:hAnsi="Times New Roman"/>
                      <w:sz w:val="21"/>
                      <w:szCs w:val="21"/>
                    </w:rPr>
                  </w:pPr>
                  <w:r>
                    <w:rPr>
                      <w:rFonts w:ascii="Times New Roman" w:hAnsi="Times New Roman"/>
                      <w:sz w:val="21"/>
                      <w:szCs w:val="21"/>
                    </w:rPr>
                    <w:t>昼间</w:t>
                  </w:r>
                </w:p>
              </w:tc>
              <w:tc>
                <w:tcPr>
                  <w:tcW w:w="1047" w:type="dxa"/>
                  <w:tcBorders>
                    <w:right w:val="single" w:color="auto" w:sz="12" w:space="0"/>
                  </w:tcBorders>
                  <w:vAlign w:val="center"/>
                </w:tcPr>
                <w:p>
                  <w:pPr>
                    <w:pStyle w:val="9"/>
                    <w:ind w:left="16"/>
                    <w:jc w:val="center"/>
                    <w:rPr>
                      <w:rFonts w:ascii="Times New Roman" w:hAnsi="Times New Roman"/>
                      <w:sz w:val="21"/>
                      <w:szCs w:val="21"/>
                    </w:rPr>
                  </w:pPr>
                  <w:r>
                    <w:rPr>
                      <w:rFonts w:ascii="Times New Roman" w:hAnsi="Times New Roman"/>
                      <w:sz w:val="21"/>
                      <w:szCs w:val="21"/>
                    </w:rPr>
                    <w:t>夜间</w:t>
                  </w:r>
                </w:p>
              </w:tc>
            </w:tr>
            <w:tr>
              <w:tblPrEx>
                <w:tblBorders>
                  <w:top w:val="single" w:color="auto" w:sz="12" w:space="0"/>
                  <w:left w:val="single" w:color="auto" w:sz="8" w:space="0"/>
                  <w:bottom w:val="single" w:color="auto" w:sz="12"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95" w:type="dxa"/>
                  <w:vMerge w:val="continue"/>
                  <w:tcBorders>
                    <w:left w:val="single" w:color="auto" w:sz="12" w:space="0"/>
                  </w:tcBorders>
                  <w:vAlign w:val="center"/>
                </w:tcPr>
                <w:p>
                  <w:pPr>
                    <w:pStyle w:val="9"/>
                    <w:jc w:val="center"/>
                    <w:rPr>
                      <w:rFonts w:ascii="Times New Roman" w:hAnsi="Times New Roman"/>
                      <w:sz w:val="21"/>
                      <w:szCs w:val="21"/>
                    </w:rPr>
                  </w:pPr>
                </w:p>
              </w:tc>
              <w:tc>
                <w:tcPr>
                  <w:tcW w:w="1721" w:type="dxa"/>
                  <w:vMerge w:val="continue"/>
                  <w:vAlign w:val="center"/>
                </w:tcPr>
                <w:p>
                  <w:pPr>
                    <w:pStyle w:val="9"/>
                    <w:jc w:val="center"/>
                    <w:rPr>
                      <w:rFonts w:ascii="Times New Roman" w:hAnsi="Times New Roman"/>
                      <w:sz w:val="21"/>
                      <w:szCs w:val="21"/>
                    </w:rPr>
                  </w:pPr>
                </w:p>
              </w:tc>
              <w:tc>
                <w:tcPr>
                  <w:tcW w:w="1117" w:type="dxa"/>
                  <w:vMerge w:val="continue"/>
                  <w:vAlign w:val="center"/>
                </w:tcPr>
                <w:p>
                  <w:pPr>
                    <w:pStyle w:val="9"/>
                    <w:jc w:val="center"/>
                    <w:rPr>
                      <w:rFonts w:ascii="Times New Roman" w:hAnsi="Times New Roman"/>
                      <w:sz w:val="21"/>
                      <w:szCs w:val="21"/>
                    </w:rPr>
                  </w:pPr>
                </w:p>
              </w:tc>
              <w:tc>
                <w:tcPr>
                  <w:tcW w:w="930" w:type="dxa"/>
                  <w:vMerge w:val="continue"/>
                  <w:vAlign w:val="center"/>
                </w:tcPr>
                <w:p>
                  <w:pPr>
                    <w:pStyle w:val="9"/>
                    <w:jc w:val="center"/>
                    <w:rPr>
                      <w:rFonts w:ascii="Times New Roman" w:hAnsi="Times New Roman"/>
                      <w:sz w:val="21"/>
                      <w:szCs w:val="21"/>
                    </w:rPr>
                  </w:pPr>
                </w:p>
              </w:tc>
              <w:tc>
                <w:tcPr>
                  <w:tcW w:w="1049" w:type="dxa"/>
                  <w:vAlign w:val="center"/>
                </w:tcPr>
                <w:p>
                  <w:pPr>
                    <w:pStyle w:val="9"/>
                    <w:jc w:val="center"/>
                    <w:rPr>
                      <w:rFonts w:ascii="Times New Roman" w:hAnsi="Times New Roman"/>
                      <w:sz w:val="21"/>
                      <w:szCs w:val="21"/>
                    </w:rPr>
                  </w:pPr>
                  <w:r>
                    <w:rPr>
                      <w:rFonts w:ascii="Times New Roman" w:hAnsi="Times New Roman"/>
                      <w:sz w:val="21"/>
                      <w:szCs w:val="21"/>
                    </w:rPr>
                    <w:t>60</w:t>
                  </w:r>
                </w:p>
              </w:tc>
              <w:tc>
                <w:tcPr>
                  <w:tcW w:w="1047" w:type="dxa"/>
                  <w:tcBorders>
                    <w:right w:val="single" w:color="auto" w:sz="12" w:space="0"/>
                  </w:tcBorders>
                  <w:vAlign w:val="center"/>
                </w:tcPr>
                <w:p>
                  <w:pPr>
                    <w:pStyle w:val="9"/>
                    <w:jc w:val="center"/>
                    <w:rPr>
                      <w:rFonts w:ascii="Times New Roman" w:hAnsi="Times New Roman"/>
                      <w:sz w:val="21"/>
                      <w:szCs w:val="21"/>
                    </w:rPr>
                  </w:pPr>
                  <w:r>
                    <w:rPr>
                      <w:rFonts w:ascii="Times New Roman" w:hAnsi="Times New Roman"/>
                      <w:sz w:val="21"/>
                      <w:szCs w:val="21"/>
                    </w:rPr>
                    <w:t>50</w:t>
                  </w:r>
                </w:p>
              </w:tc>
            </w:tr>
          </w:tbl>
          <w:p>
            <w:pPr>
              <w:spacing w:beforeLines="50" w:line="360" w:lineRule="auto"/>
              <w:ind w:firstLine="120" w:firstLineChars="50"/>
              <w:rPr>
                <w:bCs/>
                <w:sz w:val="24"/>
              </w:rPr>
            </w:pPr>
            <w:r>
              <w:rPr>
                <w:rFonts w:hint="eastAsia"/>
                <w:b/>
                <w:sz w:val="24"/>
              </w:rPr>
              <w:t>4、</w:t>
            </w:r>
            <w:r>
              <w:rPr>
                <w:b/>
                <w:sz w:val="24"/>
              </w:rPr>
              <w:t>固体废物：</w:t>
            </w:r>
            <w:r>
              <w:rPr>
                <w:sz w:val="24"/>
              </w:rPr>
              <w:t>《一般工业固体废物贮存、处置场污染控制标准》（GB18599-2001）</w:t>
            </w:r>
            <w:r>
              <w:rPr>
                <w:bCs/>
                <w:sz w:val="24"/>
              </w:rPr>
              <w:t>及修改单</w:t>
            </w:r>
            <w:r>
              <w:rPr>
                <w:rFonts w:hint="eastAsia"/>
                <w:bCs/>
                <w:sz w:val="24"/>
              </w:rPr>
              <w:t>；</w:t>
            </w:r>
            <w:r>
              <w:rPr>
                <w:rFonts w:hAnsi="宋体"/>
                <w:bCs/>
                <w:sz w:val="24"/>
              </w:rPr>
              <w:t>《危险废物贮存污染控制标准》（</w:t>
            </w:r>
            <w:r>
              <w:rPr>
                <w:bCs/>
                <w:sz w:val="24"/>
              </w:rPr>
              <w:t>GB18597-2001</w:t>
            </w:r>
            <w:r>
              <w:rPr>
                <w:rFonts w:hAnsi="宋体"/>
                <w:bCs/>
                <w:sz w:val="24"/>
              </w:rPr>
              <w:t>）及修改单</w:t>
            </w:r>
            <w:r>
              <w:rPr>
                <w:rFonts w:hint="eastAsia"/>
                <w:sz w:val="24"/>
              </w:rPr>
              <w:t>。</w:t>
            </w:r>
          </w:p>
          <w:p>
            <w:pPr>
              <w:spacing w:line="360" w:lineRule="auto"/>
              <w:ind w:firstLine="480" w:firstLineChars="200"/>
              <w:rPr>
                <w:sz w:val="24"/>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859" w:hRule="atLeast"/>
          <w:jc w:val="center"/>
        </w:trPr>
        <w:tc>
          <w:tcPr>
            <w:tcW w:w="651" w:type="dxa"/>
            <w:noWrap/>
            <w:vAlign w:val="center"/>
          </w:tcPr>
          <w:p>
            <w:pPr>
              <w:pStyle w:val="7"/>
              <w:spacing w:after="0"/>
              <w:jc w:val="center"/>
              <w:rPr>
                <w:b/>
                <w:sz w:val="24"/>
              </w:rPr>
            </w:pPr>
            <w:r>
              <w:rPr>
                <w:b/>
                <w:sz w:val="24"/>
              </w:rPr>
              <w:t>总</w:t>
            </w:r>
          </w:p>
          <w:p>
            <w:pPr>
              <w:pStyle w:val="7"/>
              <w:spacing w:after="0"/>
              <w:jc w:val="center"/>
              <w:rPr>
                <w:b/>
                <w:sz w:val="24"/>
              </w:rPr>
            </w:pPr>
            <w:r>
              <w:rPr>
                <w:b/>
                <w:sz w:val="24"/>
              </w:rPr>
              <w:t>量</w:t>
            </w:r>
          </w:p>
          <w:p>
            <w:pPr>
              <w:pStyle w:val="7"/>
              <w:spacing w:after="0"/>
              <w:jc w:val="center"/>
              <w:rPr>
                <w:b/>
                <w:sz w:val="24"/>
              </w:rPr>
            </w:pPr>
            <w:r>
              <w:rPr>
                <w:b/>
                <w:sz w:val="24"/>
              </w:rPr>
              <w:t>控</w:t>
            </w:r>
          </w:p>
          <w:p>
            <w:pPr>
              <w:pStyle w:val="7"/>
              <w:spacing w:after="0"/>
              <w:jc w:val="center"/>
              <w:rPr>
                <w:b/>
                <w:sz w:val="24"/>
              </w:rPr>
            </w:pPr>
            <w:r>
              <w:rPr>
                <w:b/>
                <w:sz w:val="24"/>
              </w:rPr>
              <w:t>制</w:t>
            </w:r>
          </w:p>
          <w:p>
            <w:pPr>
              <w:jc w:val="center"/>
              <w:rPr>
                <w:b/>
                <w:sz w:val="24"/>
              </w:rPr>
            </w:pPr>
            <w:r>
              <w:rPr>
                <w:b/>
                <w:sz w:val="24"/>
              </w:rPr>
              <w:t>指</w:t>
            </w:r>
          </w:p>
          <w:p>
            <w:pPr>
              <w:jc w:val="center"/>
              <w:rPr>
                <w:b/>
                <w:sz w:val="24"/>
              </w:rPr>
            </w:pPr>
            <w:r>
              <w:rPr>
                <w:b/>
                <w:sz w:val="24"/>
              </w:rPr>
              <w:t>标</w:t>
            </w:r>
          </w:p>
        </w:tc>
        <w:tc>
          <w:tcPr>
            <w:tcW w:w="8705" w:type="dxa"/>
            <w:noWrap/>
          </w:tcPr>
          <w:p>
            <w:pPr>
              <w:spacing w:line="360" w:lineRule="auto"/>
              <w:ind w:firstLine="480" w:firstLineChars="200"/>
              <w:rPr>
                <w:sz w:val="24"/>
              </w:rPr>
            </w:pPr>
          </w:p>
          <w:p>
            <w:pPr>
              <w:spacing w:line="360" w:lineRule="auto"/>
              <w:ind w:firstLine="480" w:firstLineChars="200"/>
              <w:rPr>
                <w:sz w:val="24"/>
              </w:rPr>
            </w:pPr>
          </w:p>
          <w:p>
            <w:pPr>
              <w:rPr>
                <w:rFonts w:ascii="宋体" w:hAnsi="宋体"/>
                <w:sz w:val="24"/>
              </w:rPr>
            </w:pPr>
          </w:p>
          <w:p>
            <w:pPr>
              <w:spacing w:line="360" w:lineRule="auto"/>
              <w:ind w:firstLine="480" w:firstLineChars="200"/>
              <w:rPr>
                <w:sz w:val="24"/>
              </w:rPr>
            </w:pPr>
            <w:r>
              <w:rPr>
                <w:sz w:val="24"/>
              </w:rPr>
              <w:t>本项目无生产工艺废水排放；厂区职工产生的生活污水经化粪池处理后定期外运沤制农肥，不外排</w:t>
            </w:r>
            <w:r>
              <w:rPr>
                <w:rFonts w:hint="eastAsia"/>
                <w:sz w:val="24"/>
              </w:rPr>
              <w:t>，</w:t>
            </w:r>
            <w:r>
              <w:rPr>
                <w:sz w:val="24"/>
              </w:rPr>
              <w:t>无</w:t>
            </w:r>
            <w:r>
              <w:rPr>
                <w:rFonts w:hint="eastAsia"/>
                <w:sz w:val="24"/>
              </w:rPr>
              <w:t>需申请</w:t>
            </w:r>
            <w:r>
              <w:rPr>
                <w:sz w:val="24"/>
              </w:rPr>
              <w:t>COD和氨氮总量指标。</w:t>
            </w:r>
          </w:p>
          <w:p>
            <w:pPr>
              <w:spacing w:line="360" w:lineRule="auto"/>
              <w:ind w:firstLine="480" w:firstLineChars="200"/>
              <w:rPr>
                <w:sz w:val="24"/>
              </w:rPr>
            </w:pPr>
            <w:r>
              <w:rPr>
                <w:sz w:val="24"/>
              </w:rPr>
              <w:t>项目</w:t>
            </w:r>
            <w:r>
              <w:rPr>
                <w:rFonts w:hint="eastAsia"/>
                <w:sz w:val="24"/>
              </w:rPr>
              <w:t>不使用锅炉，无需</w:t>
            </w:r>
            <w:r>
              <w:rPr>
                <w:sz w:val="24"/>
              </w:rPr>
              <w:t>申请二氧化硫和氮氧化物总量指标。</w:t>
            </w: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afterLines="50"/>
              <w:textAlignment w:val="baseline"/>
              <w:rPr>
                <w:bCs/>
                <w:kern w:val="0"/>
                <w:sz w:val="24"/>
              </w:rPr>
            </w:pPr>
          </w:p>
        </w:tc>
      </w:tr>
    </w:tbl>
    <w:p/>
    <w:p>
      <w:pPr>
        <w:spacing w:line="480" w:lineRule="auto"/>
        <w:outlineLvl w:val="0"/>
        <w:rPr>
          <w:rFonts w:ascii="宋体" w:hAnsi="宋体"/>
          <w:b/>
          <w:bCs/>
          <w:sz w:val="32"/>
          <w:szCs w:val="28"/>
        </w:rPr>
      </w:pPr>
      <w:r>
        <w:rPr>
          <w:rFonts w:ascii="宋体" w:hAnsi="宋体"/>
          <w:b/>
          <w:bCs/>
          <w:sz w:val="32"/>
          <w:szCs w:val="28"/>
        </w:rPr>
        <w:t>五</w:t>
      </w:r>
      <w:r>
        <w:rPr>
          <w:rFonts w:hint="eastAsia" w:ascii="宋体" w:hAnsi="宋体"/>
          <w:b/>
          <w:bCs/>
          <w:sz w:val="32"/>
          <w:szCs w:val="28"/>
        </w:rPr>
        <w:t>、</w:t>
      </w:r>
      <w:r>
        <w:rPr>
          <w:rFonts w:ascii="宋体" w:hAnsi="宋体"/>
          <w:b/>
          <w:bCs/>
          <w:sz w:val="32"/>
          <w:szCs w:val="28"/>
        </w:rPr>
        <w:t>建设项目工程分析</w:t>
      </w:r>
    </w:p>
    <w:tbl>
      <w:tblPr>
        <w:tblStyle w:val="16"/>
        <w:tblW w:w="9345" w:type="dxa"/>
        <w:tblInd w:w="-4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tcPr>
          <w:p>
            <w:pPr>
              <w:spacing w:line="360" w:lineRule="auto"/>
              <w:rPr>
                <w:rFonts w:eastAsia="黑体"/>
                <w:sz w:val="28"/>
                <w:szCs w:val="28"/>
              </w:rPr>
            </w:pPr>
            <w:bookmarkStart w:id="0" w:name="_Toc145641277"/>
            <w:bookmarkStart w:id="1" w:name="_Toc145557451"/>
            <w:r>
              <w:rPr>
                <w:rFonts w:eastAsia="黑体"/>
                <w:sz w:val="28"/>
                <w:szCs w:val="28"/>
              </w:rPr>
              <w:t>工艺流程简述：</w:t>
            </w:r>
            <w:bookmarkEnd w:id="0"/>
            <w:bookmarkEnd w:id="1"/>
          </w:p>
          <w:p>
            <w:r>
              <w:rPr>
                <w:rFonts w:eastAsia="黑体"/>
                <w:sz w:val="28"/>
                <w:szCs w:val="28"/>
              </w:rPr>
              <w:pict>
                <v:shape id="_x0000_s2109" o:spid="_x0000_s2109" o:spt="32" type="#_x0000_t32" style="position:absolute;left:0pt;flip:y;margin-left:46.2pt;margin-top:31.25pt;height:16.5pt;width:0.55pt;z-index:251692032;mso-width-relative:page;mso-height-relative:page;" filled="f" stroked="t" coordsize="21600,21600" o:gfxdata="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lYDKZ2AAAAAkBAAAPAAAAAAAAAAEA&#10;IAAAACIAAABkcnMvZG93bnJldi54bWxQSwECFAAUAAAACACHTuJAkqYDzw8CAADRAwAADgAAAAAA&#10;AAABACAAAAAnAQAAZHJzL2Uyb0RvYy54bWxQSwUGAAAAAAYABgBZAQAAqAUAAAAA&#10;">
                  <v:path arrowok="t"/>
                  <v:fill on="f" focussize="0,0"/>
                  <v:stroke weight="0.5pt" color="#000000" joinstyle="miter" endarrow="open"/>
                  <v:imagedata o:title=""/>
                  <o:lock v:ext="edit"/>
                </v:shape>
              </w:pict>
            </w:r>
            <w:r>
              <w:rPr>
                <w:rFonts w:eastAsia="黑体"/>
                <w:sz w:val="28"/>
                <w:szCs w:val="28"/>
              </w:rPr>
              <w:pict>
                <v:shape id="_x0000_s2110" o:spid="_x0000_s2110" o:spt="202" type="#_x0000_t202" style="position:absolute;left:0pt;margin-left:-1.95pt;margin-top:8.7pt;height:24.05pt;width:96.7pt;z-index:251693056;mso-width-relative:page;mso-height-relative:page;" stroked="t" coordsize="21600,21600" o:gfxdata="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nkzlf1wAA&#10;AAgBAAAPAAAAAAAAAAEAIAAAACIAAABkcnMvZG93bnJldi54bWxQSwECFAAUAAAACACHTuJAHPt/&#10;01gCAACfBAAADgAAAAAAAAABACAAAAAmAQAAZHJzL2Uyb0RvYy54bWxQSwUGAAAAAAYABgBZAQAA&#10;8AUAAAAA&#10;">
                  <v:path/>
                  <v:fill focussize="0,0"/>
                  <v:stroke weight="1pt" color="#000000" joinstyle="round" dashstyle="3 1"/>
                  <v:imagedata o:title=""/>
                  <o:lock v:ext="edit"/>
                  <v:textbox>
                    <w:txbxContent>
                      <w:p>
                        <w:r>
                          <w:rPr>
                            <w:rFonts w:hint="eastAsia"/>
                          </w:rPr>
                          <w:t>粉尘、噪声、固废</w:t>
                        </w:r>
                      </w:p>
                    </w:txbxContent>
                  </v:textbox>
                </v:shape>
              </w:pict>
            </w:r>
            <w:r>
              <w:pict>
                <v:shape id="_x0000_s2070" o:spid="_x0000_s2070" o:spt="202" type="#_x0000_t202" style="position:absolute;left:0pt;margin-left:315.8pt;margin-top:4.25pt;height:25.5pt;width:101.25pt;z-index:251678720;mso-width-relative:page;mso-height-relative:page;" stroked="t" coordsize="21600,21600" o:gfxdata="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RBI&#10;q9cAAAAIAQAADwAAAAAAAAABACAAAAAiAAAAZHJzL2Rvd25yZXYueG1sUEsBAhQAFAAAAAgAh07i&#10;QMNeuStcAgAAnwQAAA4AAAAAAAAAAQAgAAAAJgEAAGRycy9lMm9Eb2MueG1sUEsFBgAAAAAGAAYA&#10;WQEAAPQFAAAAAA==&#10;">
                  <v:path/>
                  <v:fill focussize="0,0"/>
                  <v:stroke weight="1pt" color="#000000" joinstyle="round" dashstyle="3 1"/>
                  <v:imagedata o:title=""/>
                  <o:lock v:ext="edit"/>
                  <v:textbox>
                    <w:txbxContent>
                      <w:p>
                        <w:r>
                          <w:rPr>
                            <w:rFonts w:hint="eastAsia"/>
                          </w:rPr>
                          <w:t>粉尘、噪声、固废</w:t>
                        </w:r>
                      </w:p>
                    </w:txbxContent>
                  </v:textbox>
                </v:shape>
              </w:pict>
            </w:r>
            <w:r>
              <w:pict>
                <v:shape id="_x0000_s2069" o:spid="_x0000_s2069" o:spt="202" type="#_x0000_t202" style="position:absolute;left:0pt;margin-left:204.65pt;margin-top:4.95pt;height:24.05pt;width:96.7pt;z-index:251677696;mso-width-relative:page;mso-height-relative:page;" stroked="t" coordsize="21600,21600" o:gfxdata="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nkzlf1wAA&#10;AAgBAAAPAAAAAAAAAAEAIAAAACIAAABkcnMvZG93bnJldi54bWxQSwECFAAUAAAACACHTuJAHPt/&#10;01gCAACfBAAADgAAAAAAAAABACAAAAAmAQAAZHJzL2Uyb0RvYy54bWxQSwUGAAAAAAYABgBZAQAA&#10;8AUAAAAA&#10;">
                  <v:path/>
                  <v:fill focussize="0,0"/>
                  <v:stroke weight="1pt" color="#000000" joinstyle="round" dashstyle="3 1"/>
                  <v:imagedata o:title=""/>
                  <o:lock v:ext="edit"/>
                  <v:textbox>
                    <w:txbxContent>
                      <w:p>
                        <w:r>
                          <w:rPr>
                            <w:rFonts w:hint="eastAsia"/>
                          </w:rPr>
                          <w:t>粉尘、噪声、固废</w:t>
                        </w:r>
                      </w:p>
                    </w:txbxContent>
                  </v:textbox>
                </v:shape>
              </w:pict>
            </w:r>
          </w:p>
          <w:p>
            <w:r>
              <w:pict>
                <v:shape id="_x0000_s2068" o:spid="_x0000_s2068" o:spt="32" type="#_x0000_t32" style="position:absolute;left:0pt;flip:x y;margin-left:363.05pt;margin-top:12.65pt;height:15pt;width:0.2pt;z-index:251675648;mso-width-relative:page;mso-height-relative:page;" filled="f" stroked="t" coordsize="21600,21600" o:gfxdata="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7G36/WAAAACQEAAA8AAAAAAAAA&#10;AQAgAAAAIgAAAGRycy9kb3ducmV2LnhtbFBLAQIUABQAAAAIAIdO4kAAk4EDEwIAANsDAAAOAAAA&#10;AAAAAAEAIAAAACUBAABkcnMvZTJvRG9jLnhtbFBLBQYAAAAABgAGAFkBAACqBQAAAAA=&#10;">
                  <v:path arrowok="t"/>
                  <v:fill on="f" focussize="0,0"/>
                  <v:stroke weight="0.5pt" color="#000000" joinstyle="miter" endarrow="open"/>
                  <v:imagedata o:title=""/>
                  <o:lock v:ext="edit"/>
                </v:shape>
              </w:pict>
            </w:r>
            <w:r>
              <w:pict>
                <v:shape id="_x0000_s2067" o:spid="_x0000_s2067" o:spt="32" type="#_x0000_t32" style="position:absolute;left:0pt;flip:y;margin-left:252.8pt;margin-top:11.9pt;height:16.5pt;width:0.55pt;z-index:251674624;mso-width-relative:page;mso-height-relative:page;" filled="f" stroked="t" coordsize="21600,21600" o:gfxdata="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lYDKZ2AAAAAkBAAAPAAAAAAAAAAEA&#10;IAAAACIAAABkcnMvZG93bnJldi54bWxQSwECFAAUAAAACACHTuJAkqYDzw8CAADRAwAADgAAAAAA&#10;AAABACAAAAAnAQAAZHJzL2Uyb0RvYy54bWxQSwUGAAAAAAYABgBZAQAAqAUAAAAA&#10;">
                  <v:path arrowok="t"/>
                  <v:fill on="f" focussize="0,0"/>
                  <v:stroke weight="0.5pt" color="#000000" joinstyle="miter" endarrow="open"/>
                  <v:imagedata o:title=""/>
                  <o:lock v:ext="edit"/>
                </v:shape>
              </w:pict>
            </w:r>
          </w:p>
          <w:p>
            <w:r>
              <w:pict>
                <v:shape id="_x0000_s2066" o:spid="_x0000_s2066" o:spt="202" type="#_x0000_t202" style="position:absolute;left:0pt;margin-left:310.35pt;margin-top:12.05pt;height:27pt;width:105.75pt;z-index:251665408;mso-width-relative:page;mso-height-relative:page;" coordsize="21600,21600" o:gfxdata="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ItvQfWAAAACQEAAA8AAAAAAAAA&#10;AQAgAAAAIgAAAGRycy9kb3ducmV2LnhtbFBLAQIUABQAAAAIAIdO4kDJgGbzTAIAAHcEAAAOAAAA&#10;AAAAAAEAIAAAACUBAABkcnMvZTJvRG9jLnhtbFBLBQYAAAAABgAGAFkBAADjBQAAAAA=&#10;">
                  <v:path/>
                  <v:fill focussize="0,0"/>
                  <v:stroke weight="0.5pt" joinstyle="round"/>
                  <v:imagedata o:title=""/>
                  <o:lock v:ext="edit"/>
                  <v:textbox>
                    <w:txbxContent>
                      <w:p>
                        <w:pPr>
                          <w:rPr>
                            <w:sz w:val="24"/>
                          </w:rPr>
                        </w:pPr>
                        <w:r>
                          <w:rPr>
                            <w:rFonts w:hint="eastAsia"/>
                            <w:sz w:val="24"/>
                          </w:rPr>
                          <w:t>水平空心钻穿孔</w:t>
                        </w:r>
                      </w:p>
                    </w:txbxContent>
                  </v:textbox>
                </v:shape>
              </w:pict>
            </w:r>
            <w:r>
              <w:pict>
                <v:shape id="_x0000_s2065" o:spid="_x0000_s2065" o:spt="202" type="#_x0000_t202" style="position:absolute;left:0pt;margin-left:231.8pt;margin-top:12.8pt;height:24.75pt;width:42pt;z-index:251663360;mso-width-relative:page;mso-height-relative:page;" coordsize="21600,21600" o:gfxdata="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E9Ou/WAAAACQEAAA8AAAAAAAAAAQAg&#10;AAAAIgAAAGRycy9kb3ducmV2LnhtbFBLAQIUABQAAAAIAIdO4kBoqPdQSQIAAHYEAAAOAAAAAAAA&#10;AAEAIAAAACUBAABkcnMvZTJvRG9jLnhtbFBLBQYAAAAABgAGAFkBAADgBQAAAAA=&#10;">
                  <v:path/>
                  <v:fill focussize="0,0"/>
                  <v:stroke weight="0.5pt" joinstyle="round"/>
                  <v:imagedata o:title=""/>
                  <o:lock v:ext="edit"/>
                  <v:textbox>
                    <w:txbxContent>
                      <w:p>
                        <w:pPr>
                          <w:rPr>
                            <w:sz w:val="24"/>
                          </w:rPr>
                        </w:pPr>
                        <w:r>
                          <w:rPr>
                            <w:rFonts w:hint="eastAsia"/>
                            <w:sz w:val="24"/>
                          </w:rPr>
                          <w:t>切割</w:t>
                        </w:r>
                      </w:p>
                    </w:txbxContent>
                  </v:textbox>
                </v:shape>
              </w:pict>
            </w:r>
            <w:r>
              <w:pict>
                <v:shape id="_x0000_s2064" o:spid="_x0000_s2064" o:spt="202" type="#_x0000_t202" style="position:absolute;left:0pt;margin-left:107.3pt;margin-top:12.8pt;height:24.75pt;width:82.45pt;z-index:251661312;mso-width-relative:page;mso-height-relative:page;" coordsize="21600,21600" o:gfxdata="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n7nazWAAAACQEAAA8AAAAAAAAAAQAg&#10;AAAAIgAAAGRycy9kb3ducmV2LnhtbFBLAQIUABQAAAAIAIdO4kBtxWqFSQIAAHcEAAAOAAAAAAAA&#10;AAEAIAAAACUBAABkcnMvZTJvRG9jLnhtbFBLBQYAAAAABgAGAFkBAADgBQAAAAA=&#10;">
                  <v:path/>
                  <v:fill focussize="0,0"/>
                  <v:stroke weight="0.5pt" joinstyle="round"/>
                  <v:imagedata o:title=""/>
                  <o:lock v:ext="edit"/>
                  <v:textbox>
                    <w:txbxContent>
                      <w:p>
                        <w:pPr>
                          <w:rPr>
                            <w:sz w:val="24"/>
                          </w:rPr>
                        </w:pPr>
                        <w:r>
                          <w:rPr>
                            <w:rFonts w:hint="eastAsia"/>
                            <w:sz w:val="24"/>
                          </w:rPr>
                          <w:t>布设切割线</w:t>
                        </w:r>
                      </w:p>
                    </w:txbxContent>
                  </v:textbox>
                </v:shape>
              </w:pict>
            </w:r>
          </w:p>
          <w:p>
            <w:r>
              <w:rPr>
                <w:rFonts w:eastAsia="黑体"/>
                <w:sz w:val="28"/>
                <w:szCs w:val="28"/>
              </w:rPr>
              <w:pict>
                <v:rect id="矩形 155" o:spid="_x0000_s2106" o:spt="1" style="position:absolute;left:0pt;margin-left:3.8pt;margin-top:0.95pt;height:21pt;width:66.3pt;z-index:251691008;mso-width-relative:page;mso-height-relative:page;" coordsize="21600,21600">
                  <v:path/>
                  <v:fill focussize="0,0"/>
                  <v:stroke/>
                  <v:imagedata o:title=""/>
                  <o:lock v:ext="edit"/>
                  <v:textbox>
                    <w:txbxContent>
                      <w:p>
                        <w:pPr>
                          <w:jc w:val="center"/>
                        </w:pPr>
                        <w:r>
                          <w:rPr>
                            <w:rFonts w:hint="eastAsia"/>
                            <w:bCs/>
                            <w:kern w:val="0"/>
                          </w:rPr>
                          <w:t>平台平整</w:t>
                        </w:r>
                      </w:p>
                    </w:txbxContent>
                  </v:textbox>
                </v:rect>
              </w:pict>
            </w:r>
            <w:r>
              <w:pict>
                <v:shape id="_x0000_s2062" o:spid="_x0000_s2062" o:spt="32" type="#_x0000_t32" style="position:absolute;left:0pt;margin-left:191.3pt;margin-top:10.35pt;height:0.35pt;width:40.5pt;z-index:251662336;mso-width-relative:page;mso-height-relative:page;" filled="f" stroked="t" coordsize="21600,21600" o:gfxdata="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m7z5W2AAAAAkBAAAPAAAAAAAAAAEAIAAAACIAAABkcnMvZG93bnJldi54bWxQ&#10;SwECFAAUAAAACACHTuJAV/wwiPcBAACgAwAADgAAAAAAAAABACAAAAAnAQAAZHJzL2Uyb0RvYy54&#10;bWxQSwUGAAAAAAYABgBZAQAAkAUAAAAA&#10;">
                  <v:path arrowok="t"/>
                  <v:fill on="f" focussize="0,0"/>
                  <v:stroke weight="0.5pt" color="#000000" joinstyle="miter" endarrow="open"/>
                  <v:imagedata o:title=""/>
                  <o:lock v:ext="edit"/>
                </v:shape>
              </w:pict>
            </w:r>
            <w:r>
              <w:pict>
                <v:shape id="_x0000_s2061" o:spid="_x0000_s2061" o:spt="32" type="#_x0000_t32" style="position:absolute;left:0pt;margin-left:273.8pt;margin-top:9.6pt;height:0.35pt;width:35.25pt;z-index:251664384;mso-width-relative:page;mso-height-relative:page;" filled="f" stroked="t" coordsize="21600,21600" o:gfxdata="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99juzYAAAACQEAAA8AAAAAAAAAAQAgAAAAIgAA&#10;AGRycy9kb3ducmV2LnhtbFBLAQIUABQAAAAIAIdO4kAdtGtRCAIAAMcDAAAOAAAAAAAAAAEAIAAA&#10;ACcBAABkcnMvZTJvRG9jLnhtbFBLBQYAAAAABgAGAFkBAAChBQAAAAA=&#10;">
                  <v:path arrowok="t"/>
                  <v:fill on="f" focussize="0,0"/>
                  <v:stroke weight="0.5pt" color="#000000" joinstyle="miter" endarrow="open"/>
                  <v:imagedata o:title=""/>
                  <o:lock v:ext="edit"/>
                </v:shape>
              </w:pict>
            </w:r>
            <w:r>
              <w:pict>
                <v:shape id="_x0000_s2060" o:spid="_x0000_s2060" o:spt="32" type="#_x0000_t32" style="position:absolute;left:0pt;margin-left:71.15pt;margin-top:9.2pt;height:0pt;width:37.65pt;z-index:251660288;mso-width-relative:page;mso-height-relative:page;" filled="f" stroked="t" coordsize="21600,21600" o:gfxdata="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&#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iWQmHXAAAACQEAAA8AAAAAAAAAAQAgAAAAIgAAAGRy&#10;cy9kb3ducmV2LnhtbFBLAQIUABQAAAAIAIdO4kA4B3M+BgIAAMQDAAAOAAAAAAAAAAEAIAAAACYB&#10;AABkcnMvZTJvRG9jLnhtbFBLBQYAAAAABgAGAFkBAACeBQAAAAA=&#10;">
                  <v:path arrowok="t"/>
                  <v:fill on="f" focussize="0,0"/>
                  <v:stroke weight="0.5pt" color="#000000" joinstyle="miter" endarrow="open"/>
                  <v:imagedata o:title=""/>
                  <o:lock v:ext="edit"/>
                </v:shape>
              </w:pict>
            </w:r>
          </w:p>
          <w:p>
            <w:r>
              <w:pict>
                <v:shape id="_x0000_s2059" o:spid="_x0000_s2059" o:spt="32" type="#_x0000_t32" style="position:absolute;left:0pt;flip:x;margin-left:362.85pt;margin-top:7.85pt;height:49.5pt;width:0.4pt;z-index:251666432;mso-width-relative:page;mso-height-relative:page;" filled="f" stroked="t" coordsize="21600,21600" o:gfxdata="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f5one2AAAAAoBAAAPAAAAAAAAAAEA&#10;IAAAACIAAABkcnMvZG93bnJldi54bWxQSwECFAAUAAAACACHTuJAf2LpTw8CAADRAwAADgAAAAAA&#10;AAABACAAAAAnAQAAZHJzL2Uyb0RvYy54bWxQSwUGAAAAAAYABgBZAQAAqAUAAAAA&#10;">
                  <v:path arrowok="t"/>
                  <v:fill on="f" focussize="0,0"/>
                  <v:stroke weight="0.5pt" color="#000000" joinstyle="miter" endarrow="open"/>
                  <v:imagedata o:title=""/>
                  <o:lock v:ext="edit"/>
                </v:shape>
              </w:pict>
            </w:r>
          </w:p>
          <w:p/>
          <w:p/>
          <w:p>
            <w:r>
              <w:pict>
                <v:shape id="_x0000_s2058" o:spid="_x0000_s2058" o:spt="202" type="#_x0000_t202" style="position:absolute;left:0pt;margin-left:3.8pt;margin-top:11.75pt;height:28.5pt;width:65.25pt;z-index:251673600;mso-width-relative:page;mso-height-relative:page;" coordsize="21600,21600" o:gfxdata="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KO4qtMAAAAHAQAADwAAAAAAAAABACAAAAAi&#10;AAAAZHJzL2Rvd25yZXYueG1sUEsBAhQAFAAAAAgAh07iQE1ReQ5IAgAAdQQAAA4AAAAAAAAAAQAg&#10;AAAAIgEAAGRycy9lMm9Eb2MueG1sUEsFBgAAAAAGAAYAWQEAANwFAAAAAA==&#10;">
                  <v:path/>
                  <v:fill focussize="0,0"/>
                  <v:stroke weight="0.5pt" joinstyle="round"/>
                  <v:imagedata o:title=""/>
                  <o:lock v:ext="edit"/>
                  <v:textbox>
                    <w:txbxContent>
                      <w:p>
                        <w:pPr>
                          <w:rPr>
                            <w:sz w:val="24"/>
                          </w:rPr>
                        </w:pPr>
                        <w:r>
                          <w:rPr>
                            <w:rFonts w:hint="eastAsia"/>
                            <w:sz w:val="24"/>
                          </w:rPr>
                          <w:t>清理场地</w:t>
                        </w:r>
                      </w:p>
                    </w:txbxContent>
                  </v:textbox>
                </v:shape>
              </w:pict>
            </w:r>
            <w:r>
              <w:pict>
                <v:shape id="_x0000_s2057" o:spid="_x0000_s2057" o:spt="202" type="#_x0000_t202" style="position:absolute;left:0pt;margin-left:114pt;margin-top:11.75pt;height:25.5pt;width:45.8pt;z-index:251671552;mso-width-relative:page;mso-height-relative:page;" coordsize="21600,21600" o:gfxdata="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TywlHXAAAACQEAAA8AAAAAAAAAAQAgAAAA&#10;IgAAAGRycy9kb3ducmV2LnhtbFBLAQIUABQAAAAIAIdO4kAkyA24RQIAAHYEAAAOAAAAAAAAAAEA&#10;IAAAACYBAABkcnMvZTJvRG9jLnhtbFBLBQYAAAAABgAGAFkBAADdBQAAAAA=&#10;">
                  <v:path/>
                  <v:fill focussize="0,0"/>
                  <v:stroke weight="0.5pt" joinstyle="round"/>
                  <v:imagedata o:title=""/>
                  <o:lock v:ext="edit"/>
                  <v:textbox>
                    <w:txbxContent>
                      <w:p>
                        <w:pPr>
                          <w:jc w:val="center"/>
                          <w:rPr>
                            <w:sz w:val="24"/>
                          </w:rPr>
                        </w:pPr>
                        <w:r>
                          <w:rPr>
                            <w:rFonts w:hint="eastAsia"/>
                            <w:sz w:val="24"/>
                          </w:rPr>
                          <w:t>运输</w:t>
                        </w:r>
                      </w:p>
                    </w:txbxContent>
                  </v:textbox>
                </v:shape>
              </w:pict>
            </w:r>
            <w:r>
              <w:pict>
                <v:shape id="_x0000_s2056" o:spid="_x0000_s2056" o:spt="202" type="#_x0000_t202" style="position:absolute;left:0pt;margin-left:202.55pt;margin-top:11.75pt;height:24pt;width:54.75pt;z-index:251669504;mso-width-relative:page;mso-height-relative:page;" coordsize="21600,21600" o:gfxdata="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ZaaDc1gAAAAkBAAAPAAAAAAAAAAEA&#10;IAAAACIAAABkcnMvZG93bnJldi54bWxQSwECFAAUAAAACACHTuJADQ2QJUoCAAB2BAAADgAAAAAA&#10;AAABACAAAAAlAQAAZHJzL2Uyb0RvYy54bWxQSwUGAAAAAAYABgBZAQAA4QUAAAAA&#10;">
                  <v:path/>
                  <v:fill focussize="0,0"/>
                  <v:stroke weight="0.5pt" joinstyle="round"/>
                  <v:imagedata o:title=""/>
                  <o:lock v:ext="edit"/>
                  <v:textbox>
                    <w:txbxContent>
                      <w:p>
                        <w:pPr>
                          <w:jc w:val="center"/>
                          <w:rPr>
                            <w:sz w:val="24"/>
                          </w:rPr>
                        </w:pPr>
                        <w:r>
                          <w:rPr>
                            <w:rFonts w:hint="eastAsia"/>
                            <w:sz w:val="24"/>
                          </w:rPr>
                          <w:t>叉装</w:t>
                        </w:r>
                      </w:p>
                    </w:txbxContent>
                  </v:textbox>
                </v:shape>
              </w:pict>
            </w:r>
            <w:r>
              <w:pict>
                <v:shape id="_x0000_s2055" o:spid="_x0000_s2055" o:spt="202" type="#_x0000_t202" style="position:absolute;left:0pt;margin-left:309.8pt;margin-top:9.05pt;height:27pt;width:103.55pt;z-index:251667456;mso-width-relative:page;mso-height-relative:page;" coordsize="21600,21600" o:gfxdata="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CxqrQ1gAAAAkBAAAPAAAAAAAAAAEA&#10;IAAAACIAAABkcnMvZG93bnJldi54bWxQSwECFAAUAAAACACHTuJAzwSGS0oCAAB3BAAADgAAAAAA&#10;AAABACAAAAAlAQAAZHJzL2Uyb0RvYy54bWxQSwUGAAAAAAYABgBZAQAA4QUAAAAA&#10;">
                  <v:path/>
                  <v:fill focussize="0,0"/>
                  <v:stroke weight="0.5pt" joinstyle="round"/>
                  <v:imagedata o:title=""/>
                  <o:lock v:ext="edit"/>
                  <v:textbox>
                    <w:txbxContent>
                      <w:p>
                        <w:pPr>
                          <w:jc w:val="center"/>
                          <w:rPr>
                            <w:sz w:val="24"/>
                          </w:rPr>
                        </w:pPr>
                        <w:r>
                          <w:rPr>
                            <w:rFonts w:hint="eastAsia"/>
                            <w:sz w:val="24"/>
                          </w:rPr>
                          <w:t>绳锯切割分离</w:t>
                        </w:r>
                      </w:p>
                    </w:txbxContent>
                  </v:textbox>
                </v:shape>
              </w:pict>
            </w:r>
          </w:p>
          <w:p>
            <w:r>
              <w:pict>
                <v:shape id="_x0000_s2054" o:spid="_x0000_s2054" o:spt="32" type="#_x0000_t32" style="position:absolute;left:0pt;flip:x;margin-left:69.8pt;margin-top:8.9pt;height:0pt;width:44.2pt;z-index:251672576;mso-width-relative:page;mso-height-relative:page;" filled="f" stroked="t" coordsize="21600,21600" o:gfxdata="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kzx5l1gAAAAkBAAAPAAAAAAAAAAEAIAAAACIA&#10;AABkcnMvZG93bnJldi54bWxQSwECFAAUAAAACACHTuJAbrTnEAsCAADOAwAADgAAAAAAAAABACAA&#10;AAAlAQAAZHJzL2Uyb0RvYy54bWxQSwUGAAAAAAYABgBZAQAAogUAAAAA&#10;">
                  <v:path arrowok="t"/>
                  <v:fill on="f" focussize="0,0"/>
                  <v:stroke weight="0.5pt" color="#000000" joinstyle="miter" endarrow="open"/>
                  <v:imagedata o:title=""/>
                  <o:lock v:ext="edit"/>
                </v:shape>
              </w:pict>
            </w:r>
            <w:r>
              <w:pict>
                <v:shape id="_x0000_s2053" o:spid="_x0000_s2053" o:spt="32" type="#_x0000_t32" style="position:absolute;left:0pt;flip:x;margin-left:159.05pt;margin-top:8.15pt;height:0.75pt;width:43.5pt;z-index:251670528;mso-width-relative:page;mso-height-relative:page;" filled="f" stroked="t" coordsize="21600,21600" o:gfxdata="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dsI2C1wAAAAkBAAAPAAAAAAAAAAEAIAAA&#10;ACIAAABkcnMvZG93bnJldi54bWxQSwECFAAUAAAACACHTuJABCrwOw0CAADRAwAADgAAAAAAAAAB&#10;ACAAAAAmAQAAZHJzL2Uyb0RvYy54bWxQSwUGAAAAAAYABgBZAQAApQUAAAAA&#10;">
                  <v:path arrowok="t"/>
                  <v:fill on="f" focussize="0,0"/>
                  <v:stroke weight="0.5pt" color="#000000" joinstyle="miter" endarrow="open"/>
                  <v:imagedata o:title=""/>
                  <o:lock v:ext="edit"/>
                </v:shape>
              </w:pict>
            </w:r>
            <w:r>
              <w:pict>
                <v:shape id="_x0000_s2052" o:spid="_x0000_s2052" o:spt="32" type="#_x0000_t32" style="position:absolute;left:0pt;flip:x y;margin-left:255.05pt;margin-top:6.65pt;height:0.3pt;width:54.75pt;z-index:251668480;mso-width-relative:page;mso-height-relative:page;" filled="f" stroked="t" coordsize="21600,21600" o:gfxdata="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rDXrPWAAAACQEAAA8AAAAAAAAA&#10;AQAgAAAAIgAAAGRycy9kb3ducmV2LnhtbFBLAQIUABQAAAAIAIdO4kCVECr9EwIAANsDAAAOAAAA&#10;AAAAAAEAIAAAACUBAABkcnMvZTJvRG9jLnhtbFBLBQYAAAAABgAGAFkBAACqBQAAAAA=&#10;">
                  <v:path arrowok="t"/>
                  <v:fill on="f" focussize="0,0"/>
                  <v:stroke weight="0.5pt" color="#000000" joinstyle="miter" endarrow="open"/>
                  <v:imagedata o:title=""/>
                  <o:lock v:ext="edit"/>
                </v:shape>
              </w:pict>
            </w:r>
          </w:p>
          <w:p>
            <w:r>
              <w:pict>
                <v:shape id="_x0000_s2051" o:spid="_x0000_s2051" o:spt="32" type="#_x0000_t32" style="position:absolute;left:0pt;flip:x;margin-left:361.35pt;margin-top:4.85pt;height:23.25pt;width:0.25pt;z-index:251676672;mso-width-relative:page;mso-height-relative:page;" filled="f" stroked="t" coordsize="21600,21600" o:gfxdata="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a9+L3YAAAACAEAAA8AAAAAAAAAAQAg&#10;AAAAIgAAAGRycy9kb3ducmV2LnhtbFBLAQIUABQAAAAIAIdO4kBxjUtoDgIAANEDAAAOAAAAAAAA&#10;AAEAIAAAACcBAABkcnMvZTJvRG9jLnhtbFBLBQYAAAAABgAGAFkBAACnBQAAAAA=&#10;">
                  <v:path arrowok="t"/>
                  <v:fill on="f" focussize="0,0"/>
                  <v:stroke weight="0.5pt" color="#000000" joinstyle="miter" endarrow="open"/>
                  <v:imagedata o:title=""/>
                  <o:lock v:ext="edit"/>
                </v:shape>
              </w:pict>
            </w:r>
          </w:p>
          <w:p>
            <w:r>
              <w:pict>
                <v:shape id="_x0000_s2050" o:spid="_x0000_s2050" o:spt="202" type="#_x0000_t202" style="position:absolute;left:0pt;margin-left:310.55pt;margin-top:12.8pt;height:24pt;width:106.5pt;z-index:251679744;mso-width-relative:page;mso-height-relative:page;" stroked="t" coordsize="21600,21600" o:gfxdata="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GeIis&#10;1wAAAAkBAAAPAAAAAAAAAAEAIAAAACIAAABkcnMvZG93bnJldi54bWxQSwECFAAUAAAACACHTuJA&#10;FuEKg1sCAACfBAAADgAAAAAAAAABACAAAAAmAQAAZHJzL2Uyb0RvYy54bWxQSwUGAAAAAAYABgBZ&#10;AQAA8wUAAAAA&#10;">
                  <v:path/>
                  <v:fill focussize="0,0"/>
                  <v:stroke weight="1pt" color="#000000" joinstyle="round" dashstyle="3 1"/>
                  <v:imagedata o:title=""/>
                  <o:lock v:ext="edit"/>
                  <v:textbox>
                    <w:txbxContent>
                      <w:p>
                        <w:r>
                          <w:rPr>
                            <w:rFonts w:hint="eastAsia"/>
                          </w:rPr>
                          <w:t>粉尘、噪声、固废</w:t>
                        </w:r>
                      </w:p>
                      <w:p/>
                    </w:txbxContent>
                  </v:textbox>
                </v:shape>
              </w:pict>
            </w:r>
          </w:p>
          <w:p/>
          <w:p/>
          <w:p>
            <w:pPr>
              <w:spacing w:line="360" w:lineRule="auto"/>
              <w:jc w:val="center"/>
              <w:rPr>
                <w:b/>
                <w:kern w:val="0"/>
                <w:sz w:val="24"/>
              </w:rPr>
            </w:pPr>
            <w:r>
              <w:rPr>
                <w:rFonts w:hint="eastAsia"/>
                <w:b/>
                <w:kern w:val="0"/>
                <w:sz w:val="24"/>
              </w:rPr>
              <w:t>图5-1  矿区开采及石材生产工艺流程及产污图</w:t>
            </w:r>
          </w:p>
          <w:p>
            <w:pPr>
              <w:spacing w:line="360" w:lineRule="auto"/>
              <w:ind w:firstLine="481" w:firstLineChars="200"/>
              <w:rPr>
                <w:kern w:val="0"/>
                <w:sz w:val="24"/>
                <w:highlight w:val="yellow"/>
              </w:rPr>
            </w:pPr>
            <w:r>
              <w:rPr>
                <w:rFonts w:hint="eastAsia"/>
                <w:b/>
                <w:bCs/>
                <w:kern w:val="0"/>
                <w:sz w:val="24"/>
              </w:rPr>
              <w:t>工艺流程简述：</w:t>
            </w:r>
            <w:r>
              <w:rPr>
                <w:rFonts w:hint="eastAsia"/>
                <w:bCs/>
                <w:kern w:val="0"/>
                <w:sz w:val="24"/>
              </w:rPr>
              <w:t>本项目露天开采，矿山部分矿段前期已经完成表土剥离，少量需要进行表土剥离的区域，将剥离表层土在项目区集中堆放，土堆进行绿化，堆存的表层土用于矿区服务期满后土地整治。矿山开采采用</w:t>
            </w:r>
            <w:r>
              <w:rPr>
                <w:rFonts w:hint="eastAsia" w:ascii="宋体" w:hAnsi="宋体"/>
                <w:bCs/>
                <w:sz w:val="24"/>
              </w:rPr>
              <w:t>圆盘锯切割和水平钻穿孔法相结合的方法，</w:t>
            </w:r>
            <w:r>
              <w:rPr>
                <w:kern w:val="0"/>
                <w:sz w:val="24"/>
              </w:rPr>
              <w:t>由于产品需要一定的规格尺寸，因此需要对作业平台进行平整。平台平整要求平台纵横坡度小于3</w:t>
            </w:r>
            <w:r>
              <w:rPr>
                <w:rFonts w:hint="eastAsia"/>
                <w:kern w:val="0"/>
                <w:sz w:val="24"/>
              </w:rPr>
              <w:t>‰</w:t>
            </w:r>
            <w:r>
              <w:rPr>
                <w:kern w:val="0"/>
                <w:sz w:val="24"/>
              </w:rPr>
              <w:t>。</w:t>
            </w:r>
          </w:p>
          <w:p>
            <w:pPr>
              <w:spacing w:line="360" w:lineRule="auto"/>
              <w:ind w:firstLine="480" w:firstLineChars="200"/>
              <w:rPr>
                <w:kern w:val="0"/>
                <w:sz w:val="24"/>
              </w:rPr>
            </w:pPr>
            <w:r>
              <w:rPr>
                <w:kern w:val="0"/>
                <w:sz w:val="24"/>
              </w:rPr>
              <w:t>平台平整完成后，进行轨道铺设。轨道铺设应均匀使用垫木将轨道按设平整，纵横坡度小于2</w:t>
            </w:r>
            <w:r>
              <w:rPr>
                <w:rFonts w:hint="eastAsia"/>
                <w:kern w:val="0"/>
                <w:sz w:val="24"/>
              </w:rPr>
              <w:t>‰</w:t>
            </w:r>
            <w:r>
              <w:rPr>
                <w:kern w:val="0"/>
                <w:sz w:val="24"/>
              </w:rPr>
              <w:t>，轨距与锯石机行走轮距相当。安设锯石机至轨道后进行锯石开采。锯石机行走速度应符合设备要求，锯片直径及切割深度、切割宽度应符合荒料规格要求。</w:t>
            </w:r>
          </w:p>
          <w:p>
            <w:pPr>
              <w:spacing w:line="360" w:lineRule="auto"/>
              <w:ind w:firstLine="480" w:firstLineChars="200"/>
              <w:rPr>
                <w:kern w:val="0"/>
                <w:sz w:val="24"/>
              </w:rPr>
            </w:pPr>
            <w:r>
              <w:rPr>
                <w:kern w:val="0"/>
                <w:sz w:val="24"/>
              </w:rPr>
              <w:t>锯石机切割完成后</w:t>
            </w:r>
            <w:r>
              <w:rPr>
                <w:rFonts w:hint="eastAsia"/>
                <w:kern w:val="0"/>
                <w:sz w:val="24"/>
              </w:rPr>
              <w:t>，</w:t>
            </w:r>
            <w:r>
              <w:rPr>
                <w:kern w:val="0"/>
                <w:sz w:val="24"/>
              </w:rPr>
              <w:t>在垂直于圆盘锯切割方向用</w:t>
            </w:r>
            <w:r>
              <w:rPr>
                <w:rFonts w:hint="eastAsia"/>
                <w:kern w:val="0"/>
                <w:sz w:val="24"/>
              </w:rPr>
              <w:t>水平钻</w:t>
            </w:r>
            <w:r>
              <w:rPr>
                <w:kern w:val="0"/>
                <w:sz w:val="24"/>
              </w:rPr>
              <w:t>打孔，用</w:t>
            </w:r>
            <w:r>
              <w:rPr>
                <w:rFonts w:hint="eastAsia"/>
                <w:kern w:val="0"/>
                <w:sz w:val="24"/>
              </w:rPr>
              <w:t>绳锯切割</w:t>
            </w:r>
            <w:r>
              <w:rPr>
                <w:kern w:val="0"/>
                <w:sz w:val="24"/>
              </w:rPr>
              <w:t>将矿石分裂成符合块度要求的石料。</w:t>
            </w:r>
            <w:r>
              <w:rPr>
                <w:rFonts w:hint="eastAsia"/>
                <w:kern w:val="0"/>
                <w:sz w:val="24"/>
              </w:rPr>
              <w:t>用桅杆吊将石块由矿内运至堆矿场</w:t>
            </w:r>
            <w:r>
              <w:rPr>
                <w:kern w:val="0"/>
                <w:sz w:val="24"/>
              </w:rPr>
              <w:t>，用叉载机配装至平板汽车</w:t>
            </w:r>
            <w:r>
              <w:rPr>
                <w:rFonts w:hint="eastAsia"/>
                <w:kern w:val="0"/>
                <w:sz w:val="24"/>
              </w:rPr>
              <w:t>外售</w:t>
            </w:r>
            <w:r>
              <w:rPr>
                <w:kern w:val="0"/>
                <w:sz w:val="24"/>
              </w:rPr>
              <w:t>运往加工厂。</w:t>
            </w:r>
          </w:p>
          <w:p>
            <w:pPr>
              <w:ind w:firstLine="480" w:firstLineChars="200"/>
              <w:rPr>
                <w:kern w:val="0"/>
                <w:sz w:val="24"/>
              </w:rPr>
            </w:pPr>
            <w:r>
              <w:rPr>
                <w:kern w:val="0"/>
                <w:sz w:val="24"/>
              </w:rPr>
              <w:t>一个台阶切割完成后再进行下一个台阶切割开采，如此往复循环工作。</w:t>
            </w:r>
          </w:p>
          <w:p>
            <w:pPr>
              <w:spacing w:line="360" w:lineRule="auto"/>
              <w:rPr>
                <w:b/>
                <w:bCs/>
                <w:kern w:val="0"/>
                <w:sz w:val="24"/>
              </w:rPr>
            </w:pPr>
            <w:r>
              <w:rPr>
                <w:b/>
                <w:bCs/>
                <w:kern w:val="0"/>
                <w:sz w:val="24"/>
              </w:rPr>
              <w:t>主要污染工序及治理措施：</w:t>
            </w:r>
          </w:p>
          <w:p>
            <w:pPr>
              <w:spacing w:line="500" w:lineRule="exact"/>
              <w:ind w:firstLine="481" w:firstLineChars="200"/>
              <w:jc w:val="left"/>
              <w:rPr>
                <w:b/>
                <w:sz w:val="24"/>
              </w:rPr>
            </w:pPr>
            <w:r>
              <w:rPr>
                <w:rFonts w:hint="eastAsia"/>
                <w:b/>
                <w:sz w:val="24"/>
              </w:rPr>
              <w:t>营运期</w:t>
            </w:r>
          </w:p>
          <w:p>
            <w:pPr>
              <w:spacing w:line="500" w:lineRule="exact"/>
              <w:ind w:firstLine="480" w:firstLineChars="200"/>
              <w:jc w:val="left"/>
              <w:rPr>
                <w:sz w:val="24"/>
              </w:rPr>
            </w:pPr>
            <w:r>
              <w:rPr>
                <w:rFonts w:hint="eastAsia"/>
                <w:sz w:val="24"/>
              </w:rPr>
              <w:t>（1）主要污染影响因素</w:t>
            </w:r>
          </w:p>
          <w:p>
            <w:pPr>
              <w:spacing w:line="500" w:lineRule="exact"/>
              <w:ind w:firstLine="480" w:firstLineChars="200"/>
              <w:jc w:val="left"/>
              <w:rPr>
                <w:sz w:val="24"/>
              </w:rPr>
            </w:pPr>
            <w:r>
              <w:rPr>
                <w:rFonts w:hint="eastAsia"/>
                <w:sz w:val="24"/>
              </w:rPr>
              <w:t>营运期主要污染影响因素有废气、废水、固废和噪声。</w:t>
            </w:r>
          </w:p>
          <w:p>
            <w:pPr>
              <w:spacing w:line="500" w:lineRule="exact"/>
              <w:ind w:firstLine="480" w:firstLineChars="200"/>
              <w:jc w:val="left"/>
              <w:rPr>
                <w:sz w:val="24"/>
              </w:rPr>
            </w:pPr>
            <w:r>
              <w:rPr>
                <w:rFonts w:hint="eastAsia"/>
                <w:sz w:val="24"/>
              </w:rPr>
              <w:t>（2）主要污染因子分析</w:t>
            </w:r>
          </w:p>
          <w:p>
            <w:pPr>
              <w:spacing w:line="500" w:lineRule="exact"/>
              <w:ind w:firstLine="480" w:firstLineChars="200"/>
              <w:jc w:val="left"/>
              <w:rPr>
                <w:sz w:val="24"/>
              </w:rPr>
            </w:pPr>
            <w:r>
              <w:rPr>
                <w:rFonts w:hint="eastAsia"/>
                <w:bCs/>
                <w:sz w:val="24"/>
              </w:rPr>
              <w:t>1）</w:t>
            </w:r>
            <w:r>
              <w:rPr>
                <w:rFonts w:hint="eastAsia"/>
                <w:sz w:val="24"/>
              </w:rPr>
              <w:t>废气影响</w:t>
            </w:r>
          </w:p>
          <w:p>
            <w:pPr>
              <w:spacing w:line="500" w:lineRule="exact"/>
              <w:ind w:firstLine="480" w:firstLineChars="200"/>
              <w:jc w:val="left"/>
              <w:rPr>
                <w:sz w:val="24"/>
              </w:rPr>
            </w:pPr>
            <w:r>
              <w:rPr>
                <w:rFonts w:hint="eastAsia"/>
                <w:sz w:val="24"/>
              </w:rPr>
              <w:t>本项目</w:t>
            </w:r>
            <w:r>
              <w:rPr>
                <w:sz w:val="24"/>
              </w:rPr>
              <w:t>废气主要是粉尘。主要来源有矿山开采过程中石材切割产生粉尘；</w:t>
            </w:r>
            <w:r>
              <w:rPr>
                <w:rFonts w:hint="eastAsia"/>
                <w:sz w:val="24"/>
              </w:rPr>
              <w:t>水平钻钻孔过程产生的粉尘；；</w:t>
            </w:r>
            <w:r>
              <w:rPr>
                <w:sz w:val="24"/>
              </w:rPr>
              <w:t>装卸粉尘</w:t>
            </w:r>
            <w:r>
              <w:rPr>
                <w:rFonts w:hint="eastAsia"/>
                <w:sz w:val="24"/>
              </w:rPr>
              <w:t>；</w:t>
            </w:r>
            <w:r>
              <w:rPr>
                <w:sz w:val="24"/>
              </w:rPr>
              <w:t>运输车辆引起的动力扬尘；堆场扬尘。</w:t>
            </w:r>
          </w:p>
          <w:p>
            <w:pPr>
              <w:widowControl/>
              <w:spacing w:line="360" w:lineRule="auto"/>
              <w:ind w:firstLine="480" w:firstLineChars="200"/>
              <w:jc w:val="left"/>
              <w:rPr>
                <w:rFonts w:hAnsi="宋体"/>
                <w:kern w:val="0"/>
                <w:sz w:val="24"/>
              </w:rPr>
            </w:pPr>
            <w:r>
              <w:rPr>
                <w:rFonts w:hint="eastAsia" w:hAnsi="宋体"/>
                <w:kern w:val="0"/>
                <w:sz w:val="24"/>
              </w:rPr>
              <w:t>1、切割粉尘</w:t>
            </w:r>
          </w:p>
          <w:p>
            <w:pPr>
              <w:widowControl/>
              <w:spacing w:line="360" w:lineRule="auto"/>
              <w:ind w:firstLine="480" w:firstLineChars="200"/>
              <w:jc w:val="left"/>
              <w:rPr>
                <w:kern w:val="0"/>
                <w:sz w:val="24"/>
              </w:rPr>
            </w:pPr>
            <w:r>
              <w:rPr>
                <w:kern w:val="0"/>
                <w:sz w:val="24"/>
              </w:rPr>
              <w:t>项目使用圆盘锯进行切割作业。根据《逸散性工业粉尘控制技术》(中国环境科学出版社，1989) 的数据可知，切割时逸散尘排放因子为0.004kg/t (石料)。该项目开采石方量为</w:t>
            </w:r>
            <w:r>
              <w:rPr>
                <w:rFonts w:hint="eastAsia"/>
                <w:kern w:val="0"/>
                <w:sz w:val="24"/>
              </w:rPr>
              <w:t>100</w:t>
            </w:r>
            <w:r>
              <w:rPr>
                <w:kern w:val="0"/>
                <w:sz w:val="24"/>
              </w:rPr>
              <w:t>万m</w:t>
            </w:r>
            <w:r>
              <w:rPr>
                <w:kern w:val="0"/>
                <w:sz w:val="24"/>
                <w:vertAlign w:val="superscript"/>
              </w:rPr>
              <w:t>3</w:t>
            </w:r>
            <w:r>
              <w:rPr>
                <w:kern w:val="0"/>
                <w:sz w:val="24"/>
              </w:rPr>
              <w:t>/a，密度约为2</w:t>
            </w:r>
            <w:r>
              <w:rPr>
                <w:rFonts w:hint="eastAsia"/>
                <w:kern w:val="0"/>
                <w:sz w:val="24"/>
              </w:rPr>
              <w:t>56</w:t>
            </w:r>
            <w:r>
              <w:rPr>
                <w:kern w:val="0"/>
                <w:sz w:val="24"/>
              </w:rPr>
              <w:t>0kg/m</w:t>
            </w:r>
            <w:r>
              <w:rPr>
                <w:kern w:val="0"/>
                <w:sz w:val="24"/>
                <w:vertAlign w:val="superscript"/>
              </w:rPr>
              <w:t>3</w:t>
            </w:r>
            <w:r>
              <w:rPr>
                <w:kern w:val="0"/>
                <w:sz w:val="24"/>
              </w:rPr>
              <w:t>。此其切割时逸散尘的产生量约为</w:t>
            </w:r>
            <w:r>
              <w:rPr>
                <w:rFonts w:hint="eastAsia"/>
                <w:kern w:val="0"/>
                <w:sz w:val="24"/>
              </w:rPr>
              <w:t>10.24</w:t>
            </w:r>
            <w:r>
              <w:rPr>
                <w:kern w:val="0"/>
                <w:sz w:val="24"/>
              </w:rPr>
              <w:t>t/a。建设单位</w:t>
            </w:r>
            <w:r>
              <w:rPr>
                <w:rFonts w:hint="eastAsia"/>
                <w:kern w:val="0"/>
                <w:sz w:val="24"/>
              </w:rPr>
              <w:t>采用湿法作业，</w:t>
            </w:r>
            <w:r>
              <w:rPr>
                <w:kern w:val="0"/>
                <w:sz w:val="24"/>
              </w:rPr>
              <w:t>在切割的时候进行水喷淋降尘处理，经喷淋降尘措施后，处理效率可达90%左右，采取上述处理方式后，切割过程中扬尘排放量为</w:t>
            </w:r>
            <w:r>
              <w:rPr>
                <w:rFonts w:hint="eastAsia"/>
                <w:kern w:val="0"/>
                <w:sz w:val="24"/>
              </w:rPr>
              <w:t>1.02</w:t>
            </w:r>
            <w:r>
              <w:rPr>
                <w:kern w:val="0"/>
                <w:sz w:val="24"/>
              </w:rPr>
              <w:t>t/a。项目厂区定期洒水抑制扬尘，扬尘产生量较小。</w:t>
            </w:r>
          </w:p>
          <w:p>
            <w:pPr>
              <w:widowControl/>
              <w:spacing w:line="360" w:lineRule="auto"/>
              <w:ind w:firstLine="480" w:firstLineChars="200"/>
              <w:jc w:val="left"/>
              <w:rPr>
                <w:kern w:val="0"/>
                <w:sz w:val="24"/>
              </w:rPr>
            </w:pPr>
            <w:r>
              <w:rPr>
                <w:rFonts w:hint="eastAsia"/>
                <w:kern w:val="0"/>
                <w:sz w:val="24"/>
              </w:rPr>
              <w:t>2、水平钻穿孔扬尘</w:t>
            </w:r>
          </w:p>
          <w:p>
            <w:pPr>
              <w:widowControl/>
              <w:spacing w:line="360" w:lineRule="auto"/>
              <w:ind w:firstLine="480" w:firstLineChars="200"/>
              <w:jc w:val="left"/>
              <w:rPr>
                <w:kern w:val="0"/>
                <w:sz w:val="24"/>
              </w:rPr>
            </w:pPr>
            <w:r>
              <w:rPr>
                <w:rFonts w:hint="eastAsia"/>
                <w:kern w:val="0"/>
                <w:sz w:val="24"/>
              </w:rPr>
              <w:t>水平钻穿孔时，钻头撞击岩石产生粉尘，根据类比在未设防尘措施的条件下，作业场所空气中粉尘的产生强度为8kg/h，粉尘的产生浓度可达60~80mg/m</w:t>
            </w:r>
            <w:r>
              <w:rPr>
                <w:rFonts w:hint="eastAsia"/>
                <w:kern w:val="0"/>
                <w:sz w:val="24"/>
                <w:vertAlign w:val="superscript"/>
              </w:rPr>
              <w:t>3</w:t>
            </w:r>
            <w:r>
              <w:rPr>
                <w:rFonts w:hint="eastAsia"/>
                <w:kern w:val="0"/>
                <w:sz w:val="24"/>
              </w:rPr>
              <w:t>，此粉尘影响范围一般在 6m左右。本项目每天持续钻孔时间约为2小时，年工作300天，项目钻孔作业过程中粉尘产生量约为 16kg/d，（4.8t/a）。该项目在钻孔过程中拟采用湿法作业。采用湿式钻孔机可以有效地减少粉尘的产生，抑尘效率可达 90%。排放量约为 0.48t/a。</w:t>
            </w:r>
          </w:p>
          <w:p>
            <w:pPr>
              <w:spacing w:line="500" w:lineRule="exact"/>
              <w:ind w:firstLine="480" w:firstLineChars="200"/>
              <w:jc w:val="left"/>
              <w:rPr>
                <w:sz w:val="24"/>
              </w:rPr>
            </w:pPr>
            <w:r>
              <w:rPr>
                <w:rFonts w:hint="eastAsia"/>
                <w:sz w:val="24"/>
              </w:rPr>
              <w:t>3、</w:t>
            </w:r>
            <w:r>
              <w:rPr>
                <w:sz w:val="24"/>
              </w:rPr>
              <w:t>装卸粉尘</w:t>
            </w:r>
          </w:p>
          <w:p>
            <w:pPr>
              <w:spacing w:line="500" w:lineRule="exact"/>
              <w:ind w:firstLine="480" w:firstLineChars="200"/>
              <w:jc w:val="left"/>
              <w:rPr>
                <w:sz w:val="24"/>
              </w:rPr>
            </w:pPr>
            <w:r>
              <w:rPr>
                <w:sz w:val="24"/>
              </w:rPr>
              <w:t>挖掘机或装载机挖掘铲装矿岩时，沉落在矿岩表面上的和磨擦、碰撞产生的粉尘因受振动而扬起形成二次扬尘。铲装作业粉尘的产生浓度为10mg/m</w:t>
            </w:r>
            <w:r>
              <w:rPr>
                <w:sz w:val="24"/>
                <w:vertAlign w:val="superscript"/>
              </w:rPr>
              <w:t>3</w:t>
            </w:r>
            <w:r>
              <w:rPr>
                <w:sz w:val="24"/>
              </w:rPr>
              <w:t>~100mg/m</w:t>
            </w:r>
            <w:r>
              <w:rPr>
                <w:sz w:val="24"/>
                <w:vertAlign w:val="superscript"/>
              </w:rPr>
              <w:t>3</w:t>
            </w:r>
            <w:r>
              <w:rPr>
                <w:sz w:val="24"/>
              </w:rPr>
              <w:t>。根据同类矿区的一些统计调查经验，在干燥天气下作业工作面最大产尘约为</w:t>
            </w:r>
            <w:r>
              <w:rPr>
                <w:rFonts w:hint="eastAsia"/>
                <w:sz w:val="24"/>
              </w:rPr>
              <w:t>0.4</w:t>
            </w:r>
            <w:r>
              <w:rPr>
                <w:sz w:val="24"/>
              </w:rPr>
              <w:t>kg/h。项目年工作</w:t>
            </w:r>
            <w:r>
              <w:rPr>
                <w:rFonts w:hint="eastAsia"/>
                <w:sz w:val="24"/>
              </w:rPr>
              <w:t>300</w:t>
            </w:r>
            <w:r>
              <w:rPr>
                <w:sz w:val="24"/>
              </w:rPr>
              <w:t>天，每天</w:t>
            </w:r>
            <w:r>
              <w:rPr>
                <w:rFonts w:hint="eastAsia"/>
                <w:sz w:val="24"/>
              </w:rPr>
              <w:t>装卸时间</w:t>
            </w:r>
            <w:r>
              <w:rPr>
                <w:sz w:val="24"/>
              </w:rPr>
              <w:t>工作</w:t>
            </w:r>
            <w:r>
              <w:rPr>
                <w:rFonts w:hint="eastAsia"/>
                <w:sz w:val="24"/>
              </w:rPr>
              <w:t>8</w:t>
            </w:r>
            <w:r>
              <w:rPr>
                <w:sz w:val="24"/>
              </w:rPr>
              <w:t>小时，则铲装过程粉尘的产生量为0.</w:t>
            </w:r>
            <w:r>
              <w:rPr>
                <w:rFonts w:hint="eastAsia"/>
                <w:sz w:val="24"/>
              </w:rPr>
              <w:t>9</w:t>
            </w:r>
            <w:r>
              <w:rPr>
                <w:sz w:val="24"/>
              </w:rPr>
              <w:t>6t/a。</w:t>
            </w:r>
          </w:p>
          <w:p>
            <w:pPr>
              <w:spacing w:line="500" w:lineRule="exact"/>
              <w:ind w:firstLine="480" w:firstLineChars="200"/>
              <w:jc w:val="left"/>
              <w:rPr>
                <w:sz w:val="24"/>
              </w:rPr>
            </w:pPr>
            <w:r>
              <w:rPr>
                <w:rFonts w:hint="eastAsia"/>
                <w:sz w:val="24"/>
              </w:rPr>
              <w:t>在装卸环节设大型雾炮抑尘，四周设置防风抑尘网，装卸前</w:t>
            </w:r>
            <w:r>
              <w:rPr>
                <w:sz w:val="24"/>
              </w:rPr>
              <w:t>采用喷雾洒水装置对</w:t>
            </w:r>
            <w:r>
              <w:rPr>
                <w:rFonts w:hint="eastAsia"/>
                <w:sz w:val="24"/>
              </w:rPr>
              <w:t>装卸区域</w:t>
            </w:r>
            <w:r>
              <w:rPr>
                <w:sz w:val="24"/>
              </w:rPr>
              <w:t>进行充分预湿</w:t>
            </w:r>
            <w:r>
              <w:rPr>
                <w:rFonts w:hint="eastAsia"/>
                <w:sz w:val="24"/>
              </w:rPr>
              <w:t>，装卸时进行喷雾降尘</w:t>
            </w:r>
            <w:r>
              <w:rPr>
                <w:sz w:val="24"/>
              </w:rPr>
              <w:t>。经采取上述措施后，铲装过程粉尘产生量将可减少</w:t>
            </w:r>
            <w:r>
              <w:rPr>
                <w:rFonts w:hint="eastAsia"/>
                <w:sz w:val="24"/>
              </w:rPr>
              <w:t>9</w:t>
            </w:r>
            <w:r>
              <w:rPr>
                <w:sz w:val="24"/>
              </w:rPr>
              <w:t>0%，则铲装过程粉尘的排放量为0.</w:t>
            </w:r>
            <w:r>
              <w:rPr>
                <w:rFonts w:hint="eastAsia"/>
                <w:sz w:val="24"/>
              </w:rPr>
              <w:t>096</w:t>
            </w:r>
            <w:r>
              <w:rPr>
                <w:sz w:val="24"/>
              </w:rPr>
              <w:t>t/a。</w:t>
            </w:r>
          </w:p>
          <w:p>
            <w:pPr>
              <w:spacing w:line="500" w:lineRule="exact"/>
              <w:ind w:firstLine="480" w:firstLineChars="200"/>
              <w:jc w:val="left"/>
              <w:rPr>
                <w:sz w:val="24"/>
              </w:rPr>
            </w:pPr>
            <w:r>
              <w:rPr>
                <w:rFonts w:hint="eastAsia"/>
                <w:sz w:val="24"/>
              </w:rPr>
              <w:t>4、堆场及车辆运输道路扬尘</w:t>
            </w:r>
          </w:p>
          <w:p>
            <w:pPr>
              <w:spacing w:line="500" w:lineRule="exact"/>
              <w:ind w:firstLine="480" w:firstLineChars="200"/>
              <w:jc w:val="left"/>
              <w:rPr>
                <w:sz w:val="24"/>
              </w:rPr>
            </w:pPr>
            <w:r>
              <w:rPr>
                <w:rFonts w:hint="eastAsia"/>
                <w:sz w:val="24"/>
              </w:rPr>
              <w:t>a.汽车动力起尘量</w:t>
            </w:r>
          </w:p>
          <w:p>
            <w:pPr>
              <w:spacing w:line="500" w:lineRule="exact"/>
              <w:ind w:firstLine="480" w:firstLineChars="200"/>
              <w:jc w:val="left"/>
              <w:rPr>
                <w:sz w:val="24"/>
              </w:rPr>
            </w:pPr>
            <w:r>
              <w:rPr>
                <w:rFonts w:hint="eastAsia"/>
                <w:sz w:val="24"/>
              </w:rPr>
              <w:t>车辆行驶产生的扬尘，在道路完全干燥的情况下，可按下列经验公式计算：</w:t>
            </w:r>
          </w:p>
          <w:p>
            <w:pPr>
              <w:spacing w:line="500" w:lineRule="exact"/>
              <w:ind w:firstLine="480" w:firstLineChars="200"/>
              <w:jc w:val="center"/>
              <w:rPr>
                <w:b/>
                <w:sz w:val="24"/>
              </w:rPr>
            </w:pPr>
            <w:r>
              <w:rPr>
                <w:rFonts w:hint="eastAsia"/>
                <w:sz w:val="24"/>
              </w:rPr>
              <w:t>Q=0.123(V/5)(W/6.8)</w:t>
            </w:r>
            <w:r>
              <w:rPr>
                <w:rFonts w:hint="eastAsia"/>
                <w:sz w:val="24"/>
                <w:vertAlign w:val="superscript"/>
              </w:rPr>
              <w:t>0.85</w:t>
            </w:r>
            <w:r>
              <w:rPr>
                <w:rFonts w:hint="eastAsia"/>
                <w:sz w:val="24"/>
              </w:rPr>
              <w:t>(P/0.5)</w:t>
            </w:r>
            <w:r>
              <w:rPr>
                <w:rFonts w:hint="eastAsia"/>
                <w:sz w:val="24"/>
                <w:vertAlign w:val="superscript"/>
              </w:rPr>
              <w:t>0.75</w:t>
            </w:r>
          </w:p>
          <w:p>
            <w:pPr>
              <w:spacing w:line="500" w:lineRule="exact"/>
              <w:ind w:firstLine="480" w:firstLineChars="200"/>
              <w:jc w:val="left"/>
              <w:rPr>
                <w:sz w:val="24"/>
              </w:rPr>
            </w:pPr>
            <w:r>
              <w:rPr>
                <w:rFonts w:hint="eastAsia"/>
                <w:sz w:val="24"/>
              </w:rPr>
              <w:t>式中：Q：汽车行驶时的扬尘，kg/km.辆；</w:t>
            </w:r>
          </w:p>
          <w:p>
            <w:pPr>
              <w:spacing w:line="500" w:lineRule="exact"/>
              <w:ind w:firstLine="480" w:firstLineChars="200"/>
              <w:jc w:val="left"/>
              <w:rPr>
                <w:sz w:val="24"/>
              </w:rPr>
            </w:pPr>
            <w:r>
              <w:rPr>
                <w:rFonts w:hint="eastAsia"/>
                <w:sz w:val="24"/>
              </w:rPr>
              <w:t>V：汽车速度，km/h；</w:t>
            </w:r>
          </w:p>
          <w:p>
            <w:pPr>
              <w:spacing w:line="500" w:lineRule="exact"/>
              <w:ind w:firstLine="480" w:firstLineChars="200"/>
              <w:jc w:val="left"/>
              <w:rPr>
                <w:sz w:val="24"/>
              </w:rPr>
            </w:pPr>
            <w:r>
              <w:rPr>
                <w:rFonts w:hint="eastAsia"/>
                <w:sz w:val="24"/>
              </w:rPr>
              <w:t>W：汽车载重量，吨；</w:t>
            </w:r>
          </w:p>
          <w:p>
            <w:pPr>
              <w:spacing w:line="500" w:lineRule="exact"/>
              <w:ind w:firstLine="480" w:firstLineChars="200"/>
              <w:jc w:val="left"/>
              <w:rPr>
                <w:sz w:val="24"/>
                <w:highlight w:val="yellow"/>
              </w:rPr>
            </w:pPr>
            <w:r>
              <w:rPr>
                <w:rFonts w:hint="eastAsia"/>
                <w:sz w:val="24"/>
              </w:rPr>
              <w:t>P：道路表面粉尘量，kg/m</w:t>
            </w:r>
            <w:r>
              <w:rPr>
                <w:rFonts w:hint="eastAsia"/>
                <w:sz w:val="24"/>
                <w:vertAlign w:val="superscript"/>
              </w:rPr>
              <w:t>3</w:t>
            </w:r>
            <w:r>
              <w:rPr>
                <w:rFonts w:hint="eastAsia"/>
                <w:sz w:val="24"/>
              </w:rPr>
              <w:t>。</w:t>
            </w:r>
          </w:p>
          <w:p>
            <w:pPr>
              <w:spacing w:line="500" w:lineRule="exact"/>
              <w:ind w:firstLine="480" w:firstLineChars="200"/>
              <w:jc w:val="left"/>
              <w:rPr>
                <w:sz w:val="24"/>
                <w:highlight w:val="yellow"/>
              </w:rPr>
            </w:pPr>
            <w:r>
              <w:rPr>
                <w:sz w:val="24"/>
              </w:rPr>
              <w:t>本项目车辆在厂区行驶距离按</w:t>
            </w:r>
            <w:r>
              <w:rPr>
                <w:rFonts w:hint="eastAsia"/>
                <w:sz w:val="24"/>
              </w:rPr>
              <w:t>5</w:t>
            </w:r>
            <w:r>
              <w:rPr>
                <w:sz w:val="24"/>
              </w:rPr>
              <w:t>00米计，平均每天发车空、重载各</w:t>
            </w:r>
            <w:r>
              <w:rPr>
                <w:rFonts w:hint="eastAsia"/>
                <w:sz w:val="24"/>
              </w:rPr>
              <w:t>430</w:t>
            </w:r>
            <w:r>
              <w:rPr>
                <w:sz w:val="24"/>
              </w:rPr>
              <w:t>辆（次）；空车重约10.0t，重车重约30.0t。以速度20km/h行驶，根据本项目的实际情况</w:t>
            </w:r>
            <w:r>
              <w:rPr>
                <w:rFonts w:hint="eastAsia"/>
                <w:sz w:val="24"/>
              </w:rPr>
              <w:t>和类比同类矿山，</w:t>
            </w:r>
            <w:r>
              <w:rPr>
                <w:sz w:val="24"/>
              </w:rPr>
              <w:t>在不同路面清洁度情况下的扬尘量如下：</w:t>
            </w:r>
          </w:p>
          <w:p>
            <w:pPr>
              <w:spacing w:line="500" w:lineRule="exact"/>
              <w:ind w:firstLine="481" w:firstLineChars="200"/>
              <w:jc w:val="center"/>
              <w:rPr>
                <w:b/>
                <w:sz w:val="24"/>
              </w:rPr>
            </w:pPr>
            <w:r>
              <w:rPr>
                <w:rFonts w:hint="eastAsia"/>
                <w:b/>
                <w:sz w:val="24"/>
              </w:rPr>
              <w:t>表5-1   扬尘产生量  （单位：kg/d）</w:t>
            </w:r>
          </w:p>
          <w:tbl>
            <w:tblPr>
              <w:tblStyle w:val="15"/>
              <w:tblW w:w="8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374"/>
              <w:gridCol w:w="1374"/>
              <w:gridCol w:w="1374"/>
              <w:gridCol w:w="1195"/>
              <w:gridCol w:w="1417"/>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872" w:type="dxa"/>
                  <w:tcBorders>
                    <w:top w:val="single" w:color="auto" w:sz="12" w:space="0"/>
                    <w:left w:val="single" w:color="auto" w:sz="12" w:space="0"/>
                    <w:tl2br w:val="single" w:color="auto" w:sz="4" w:space="0"/>
                  </w:tcBorders>
                  <w:noWrap/>
                  <w:vAlign w:val="center"/>
                </w:tcPr>
                <w:p>
                  <w:pPr>
                    <w:jc w:val="center"/>
                  </w:pPr>
                  <w:r>
                    <w:rPr>
                      <w:rFonts w:hint="eastAsia"/>
                    </w:rPr>
                    <w:t>路况</w:t>
                  </w:r>
                </w:p>
                <w:p>
                  <w:pPr>
                    <w:jc w:val="center"/>
                  </w:pPr>
                  <w:r>
                    <w:rPr>
                      <w:rFonts w:hint="eastAsia"/>
                    </w:rPr>
                    <w:t>车况</w:t>
                  </w:r>
                </w:p>
              </w:tc>
              <w:tc>
                <w:tcPr>
                  <w:tcW w:w="1374" w:type="dxa"/>
                  <w:tcBorders>
                    <w:top w:val="single" w:color="auto" w:sz="12" w:space="0"/>
                  </w:tcBorders>
                  <w:noWrap/>
                  <w:vAlign w:val="center"/>
                </w:tcPr>
                <w:p>
                  <w:pPr>
                    <w:jc w:val="center"/>
                  </w:pPr>
                  <w:r>
                    <w:rPr>
                      <w:rFonts w:hint="eastAsia"/>
                    </w:rPr>
                    <w:t>0.1</w:t>
                  </w:r>
                </w:p>
                <w:p>
                  <w:pPr>
                    <w:jc w:val="center"/>
                  </w:pPr>
                  <w:r>
                    <w:rPr>
                      <w:rFonts w:hint="eastAsia"/>
                    </w:rPr>
                    <w:t>（kg/m</w:t>
                  </w:r>
                  <w:r>
                    <w:rPr>
                      <w:rFonts w:hint="eastAsia"/>
                      <w:vertAlign w:val="superscript"/>
                    </w:rPr>
                    <w:t>2</w:t>
                  </w:r>
                  <w:r>
                    <w:rPr>
                      <w:rFonts w:hint="eastAsia"/>
                    </w:rPr>
                    <w:t>）</w:t>
                  </w:r>
                </w:p>
              </w:tc>
              <w:tc>
                <w:tcPr>
                  <w:tcW w:w="1374" w:type="dxa"/>
                  <w:tcBorders>
                    <w:top w:val="single" w:color="auto" w:sz="12" w:space="0"/>
                  </w:tcBorders>
                  <w:noWrap/>
                  <w:vAlign w:val="center"/>
                </w:tcPr>
                <w:p>
                  <w:pPr>
                    <w:jc w:val="center"/>
                  </w:pPr>
                  <w:r>
                    <w:rPr>
                      <w:rFonts w:hint="eastAsia"/>
                    </w:rPr>
                    <w:t>0.2</w:t>
                  </w:r>
                </w:p>
                <w:p>
                  <w:pPr>
                    <w:jc w:val="center"/>
                  </w:pPr>
                  <w:r>
                    <w:rPr>
                      <w:rFonts w:hint="eastAsia"/>
                    </w:rPr>
                    <w:t>（kg/m</w:t>
                  </w:r>
                  <w:r>
                    <w:rPr>
                      <w:rFonts w:hint="eastAsia"/>
                      <w:vertAlign w:val="superscript"/>
                    </w:rPr>
                    <w:t>2</w:t>
                  </w:r>
                  <w:r>
                    <w:rPr>
                      <w:rFonts w:hint="eastAsia"/>
                    </w:rPr>
                    <w:t>）</w:t>
                  </w:r>
                </w:p>
              </w:tc>
              <w:tc>
                <w:tcPr>
                  <w:tcW w:w="1374" w:type="dxa"/>
                  <w:tcBorders>
                    <w:top w:val="single" w:color="auto" w:sz="12" w:space="0"/>
                  </w:tcBorders>
                  <w:noWrap/>
                  <w:vAlign w:val="center"/>
                </w:tcPr>
                <w:p>
                  <w:pPr>
                    <w:jc w:val="center"/>
                  </w:pPr>
                  <w:r>
                    <w:rPr>
                      <w:rFonts w:hint="eastAsia"/>
                    </w:rPr>
                    <w:t>0.3</w:t>
                  </w:r>
                </w:p>
                <w:p>
                  <w:pPr>
                    <w:jc w:val="center"/>
                  </w:pPr>
                  <w:r>
                    <w:rPr>
                      <w:rFonts w:hint="eastAsia"/>
                    </w:rPr>
                    <w:t>（kg/m</w:t>
                  </w:r>
                  <w:r>
                    <w:rPr>
                      <w:rFonts w:hint="eastAsia"/>
                      <w:vertAlign w:val="superscript"/>
                    </w:rPr>
                    <w:t>2</w:t>
                  </w:r>
                  <w:r>
                    <w:rPr>
                      <w:rFonts w:hint="eastAsia"/>
                    </w:rPr>
                    <w:t>）</w:t>
                  </w:r>
                </w:p>
              </w:tc>
              <w:tc>
                <w:tcPr>
                  <w:tcW w:w="1195" w:type="dxa"/>
                  <w:tcBorders>
                    <w:top w:val="single" w:color="auto" w:sz="12" w:space="0"/>
                  </w:tcBorders>
                  <w:noWrap/>
                  <w:vAlign w:val="center"/>
                </w:tcPr>
                <w:p>
                  <w:pPr>
                    <w:jc w:val="center"/>
                  </w:pPr>
                  <w:r>
                    <w:rPr>
                      <w:rFonts w:hint="eastAsia"/>
                    </w:rPr>
                    <w:t>0.4</w:t>
                  </w:r>
                </w:p>
                <w:p>
                  <w:pPr>
                    <w:jc w:val="center"/>
                  </w:pPr>
                  <w:r>
                    <w:rPr>
                      <w:rFonts w:hint="eastAsia"/>
                    </w:rPr>
                    <w:t>（kg/m</w:t>
                  </w:r>
                  <w:r>
                    <w:rPr>
                      <w:rFonts w:hint="eastAsia"/>
                      <w:vertAlign w:val="superscript"/>
                    </w:rPr>
                    <w:t>2</w:t>
                  </w:r>
                  <w:r>
                    <w:rPr>
                      <w:rFonts w:hint="eastAsia"/>
                    </w:rPr>
                    <w:t>）</w:t>
                  </w:r>
                </w:p>
              </w:tc>
              <w:tc>
                <w:tcPr>
                  <w:tcW w:w="1417" w:type="dxa"/>
                  <w:tcBorders>
                    <w:top w:val="single" w:color="auto" w:sz="12" w:space="0"/>
                  </w:tcBorders>
                  <w:noWrap/>
                  <w:vAlign w:val="center"/>
                </w:tcPr>
                <w:p>
                  <w:pPr>
                    <w:jc w:val="center"/>
                  </w:pPr>
                  <w:r>
                    <w:rPr>
                      <w:rFonts w:hint="eastAsia"/>
                    </w:rPr>
                    <w:t>0.5</w:t>
                  </w:r>
                </w:p>
                <w:p>
                  <w:pPr>
                    <w:jc w:val="center"/>
                  </w:pPr>
                  <w:r>
                    <w:rPr>
                      <w:rFonts w:hint="eastAsia"/>
                    </w:rPr>
                    <w:t>（kg/m</w:t>
                  </w:r>
                  <w:r>
                    <w:rPr>
                      <w:rFonts w:hint="eastAsia"/>
                      <w:vertAlign w:val="superscript"/>
                    </w:rPr>
                    <w:t>2</w:t>
                  </w:r>
                  <w:r>
                    <w:rPr>
                      <w:rFonts w:hint="eastAsia"/>
                    </w:rPr>
                    <w:t>）</w:t>
                  </w:r>
                </w:p>
              </w:tc>
              <w:tc>
                <w:tcPr>
                  <w:tcW w:w="1260" w:type="dxa"/>
                  <w:tcBorders>
                    <w:top w:val="single" w:color="auto" w:sz="12" w:space="0"/>
                    <w:right w:val="single" w:color="auto" w:sz="12" w:space="0"/>
                  </w:tcBorders>
                  <w:noWrap/>
                  <w:vAlign w:val="center"/>
                </w:tcPr>
                <w:p>
                  <w:pPr>
                    <w:jc w:val="center"/>
                  </w:pPr>
                  <w:r>
                    <w:rPr>
                      <w:rFonts w:hint="eastAsia"/>
                    </w:rPr>
                    <w:t>0.6</w:t>
                  </w:r>
                </w:p>
                <w:p>
                  <w:pPr>
                    <w:jc w:val="center"/>
                  </w:pPr>
                  <w:r>
                    <w:rPr>
                      <w:rFonts w:hint="eastAsia"/>
                    </w:rPr>
                    <w:t>（kg/m</w:t>
                  </w:r>
                  <w:r>
                    <w:rPr>
                      <w:rFonts w:hint="eastAsia"/>
                      <w:vertAlign w:val="superscript"/>
                    </w:rPr>
                    <w:t>2</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72" w:type="dxa"/>
                  <w:tcBorders>
                    <w:left w:val="single" w:color="auto" w:sz="12" w:space="0"/>
                  </w:tcBorders>
                  <w:noWrap/>
                  <w:vAlign w:val="center"/>
                </w:tcPr>
                <w:p>
                  <w:pPr>
                    <w:jc w:val="center"/>
                  </w:pPr>
                  <w:r>
                    <w:rPr>
                      <w:rFonts w:hint="eastAsia"/>
                    </w:rPr>
                    <w:t>空车</w:t>
                  </w:r>
                </w:p>
              </w:tc>
              <w:tc>
                <w:tcPr>
                  <w:tcW w:w="1374" w:type="dxa"/>
                  <w:noWrap/>
                  <w:vAlign w:val="center"/>
                </w:tcPr>
                <w:p>
                  <w:pPr>
                    <w:jc w:val="center"/>
                  </w:pPr>
                  <w:r>
                    <w:rPr>
                      <w:rFonts w:hint="eastAsia"/>
                    </w:rPr>
                    <w:t>16.32</w:t>
                  </w:r>
                </w:p>
              </w:tc>
              <w:tc>
                <w:tcPr>
                  <w:tcW w:w="1374" w:type="dxa"/>
                  <w:noWrap/>
                  <w:vAlign w:val="center"/>
                </w:tcPr>
                <w:p>
                  <w:pPr>
                    <w:jc w:val="center"/>
                  </w:pPr>
                  <w:r>
                    <w:rPr>
                      <w:rFonts w:hint="eastAsia"/>
                    </w:rPr>
                    <w:t>27.46</w:t>
                  </w:r>
                </w:p>
              </w:tc>
              <w:tc>
                <w:tcPr>
                  <w:tcW w:w="1374" w:type="dxa"/>
                  <w:noWrap/>
                  <w:vAlign w:val="center"/>
                </w:tcPr>
                <w:p>
                  <w:pPr>
                    <w:jc w:val="center"/>
                  </w:pPr>
                  <w:r>
                    <w:rPr>
                      <w:rFonts w:hint="eastAsia"/>
                    </w:rPr>
                    <w:t>37.24</w:t>
                  </w:r>
                </w:p>
              </w:tc>
              <w:tc>
                <w:tcPr>
                  <w:tcW w:w="1195" w:type="dxa"/>
                  <w:noWrap/>
                  <w:vAlign w:val="center"/>
                </w:tcPr>
                <w:p>
                  <w:pPr>
                    <w:jc w:val="center"/>
                  </w:pPr>
                  <w:r>
                    <w:rPr>
                      <w:rFonts w:hint="eastAsia"/>
                    </w:rPr>
                    <w:t>46.2</w:t>
                  </w:r>
                </w:p>
              </w:tc>
              <w:tc>
                <w:tcPr>
                  <w:tcW w:w="1417" w:type="dxa"/>
                  <w:noWrap/>
                  <w:vAlign w:val="center"/>
                </w:tcPr>
                <w:p>
                  <w:pPr>
                    <w:jc w:val="center"/>
                  </w:pPr>
                  <w:r>
                    <w:rPr>
                      <w:rFonts w:hint="eastAsia"/>
                    </w:rPr>
                    <w:t>54.58</w:t>
                  </w:r>
                </w:p>
              </w:tc>
              <w:tc>
                <w:tcPr>
                  <w:tcW w:w="1260" w:type="dxa"/>
                  <w:tcBorders>
                    <w:right w:val="single" w:color="auto" w:sz="12" w:space="0"/>
                  </w:tcBorders>
                  <w:noWrap/>
                  <w:vAlign w:val="center"/>
                </w:tcPr>
                <w:p>
                  <w:pPr>
                    <w:jc w:val="center"/>
                  </w:pPr>
                  <w:r>
                    <w:rPr>
                      <w:rFonts w:hint="eastAsia"/>
                    </w:rPr>
                    <w:t>91.84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tcBorders>
                    <w:left w:val="single" w:color="auto" w:sz="12" w:space="0"/>
                  </w:tcBorders>
                  <w:noWrap/>
                  <w:vAlign w:val="center"/>
                </w:tcPr>
                <w:p>
                  <w:pPr>
                    <w:jc w:val="center"/>
                  </w:pPr>
                  <w:r>
                    <w:rPr>
                      <w:rFonts w:hint="eastAsia"/>
                    </w:rPr>
                    <w:t>重车</w:t>
                  </w:r>
                </w:p>
              </w:tc>
              <w:tc>
                <w:tcPr>
                  <w:tcW w:w="1374" w:type="dxa"/>
                  <w:noWrap/>
                  <w:vAlign w:val="center"/>
                </w:tcPr>
                <w:p>
                  <w:pPr>
                    <w:jc w:val="center"/>
                  </w:pPr>
                  <w:r>
                    <w:rPr>
                      <w:rFonts w:hint="eastAsia"/>
                    </w:rPr>
                    <w:t>41.52</w:t>
                  </w:r>
                </w:p>
              </w:tc>
              <w:tc>
                <w:tcPr>
                  <w:tcW w:w="1374" w:type="dxa"/>
                  <w:noWrap/>
                  <w:vAlign w:val="center"/>
                </w:tcPr>
                <w:p>
                  <w:pPr>
                    <w:jc w:val="center"/>
                  </w:pPr>
                  <w:r>
                    <w:rPr>
                      <w:rFonts w:hint="eastAsia"/>
                    </w:rPr>
                    <w:t>69.84</w:t>
                  </w:r>
                </w:p>
              </w:tc>
              <w:tc>
                <w:tcPr>
                  <w:tcW w:w="1374" w:type="dxa"/>
                  <w:noWrap/>
                  <w:vAlign w:val="center"/>
                </w:tcPr>
                <w:p>
                  <w:pPr>
                    <w:jc w:val="center"/>
                  </w:pPr>
                  <w:r>
                    <w:rPr>
                      <w:rFonts w:hint="eastAsia"/>
                    </w:rPr>
                    <w:t>94.76</w:t>
                  </w:r>
                </w:p>
              </w:tc>
              <w:tc>
                <w:tcPr>
                  <w:tcW w:w="1195" w:type="dxa"/>
                  <w:noWrap/>
                  <w:vAlign w:val="center"/>
                </w:tcPr>
                <w:p>
                  <w:pPr>
                    <w:jc w:val="center"/>
                  </w:pPr>
                  <w:r>
                    <w:rPr>
                      <w:rFonts w:hint="eastAsia"/>
                    </w:rPr>
                    <w:t>117.54</w:t>
                  </w:r>
                </w:p>
              </w:tc>
              <w:tc>
                <w:tcPr>
                  <w:tcW w:w="1417" w:type="dxa"/>
                  <w:noWrap/>
                  <w:vAlign w:val="center"/>
                </w:tcPr>
                <w:p>
                  <w:pPr>
                    <w:jc w:val="center"/>
                  </w:pPr>
                  <w:r>
                    <w:rPr>
                      <w:rFonts w:hint="eastAsia"/>
                    </w:rPr>
                    <w:t>138.88</w:t>
                  </w:r>
                </w:p>
              </w:tc>
              <w:tc>
                <w:tcPr>
                  <w:tcW w:w="1260" w:type="dxa"/>
                  <w:tcBorders>
                    <w:right w:val="single" w:color="auto" w:sz="12" w:space="0"/>
                  </w:tcBorders>
                  <w:noWrap/>
                  <w:vAlign w:val="center"/>
                </w:tcPr>
                <w:p>
                  <w:pPr>
                    <w:jc w:val="center"/>
                  </w:pPr>
                  <w:r>
                    <w:rPr>
                      <w:rFonts w:hint="eastAsia"/>
                    </w:rPr>
                    <w:t>233.64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tcBorders>
                    <w:left w:val="single" w:color="auto" w:sz="12" w:space="0"/>
                    <w:bottom w:val="single" w:color="auto" w:sz="12" w:space="0"/>
                  </w:tcBorders>
                  <w:noWrap/>
                  <w:vAlign w:val="center"/>
                </w:tcPr>
                <w:p>
                  <w:pPr>
                    <w:jc w:val="center"/>
                  </w:pPr>
                  <w:r>
                    <w:rPr>
                      <w:rFonts w:hint="eastAsia"/>
                    </w:rPr>
                    <w:t>合计</w:t>
                  </w:r>
                </w:p>
              </w:tc>
              <w:tc>
                <w:tcPr>
                  <w:tcW w:w="1374" w:type="dxa"/>
                  <w:tcBorders>
                    <w:bottom w:val="single" w:color="auto" w:sz="12" w:space="0"/>
                  </w:tcBorders>
                  <w:noWrap/>
                  <w:vAlign w:val="center"/>
                </w:tcPr>
                <w:p>
                  <w:pPr>
                    <w:jc w:val="center"/>
                  </w:pPr>
                  <w:r>
                    <w:rPr>
                      <w:rFonts w:hint="eastAsia"/>
                    </w:rPr>
                    <w:t>57.84</w:t>
                  </w:r>
                </w:p>
              </w:tc>
              <w:tc>
                <w:tcPr>
                  <w:tcW w:w="1374" w:type="dxa"/>
                  <w:tcBorders>
                    <w:bottom w:val="single" w:color="auto" w:sz="12" w:space="0"/>
                  </w:tcBorders>
                  <w:noWrap/>
                  <w:vAlign w:val="center"/>
                </w:tcPr>
                <w:p>
                  <w:pPr>
                    <w:jc w:val="center"/>
                  </w:pPr>
                  <w:r>
                    <w:rPr>
                      <w:rFonts w:hint="eastAsia"/>
                    </w:rPr>
                    <w:t>97.3</w:t>
                  </w:r>
                </w:p>
              </w:tc>
              <w:tc>
                <w:tcPr>
                  <w:tcW w:w="1374" w:type="dxa"/>
                  <w:tcBorders>
                    <w:bottom w:val="single" w:color="auto" w:sz="12" w:space="0"/>
                  </w:tcBorders>
                  <w:noWrap/>
                  <w:vAlign w:val="center"/>
                </w:tcPr>
                <w:p>
                  <w:pPr>
                    <w:jc w:val="center"/>
                  </w:pPr>
                  <w:r>
                    <w:rPr>
                      <w:rFonts w:hint="eastAsia"/>
                    </w:rPr>
                    <w:t>132</w:t>
                  </w:r>
                </w:p>
              </w:tc>
              <w:tc>
                <w:tcPr>
                  <w:tcW w:w="1195" w:type="dxa"/>
                  <w:tcBorders>
                    <w:bottom w:val="single" w:color="auto" w:sz="12" w:space="0"/>
                  </w:tcBorders>
                  <w:noWrap/>
                  <w:vAlign w:val="center"/>
                </w:tcPr>
                <w:p>
                  <w:pPr>
                    <w:jc w:val="center"/>
                  </w:pPr>
                  <w:r>
                    <w:rPr>
                      <w:rFonts w:hint="eastAsia"/>
                    </w:rPr>
                    <w:t>143.74</w:t>
                  </w:r>
                </w:p>
              </w:tc>
              <w:tc>
                <w:tcPr>
                  <w:tcW w:w="1417" w:type="dxa"/>
                  <w:tcBorders>
                    <w:bottom w:val="single" w:color="auto" w:sz="12" w:space="0"/>
                  </w:tcBorders>
                  <w:noWrap/>
                  <w:vAlign w:val="center"/>
                </w:tcPr>
                <w:p>
                  <w:pPr>
                    <w:jc w:val="center"/>
                  </w:pPr>
                  <w:r>
                    <w:rPr>
                      <w:rFonts w:hint="eastAsia"/>
                    </w:rPr>
                    <w:t>193.46</w:t>
                  </w:r>
                </w:p>
              </w:tc>
              <w:tc>
                <w:tcPr>
                  <w:tcW w:w="1260" w:type="dxa"/>
                  <w:tcBorders>
                    <w:bottom w:val="single" w:color="auto" w:sz="12" w:space="0"/>
                    <w:right w:val="single" w:color="auto" w:sz="12" w:space="0"/>
                  </w:tcBorders>
                  <w:noWrap/>
                  <w:vAlign w:val="center"/>
                </w:tcPr>
                <w:p>
                  <w:pPr>
                    <w:jc w:val="center"/>
                  </w:pPr>
                  <w:r>
                    <w:rPr>
                      <w:rFonts w:hint="eastAsia"/>
                    </w:rPr>
                    <w:t>325.48</w:t>
                  </w:r>
                </w:p>
              </w:tc>
            </w:tr>
          </w:tbl>
          <w:p>
            <w:pPr>
              <w:spacing w:line="500" w:lineRule="exact"/>
              <w:ind w:firstLine="480" w:firstLineChars="200"/>
              <w:jc w:val="left"/>
              <w:rPr>
                <w:sz w:val="24"/>
              </w:rPr>
            </w:pPr>
            <w:r>
              <w:rPr>
                <w:rFonts w:hint="eastAsia"/>
                <w:sz w:val="24"/>
              </w:rPr>
              <w:t>运输引起的无组织粉尘量约为17.35t/a，道路两侧粉尘浓度监测一般在10mg/m</w:t>
            </w:r>
            <w:r>
              <w:rPr>
                <w:rFonts w:hint="eastAsia"/>
                <w:sz w:val="24"/>
                <w:vertAlign w:val="superscript"/>
              </w:rPr>
              <w:t>3</w:t>
            </w:r>
            <w:r>
              <w:rPr>
                <w:rFonts w:hint="eastAsia"/>
                <w:sz w:val="24"/>
              </w:rPr>
              <w:t>左右。建设单位硬化运输地面</w:t>
            </w:r>
            <w:r>
              <w:rPr>
                <w:sz w:val="24"/>
              </w:rPr>
              <w:t>，</w:t>
            </w:r>
            <w:r>
              <w:rPr>
                <w:rFonts w:hint="eastAsia"/>
                <w:sz w:val="24"/>
              </w:rPr>
              <w:t>道路两侧设置防风抑尘网，</w:t>
            </w:r>
            <w:r>
              <w:rPr>
                <w:sz w:val="24"/>
              </w:rPr>
              <w:t>配备有专门的</w:t>
            </w:r>
            <w:r>
              <w:rPr>
                <w:rFonts w:hint="eastAsia"/>
                <w:sz w:val="24"/>
              </w:rPr>
              <w:t>移动</w:t>
            </w:r>
            <w:r>
              <w:rPr>
                <w:sz w:val="24"/>
              </w:rPr>
              <w:t>洒水装置，</w:t>
            </w:r>
            <w:r>
              <w:rPr>
                <w:rFonts w:hint="eastAsia"/>
                <w:sz w:val="24"/>
              </w:rPr>
              <w:t>设专职人员定期清扫与喷洒路面，运输期间对运输路面</w:t>
            </w:r>
            <w:r>
              <w:rPr>
                <w:sz w:val="24"/>
              </w:rPr>
              <w:t>每2小时</w:t>
            </w:r>
            <w:r>
              <w:rPr>
                <w:rFonts w:hint="eastAsia"/>
                <w:sz w:val="24"/>
              </w:rPr>
              <w:t>清扫、</w:t>
            </w:r>
            <w:r>
              <w:rPr>
                <w:sz w:val="24"/>
              </w:rPr>
              <w:t>洒水1次</w:t>
            </w:r>
            <w:r>
              <w:rPr>
                <w:rFonts w:hint="eastAsia"/>
                <w:sz w:val="24"/>
              </w:rPr>
              <w:t>（每天运输8h，</w:t>
            </w:r>
            <w:r>
              <w:rPr>
                <w:rFonts w:eastAsia="新宋体"/>
                <w:sz w:val="24"/>
              </w:rPr>
              <w:t>1天</w:t>
            </w:r>
            <w:r>
              <w:rPr>
                <w:rFonts w:hint="eastAsia" w:eastAsia="新宋体"/>
                <w:sz w:val="24"/>
              </w:rPr>
              <w:t>4</w:t>
            </w:r>
            <w:r>
              <w:rPr>
                <w:rFonts w:eastAsia="新宋体"/>
                <w:sz w:val="24"/>
              </w:rPr>
              <w:t>次</w:t>
            </w:r>
            <w:r>
              <w:rPr>
                <w:rFonts w:hint="eastAsia"/>
                <w:sz w:val="24"/>
              </w:rPr>
              <w:t>）</w:t>
            </w:r>
            <w:r>
              <w:rPr>
                <w:sz w:val="24"/>
              </w:rPr>
              <w:t>，并对进出厂车辆冲洗</w:t>
            </w:r>
            <w:r>
              <w:rPr>
                <w:rFonts w:hint="eastAsia"/>
                <w:sz w:val="24"/>
              </w:rPr>
              <w:t>。</w:t>
            </w:r>
            <w:r>
              <w:rPr>
                <w:sz w:val="24"/>
              </w:rPr>
              <w:t>通过</w:t>
            </w:r>
            <w:r>
              <w:rPr>
                <w:rFonts w:hint="eastAsia"/>
                <w:sz w:val="24"/>
              </w:rPr>
              <w:t>洒水抑尘可减少运输扬尘，可将粉尘降低80%，</w:t>
            </w:r>
            <w:r>
              <w:rPr>
                <w:sz w:val="24"/>
              </w:rPr>
              <w:t>则项目汽车动力起尘量为</w:t>
            </w:r>
            <w:r>
              <w:rPr>
                <w:rFonts w:hint="eastAsia"/>
                <w:sz w:val="24"/>
              </w:rPr>
              <w:t>3.47</w:t>
            </w:r>
            <w:r>
              <w:rPr>
                <w:sz w:val="24"/>
              </w:rPr>
              <w:t>t/a。</w:t>
            </w:r>
          </w:p>
          <w:p>
            <w:pPr>
              <w:spacing w:line="500" w:lineRule="exact"/>
              <w:ind w:firstLine="480" w:firstLineChars="200"/>
              <w:jc w:val="left"/>
              <w:rPr>
                <w:sz w:val="24"/>
              </w:rPr>
            </w:pPr>
            <w:r>
              <w:rPr>
                <w:rFonts w:hint="eastAsia"/>
                <w:sz w:val="24"/>
              </w:rPr>
              <w:t>b.堆场扬尘量</w:t>
            </w:r>
          </w:p>
          <w:p>
            <w:pPr>
              <w:spacing w:line="500" w:lineRule="exact"/>
              <w:ind w:firstLine="480" w:firstLineChars="200"/>
              <w:jc w:val="left"/>
              <w:rPr>
                <w:sz w:val="24"/>
              </w:rPr>
            </w:pPr>
            <w:r>
              <w:rPr>
                <w:rFonts w:hint="eastAsia"/>
                <w:sz w:val="24"/>
              </w:rPr>
              <w:t>本项目堆场扬尘主要为矿石堆场。主要为堆场在大风条件下产生的风蚀扬尘。矿石堆场占地面积约为10000m</w:t>
            </w:r>
            <w:r>
              <w:rPr>
                <w:rFonts w:hint="eastAsia"/>
                <w:sz w:val="24"/>
                <w:vertAlign w:val="superscript"/>
              </w:rPr>
              <w:t>2</w:t>
            </w:r>
            <w:r>
              <w:rPr>
                <w:rFonts w:hint="eastAsia"/>
                <w:sz w:val="24"/>
              </w:rPr>
              <w:t xml:space="preserve"> 。堆场主要环境问题为表面粒径较小的粉尘在外力作用下扬起，对大气环境造成的污染。原料堆场可能会产生扬尘，影响周围环境。裸露的矿石小颗粒易被风吹起而影响周围环境。</w:t>
            </w:r>
          </w:p>
          <w:p>
            <w:pPr>
              <w:spacing w:line="500" w:lineRule="exact"/>
              <w:ind w:firstLine="420" w:firstLineChars="200"/>
              <w:jc w:val="left"/>
              <w:rPr>
                <w:sz w:val="24"/>
              </w:rPr>
            </w:pPr>
            <w:r>
              <w:drawing>
                <wp:anchor distT="0" distB="0" distL="114300" distR="114300" simplePos="0" relativeHeight="251689984" behindDoc="1" locked="0" layoutInCell="1" allowOverlap="1">
                  <wp:simplePos x="0" y="0"/>
                  <wp:positionH relativeFrom="column">
                    <wp:posOffset>2084070</wp:posOffset>
                  </wp:positionH>
                  <wp:positionV relativeFrom="paragraph">
                    <wp:posOffset>271145</wp:posOffset>
                  </wp:positionV>
                  <wp:extent cx="1714500" cy="520065"/>
                  <wp:effectExtent l="0" t="0" r="0" b="13335"/>
                  <wp:wrapNone/>
                  <wp:docPr id="625" name="图片 6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5" name="图片 625"/>
                          <pic:cNvPicPr>
                            <a:picLocks noChangeAspect="true" noChangeArrowheads="true"/>
                          </pic:cNvPicPr>
                        </pic:nvPicPr>
                        <pic:blipFill>
                          <a:blip r:embed="rId14"/>
                          <a:srcRect/>
                          <a:stretch>
                            <a:fillRect/>
                          </a:stretch>
                        </pic:blipFill>
                        <pic:spPr>
                          <a:xfrm>
                            <a:off x="0" y="0"/>
                            <a:ext cx="1714500" cy="520065"/>
                          </a:xfrm>
                          <a:prstGeom prst="rect">
                            <a:avLst/>
                          </a:prstGeom>
                          <a:noFill/>
                          <a:ln w="9525">
                            <a:noFill/>
                            <a:miter lim="800000"/>
                            <a:headEnd/>
                            <a:tailEnd/>
                          </a:ln>
                        </pic:spPr>
                      </pic:pic>
                    </a:graphicData>
                  </a:graphic>
                </wp:anchor>
              </w:drawing>
            </w:r>
            <w:r>
              <w:rPr>
                <w:rFonts w:hint="eastAsia"/>
                <w:sz w:val="24"/>
              </w:rPr>
              <w:t>堆场扬尘产生量经验公式：</w:t>
            </w:r>
          </w:p>
          <w:p>
            <w:pPr>
              <w:spacing w:line="500" w:lineRule="exact"/>
              <w:ind w:firstLine="480" w:firstLineChars="200"/>
              <w:jc w:val="left"/>
              <w:rPr>
                <w:sz w:val="24"/>
                <w:highlight w:val="yellow"/>
              </w:rPr>
            </w:pPr>
          </w:p>
          <w:p>
            <w:pPr>
              <w:spacing w:line="500" w:lineRule="exact"/>
              <w:ind w:firstLine="480" w:firstLineChars="200"/>
              <w:jc w:val="left"/>
              <w:rPr>
                <w:sz w:val="24"/>
              </w:rPr>
            </w:pPr>
            <w:r>
              <w:rPr>
                <w:rFonts w:hint="eastAsia"/>
                <w:sz w:val="24"/>
              </w:rPr>
              <w:t>式中：Q—堆场起尘强度，mg/s；</w:t>
            </w:r>
          </w:p>
          <w:p>
            <w:pPr>
              <w:spacing w:line="500" w:lineRule="exact"/>
              <w:ind w:firstLine="480" w:firstLineChars="200"/>
              <w:jc w:val="left"/>
              <w:rPr>
                <w:sz w:val="24"/>
              </w:rPr>
            </w:pPr>
            <w:r>
              <w:rPr>
                <w:rFonts w:hint="eastAsia"/>
                <w:sz w:val="24"/>
              </w:rPr>
              <w:t>U—地面平均风速，m/s；</w:t>
            </w:r>
          </w:p>
          <w:p>
            <w:pPr>
              <w:spacing w:line="500" w:lineRule="exact"/>
              <w:ind w:firstLine="480" w:firstLineChars="200"/>
              <w:jc w:val="left"/>
              <w:rPr>
                <w:sz w:val="24"/>
              </w:rPr>
            </w:pPr>
            <w:r>
              <w:rPr>
                <w:rFonts w:hint="eastAsia"/>
                <w:sz w:val="24"/>
              </w:rPr>
              <w:t>S—堆场面积，m</w:t>
            </w:r>
            <w:r>
              <w:rPr>
                <w:rFonts w:hint="eastAsia"/>
                <w:sz w:val="24"/>
                <w:vertAlign w:val="superscript"/>
              </w:rPr>
              <w:t>2</w:t>
            </w:r>
            <w:r>
              <w:rPr>
                <w:rFonts w:hint="eastAsia"/>
                <w:sz w:val="24"/>
              </w:rPr>
              <w:t>；</w:t>
            </w:r>
          </w:p>
          <w:p>
            <w:pPr>
              <w:spacing w:line="500" w:lineRule="exact"/>
              <w:ind w:firstLine="480" w:firstLineChars="200"/>
              <w:jc w:val="left"/>
              <w:rPr>
                <w:sz w:val="24"/>
              </w:rPr>
            </w:pPr>
            <w:r>
              <w:rPr>
                <w:rFonts w:hint="eastAsia"/>
                <w:sz w:val="24"/>
              </w:rPr>
              <w:t>W—矿石含水率，%</w:t>
            </w:r>
          </w:p>
          <w:p>
            <w:pPr>
              <w:spacing w:line="500" w:lineRule="exact"/>
              <w:ind w:firstLine="480" w:firstLineChars="200"/>
              <w:jc w:val="left"/>
              <w:rPr>
                <w:sz w:val="24"/>
              </w:rPr>
            </w:pPr>
            <w:r>
              <w:rPr>
                <w:rFonts w:hint="eastAsia"/>
                <w:sz w:val="24"/>
              </w:rPr>
              <w:t>计算得自然含湿状态（3%），在年平均风速2.6m/s条件下，矿石堆场扬尘产生量约为651mg/s，16.88t/a。建设单位在堆场设置洒水装置，洒水区域需覆盖整个堆场，干燥天气对矿石堆场进行洒水抑尘，使矿石原料在储存过程中保持湿润状态（表面含水率达到8%），且在堆场四周设置防风抑尘网，对堆场表面进行覆盖，覆盖物可减少80%的扬尘，</w:t>
            </w:r>
            <w:r>
              <w:rPr>
                <w:sz w:val="24"/>
              </w:rPr>
              <w:t>本项目</w:t>
            </w:r>
            <w:r>
              <w:rPr>
                <w:rFonts w:hint="eastAsia"/>
                <w:sz w:val="24"/>
              </w:rPr>
              <w:t>堆场扬尘</w:t>
            </w:r>
            <w:r>
              <w:rPr>
                <w:sz w:val="24"/>
              </w:rPr>
              <w:t>的</w:t>
            </w:r>
            <w:r>
              <w:rPr>
                <w:rFonts w:hint="eastAsia"/>
                <w:sz w:val="24"/>
              </w:rPr>
              <w:t>排放</w:t>
            </w:r>
            <w:r>
              <w:rPr>
                <w:sz w:val="24"/>
              </w:rPr>
              <w:t>量为</w:t>
            </w:r>
            <w:r>
              <w:rPr>
                <w:rFonts w:hint="eastAsia"/>
                <w:sz w:val="24"/>
              </w:rPr>
              <w:t>0.276</w:t>
            </w:r>
            <w:r>
              <w:rPr>
                <w:sz w:val="24"/>
              </w:rPr>
              <w:t>t/a。</w:t>
            </w:r>
          </w:p>
          <w:p>
            <w:pPr>
              <w:spacing w:line="500" w:lineRule="exact"/>
              <w:ind w:firstLine="480" w:firstLineChars="200"/>
              <w:jc w:val="left"/>
              <w:rPr>
                <w:sz w:val="24"/>
              </w:rPr>
            </w:pPr>
            <w:r>
              <w:rPr>
                <w:rFonts w:hint="eastAsia"/>
                <w:sz w:val="24"/>
              </w:rPr>
              <w:t>同时，</w:t>
            </w:r>
            <w:r>
              <w:rPr>
                <w:sz w:val="24"/>
              </w:rPr>
              <w:t>堆场四周设置不低于料场堆高2m以上的防风抑尘网</w:t>
            </w:r>
            <w:r>
              <w:rPr>
                <w:bCs/>
                <w:sz w:val="24"/>
              </w:rPr>
              <w:t>。</w:t>
            </w:r>
          </w:p>
          <w:p>
            <w:pPr>
              <w:spacing w:line="500" w:lineRule="exact"/>
              <w:ind w:firstLine="480" w:firstLineChars="200"/>
              <w:jc w:val="left"/>
              <w:rPr>
                <w:bCs/>
                <w:sz w:val="24"/>
              </w:rPr>
            </w:pPr>
            <w:r>
              <w:rPr>
                <w:rFonts w:hint="eastAsia"/>
                <w:bCs/>
                <w:sz w:val="24"/>
              </w:rPr>
              <w:t>6、各种燃油机械尾气</w:t>
            </w:r>
          </w:p>
          <w:p>
            <w:pPr>
              <w:spacing w:line="500" w:lineRule="exact"/>
              <w:ind w:firstLine="480" w:firstLineChars="200"/>
              <w:jc w:val="left"/>
              <w:rPr>
                <w:sz w:val="24"/>
              </w:rPr>
            </w:pPr>
            <w:r>
              <w:rPr>
                <w:rFonts w:hint="eastAsia"/>
                <w:sz w:val="24"/>
              </w:rPr>
              <w:t>生产过程中，各种燃油机械，例如铲车、挖掘机、运输车辆等动力设备运转时，产生柴油尾气。根据《环境保护实用数据手册》，柴油尾气主要污染物为氮氧化物、烟尘和二氧化硫，由于场界开阔，排放面大且为流动性，因此不会对环境产生过多不良影响</w:t>
            </w:r>
            <w:r>
              <w:rPr>
                <w:rFonts w:hint="eastAsia"/>
                <w:bCs/>
                <w:sz w:val="24"/>
              </w:rPr>
              <w:t>2）</w:t>
            </w:r>
            <w:r>
              <w:rPr>
                <w:rFonts w:hint="eastAsia"/>
                <w:sz w:val="24"/>
              </w:rPr>
              <w:t>废水影响。</w:t>
            </w:r>
          </w:p>
          <w:p>
            <w:pPr>
              <w:spacing w:line="500" w:lineRule="exact"/>
              <w:ind w:firstLine="480" w:firstLineChars="200"/>
              <w:jc w:val="left"/>
              <w:rPr>
                <w:sz w:val="24"/>
              </w:rPr>
            </w:pPr>
            <w:r>
              <w:rPr>
                <w:bCs/>
                <w:sz w:val="24"/>
              </w:rPr>
              <w:t>2）</w:t>
            </w:r>
            <w:r>
              <w:rPr>
                <w:sz w:val="24"/>
              </w:rPr>
              <w:t>废水影响</w:t>
            </w:r>
          </w:p>
          <w:p>
            <w:pPr>
              <w:spacing w:line="500" w:lineRule="exact"/>
              <w:ind w:firstLine="480" w:firstLineChars="200"/>
              <w:jc w:val="left"/>
              <w:rPr>
                <w:sz w:val="24"/>
              </w:rPr>
            </w:pPr>
            <w:r>
              <w:rPr>
                <w:sz w:val="24"/>
              </w:rPr>
              <w:t>营运期废水主要包括工作人员的生活污水和车辆冲洗平台废水。</w:t>
            </w:r>
          </w:p>
          <w:p>
            <w:pPr>
              <w:spacing w:line="500" w:lineRule="exact"/>
              <w:ind w:firstLine="480" w:firstLineChars="200"/>
              <w:jc w:val="left"/>
              <w:rPr>
                <w:sz w:val="24"/>
              </w:rPr>
            </w:pPr>
            <w:r>
              <w:rPr>
                <w:sz w:val="24"/>
              </w:rPr>
              <w:t>生活污水污染物主要是COD、BOD</w:t>
            </w:r>
            <w:r>
              <w:rPr>
                <w:sz w:val="24"/>
                <w:vertAlign w:val="subscript"/>
              </w:rPr>
              <w:t>5</w:t>
            </w:r>
            <w:r>
              <w:rPr>
                <w:sz w:val="24"/>
              </w:rPr>
              <w:t>、NH</w:t>
            </w:r>
            <w:r>
              <w:rPr>
                <w:sz w:val="24"/>
                <w:vertAlign w:val="subscript"/>
              </w:rPr>
              <w:t>3</w:t>
            </w:r>
            <w:r>
              <w:rPr>
                <w:sz w:val="24"/>
              </w:rPr>
              <w:t>-N和SS。</w:t>
            </w:r>
            <w:r>
              <w:rPr>
                <w:rFonts w:hint="eastAsia"/>
                <w:sz w:val="24"/>
              </w:rPr>
              <w:t>依托现有</w:t>
            </w:r>
            <w:r>
              <w:rPr>
                <w:sz w:val="24"/>
              </w:rPr>
              <w:t>防渗化粪池，</w:t>
            </w:r>
            <w:r>
              <w:rPr>
                <w:rFonts w:hint="eastAsia"/>
                <w:sz w:val="24"/>
              </w:rPr>
              <w:t>委托环卫部门清运</w:t>
            </w:r>
            <w:r>
              <w:rPr>
                <w:sz w:val="24"/>
              </w:rPr>
              <w:t>。根据工艺及生产规模的需要，</w:t>
            </w:r>
            <w:r>
              <w:rPr>
                <w:rFonts w:hint="eastAsia"/>
                <w:sz w:val="24"/>
              </w:rPr>
              <w:t>本项目新增</w:t>
            </w:r>
            <w:r>
              <w:rPr>
                <w:sz w:val="24"/>
              </w:rPr>
              <w:t>劳动定员</w:t>
            </w:r>
            <w:r>
              <w:rPr>
                <w:rFonts w:hint="eastAsia"/>
                <w:sz w:val="24"/>
              </w:rPr>
              <w:t>226</w:t>
            </w:r>
            <w:r>
              <w:rPr>
                <w:sz w:val="24"/>
              </w:rPr>
              <w:t>人</w:t>
            </w:r>
            <w:r>
              <w:rPr>
                <w:bCs/>
                <w:kern w:val="0"/>
                <w:sz w:val="24"/>
              </w:rPr>
              <w:t>产生的生活污水约</w:t>
            </w:r>
            <w:r>
              <w:rPr>
                <w:rFonts w:hint="eastAsia"/>
                <w:bCs/>
                <w:kern w:val="0"/>
                <w:sz w:val="24"/>
              </w:rPr>
              <w:t>9.04</w:t>
            </w:r>
            <w:r>
              <w:rPr>
                <w:bCs/>
                <w:kern w:val="0"/>
                <w:sz w:val="24"/>
              </w:rPr>
              <w:t>m</w:t>
            </w:r>
            <w:r>
              <w:rPr>
                <w:bCs/>
                <w:kern w:val="0"/>
                <w:sz w:val="24"/>
                <w:vertAlign w:val="superscript"/>
              </w:rPr>
              <w:t>3</w:t>
            </w:r>
            <w:r>
              <w:rPr>
                <w:bCs/>
                <w:kern w:val="0"/>
                <w:sz w:val="24"/>
              </w:rPr>
              <w:t>/d</w:t>
            </w:r>
            <w:r>
              <w:rPr>
                <w:rFonts w:hint="eastAsia"/>
                <w:bCs/>
                <w:kern w:val="0"/>
                <w:sz w:val="24"/>
              </w:rPr>
              <w:t>，2712</w:t>
            </w:r>
            <w:r>
              <w:rPr>
                <w:bCs/>
                <w:kern w:val="0"/>
                <w:sz w:val="24"/>
              </w:rPr>
              <w:t>m</w:t>
            </w:r>
            <w:r>
              <w:rPr>
                <w:bCs/>
                <w:kern w:val="0"/>
                <w:sz w:val="24"/>
                <w:vertAlign w:val="superscript"/>
              </w:rPr>
              <w:t>3</w:t>
            </w:r>
            <w:r>
              <w:rPr>
                <w:bCs/>
                <w:kern w:val="0"/>
                <w:sz w:val="24"/>
              </w:rPr>
              <w:t>/</w:t>
            </w:r>
            <w:r>
              <w:rPr>
                <w:rFonts w:hint="eastAsia"/>
                <w:bCs/>
                <w:kern w:val="0"/>
                <w:sz w:val="24"/>
              </w:rPr>
              <w:t>a</w:t>
            </w:r>
            <w:r>
              <w:rPr>
                <w:sz w:val="24"/>
              </w:rPr>
              <w:t>。</w:t>
            </w:r>
          </w:p>
          <w:p>
            <w:pPr>
              <w:spacing w:line="360" w:lineRule="auto"/>
              <w:ind w:firstLine="480" w:firstLineChars="200"/>
              <w:rPr>
                <w:sz w:val="24"/>
              </w:rPr>
            </w:pPr>
            <w:r>
              <w:rPr>
                <w:sz w:val="24"/>
              </w:rPr>
              <w:t>洗车台清洗废水产生量为</w:t>
            </w:r>
            <w:r>
              <w:rPr>
                <w:rFonts w:hint="eastAsia"/>
                <w:sz w:val="24"/>
              </w:rPr>
              <w:t>20</w:t>
            </w:r>
            <w:r>
              <w:rPr>
                <w:sz w:val="24"/>
              </w:rPr>
              <w:t>m</w:t>
            </w:r>
            <w:r>
              <w:rPr>
                <w:sz w:val="24"/>
                <w:vertAlign w:val="superscript"/>
              </w:rPr>
              <w:t>3</w:t>
            </w:r>
            <w:r>
              <w:rPr>
                <w:sz w:val="24"/>
              </w:rPr>
              <w:t>/d，主要污染物为SS，其浓度为2000mg/L。车辆冲洗水经三级沉降处理后循环使用，损耗部分定期补充，不外排。</w:t>
            </w:r>
          </w:p>
          <w:p>
            <w:pPr>
              <w:spacing w:line="500" w:lineRule="exact"/>
              <w:ind w:firstLine="480" w:firstLineChars="200"/>
              <w:jc w:val="left"/>
              <w:rPr>
                <w:sz w:val="24"/>
              </w:rPr>
            </w:pPr>
            <w:r>
              <w:rPr>
                <w:rFonts w:hint="eastAsia"/>
                <w:bCs/>
                <w:sz w:val="24"/>
              </w:rPr>
              <w:t>3）</w:t>
            </w:r>
            <w:r>
              <w:rPr>
                <w:rFonts w:hint="eastAsia"/>
                <w:sz w:val="24"/>
              </w:rPr>
              <w:t>固废影响</w:t>
            </w:r>
          </w:p>
          <w:p>
            <w:pPr>
              <w:spacing w:line="500" w:lineRule="exact"/>
              <w:ind w:firstLine="480" w:firstLineChars="200"/>
              <w:jc w:val="left"/>
              <w:rPr>
                <w:sz w:val="24"/>
              </w:rPr>
            </w:pPr>
            <w:r>
              <w:rPr>
                <w:sz w:val="24"/>
              </w:rPr>
              <w:t>项目营运期产生的主要固废是石料切割产生的落地尘、</w:t>
            </w:r>
            <w:r>
              <w:rPr>
                <w:rFonts w:hint="eastAsia"/>
                <w:sz w:val="24"/>
              </w:rPr>
              <w:t>石料开采废石</w:t>
            </w:r>
            <w:r>
              <w:rPr>
                <w:sz w:val="24"/>
              </w:rPr>
              <w:t>、洗车台沉渣、人员生活垃圾</w:t>
            </w:r>
            <w:r>
              <w:rPr>
                <w:rFonts w:hint="eastAsia"/>
                <w:sz w:val="24"/>
              </w:rPr>
              <w:t>及厂内设备更换的机油、润滑油等</w:t>
            </w:r>
            <w:r>
              <w:rPr>
                <w:sz w:val="24"/>
              </w:rPr>
              <w:t>等。</w:t>
            </w:r>
          </w:p>
          <w:p>
            <w:pPr>
              <w:spacing w:line="500" w:lineRule="exact"/>
              <w:ind w:firstLine="480" w:firstLineChars="200"/>
              <w:jc w:val="left"/>
              <w:rPr>
                <w:sz w:val="24"/>
              </w:rPr>
            </w:pPr>
            <w:r>
              <w:rPr>
                <w:sz w:val="24"/>
              </w:rPr>
              <w:t>石料切割产生的落地尘（约</w:t>
            </w:r>
            <w:r>
              <w:rPr>
                <w:rFonts w:hint="eastAsia"/>
                <w:sz w:val="24"/>
              </w:rPr>
              <w:t>20</w:t>
            </w:r>
            <w:r>
              <w:rPr>
                <w:sz w:val="24"/>
              </w:rPr>
              <w:t>t/a）经收集作为矿山开采区回填使用，不外排</w:t>
            </w:r>
            <w:r>
              <w:rPr>
                <w:rFonts w:hint="eastAsia"/>
                <w:sz w:val="24"/>
              </w:rPr>
              <w:t>。</w:t>
            </w:r>
          </w:p>
          <w:p>
            <w:pPr>
              <w:spacing w:line="500" w:lineRule="exact"/>
              <w:ind w:firstLine="480" w:firstLineChars="200"/>
              <w:jc w:val="left"/>
              <w:rPr>
                <w:sz w:val="24"/>
              </w:rPr>
            </w:pPr>
            <w:r>
              <w:rPr>
                <w:sz w:val="24"/>
              </w:rPr>
              <w:t>洗车沉渣产生约</w:t>
            </w:r>
            <w:r>
              <w:rPr>
                <w:rFonts w:hint="eastAsia"/>
                <w:sz w:val="24"/>
              </w:rPr>
              <w:t>5</w:t>
            </w:r>
            <w:r>
              <w:rPr>
                <w:sz w:val="24"/>
              </w:rPr>
              <w:t>t/a，定期清理沉淀池，矿山开采区回填使用，不外排</w:t>
            </w:r>
            <w:r>
              <w:rPr>
                <w:rFonts w:hint="eastAsia"/>
                <w:sz w:val="24"/>
              </w:rPr>
              <w:t>。</w:t>
            </w:r>
          </w:p>
          <w:p>
            <w:pPr>
              <w:spacing w:line="500" w:lineRule="exact"/>
              <w:ind w:firstLine="480" w:firstLineChars="200"/>
              <w:jc w:val="left"/>
              <w:rPr>
                <w:sz w:val="24"/>
              </w:rPr>
            </w:pPr>
            <w:r>
              <w:rPr>
                <w:rFonts w:hint="eastAsia"/>
                <w:sz w:val="24"/>
              </w:rPr>
              <w:t>石料开采废石</w:t>
            </w:r>
            <w:r>
              <w:rPr>
                <w:sz w:val="24"/>
              </w:rPr>
              <w:t>产生量约为15万m</w:t>
            </w:r>
            <w:r>
              <w:rPr>
                <w:sz w:val="24"/>
                <w:vertAlign w:val="superscript"/>
              </w:rPr>
              <w:t>3</w:t>
            </w:r>
            <w:r>
              <w:rPr>
                <w:sz w:val="24"/>
              </w:rPr>
              <w:t>/年，矿山矿石与废石岩性一致，物理性质良好，</w:t>
            </w:r>
            <w:r>
              <w:rPr>
                <w:rFonts w:hint="eastAsia"/>
                <w:sz w:val="24"/>
              </w:rPr>
              <w:t>首先选择外售</w:t>
            </w:r>
            <w:r>
              <w:rPr>
                <w:sz w:val="24"/>
              </w:rPr>
              <w:t>做蘑菇石、台阶石、路牙石等建筑石料，也可以经破碎处理后做成建筑石子，用于建筑混凝土和公路、铁路建设</w:t>
            </w:r>
            <w:r>
              <w:rPr>
                <w:rFonts w:hint="eastAsia"/>
                <w:sz w:val="24"/>
              </w:rPr>
              <w:t>，</w:t>
            </w:r>
            <w:r>
              <w:rPr>
                <w:sz w:val="24"/>
              </w:rPr>
              <w:t>剩余废石均用于矿区附近废采坑的回填，用于矿山地质环境治理工作。</w:t>
            </w:r>
          </w:p>
          <w:p>
            <w:pPr>
              <w:spacing w:line="500" w:lineRule="exact"/>
              <w:ind w:firstLine="480" w:firstLineChars="200"/>
              <w:jc w:val="left"/>
              <w:rPr>
                <w:sz w:val="24"/>
              </w:rPr>
            </w:pPr>
            <w:r>
              <w:rPr>
                <w:sz w:val="24"/>
              </w:rPr>
              <w:t>厂区人员生活垃圾产生约</w:t>
            </w:r>
            <w:r>
              <w:rPr>
                <w:rFonts w:hint="eastAsia"/>
                <w:sz w:val="24"/>
              </w:rPr>
              <w:t>13.</w:t>
            </w:r>
            <w:r>
              <w:rPr>
                <w:sz w:val="24"/>
              </w:rPr>
              <w:t>56t/a，经集中收集委托环卫部门定期清运处理。</w:t>
            </w:r>
          </w:p>
          <w:p>
            <w:pPr>
              <w:spacing w:line="360" w:lineRule="auto"/>
              <w:ind w:firstLine="480" w:firstLineChars="200"/>
              <w:rPr>
                <w:sz w:val="24"/>
              </w:rPr>
            </w:pPr>
            <w:r>
              <w:rPr>
                <w:rFonts w:hint="eastAsia"/>
                <w:sz w:val="24"/>
              </w:rPr>
              <w:t>设备检修以及运行中产生的润滑油、机油等废弃物，属于《国家危险废物名录》（2016版）中危险废物，危废类别属于“HW08废矿物油与含矿物油废物（</w:t>
            </w:r>
            <w:r>
              <w:rPr>
                <w:sz w:val="24"/>
              </w:rPr>
              <w:t>900-2</w:t>
            </w:r>
            <w:r>
              <w:rPr>
                <w:rFonts w:hint="eastAsia"/>
                <w:sz w:val="24"/>
              </w:rPr>
              <w:t>4</w:t>
            </w:r>
            <w:r>
              <w:rPr>
                <w:sz w:val="24"/>
              </w:rPr>
              <w:t>9-08</w:t>
            </w:r>
            <w:r>
              <w:rPr>
                <w:rFonts w:hint="eastAsia"/>
                <w:sz w:val="24"/>
              </w:rPr>
              <w:t>）”中的“</w:t>
            </w:r>
            <w:r>
              <w:rPr>
                <w:sz w:val="24"/>
              </w:rPr>
              <w:t>其他生产、销售、使用过程中产生的废矿物油及含矿物油废物</w:t>
            </w:r>
            <w:r>
              <w:rPr>
                <w:rFonts w:hint="eastAsia"/>
                <w:sz w:val="24"/>
              </w:rPr>
              <w:t>”，产生约1t/a，采用统一收集，在场区内危废间暂存，并交由有资质的危废处置企业进行处置。危险废物仓库按</w:t>
            </w:r>
            <w:r>
              <w:rPr>
                <w:sz w:val="24"/>
              </w:rPr>
              <w:t>《危险废物贮存污染控制标准》（GB18597-2001）相关要求进行建设</w:t>
            </w:r>
            <w:r>
              <w:rPr>
                <w:rFonts w:hint="eastAsia"/>
                <w:sz w:val="24"/>
              </w:rPr>
              <w:t>，基础防渗层应符合高密度聚乙烯（HDPE）膜的厚度不宜小于1.50mm；膜上、膜下应设置保护层，保护层可采用长丝无纺土工布，膜下保护层也可采用不含尖锐颗粒的砂层，厚度不宜小于100mm。</w:t>
            </w:r>
          </w:p>
          <w:p>
            <w:pPr>
              <w:jc w:val="center"/>
              <w:rPr>
                <w:b/>
                <w:sz w:val="24"/>
              </w:rPr>
            </w:pPr>
            <w:r>
              <w:rPr>
                <w:b/>
                <w:sz w:val="24"/>
              </w:rPr>
              <w:t>表</w:t>
            </w:r>
            <w:r>
              <w:rPr>
                <w:rFonts w:hint="eastAsia"/>
                <w:b/>
                <w:sz w:val="24"/>
              </w:rPr>
              <w:t>5-2项目</w:t>
            </w:r>
            <w:r>
              <w:rPr>
                <w:b/>
                <w:sz w:val="24"/>
              </w:rPr>
              <w:t>危险废物汇总表</w:t>
            </w:r>
          </w:p>
          <w:tbl>
            <w:tblPr>
              <w:tblStyle w:val="15"/>
              <w:tblW w:w="911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3"/>
              <w:gridCol w:w="830"/>
              <w:gridCol w:w="807"/>
              <w:gridCol w:w="823"/>
              <w:gridCol w:w="822"/>
              <w:gridCol w:w="865"/>
              <w:gridCol w:w="606"/>
              <w:gridCol w:w="634"/>
              <w:gridCol w:w="462"/>
              <w:gridCol w:w="476"/>
              <w:gridCol w:w="404"/>
              <w:gridCol w:w="20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343" w:type="dxa"/>
                  <w:vAlign w:val="center"/>
                </w:tcPr>
                <w:p>
                  <w:pPr>
                    <w:topLinePunct/>
                    <w:adjustRightInd w:val="0"/>
                    <w:jc w:val="center"/>
                    <w:rPr>
                      <w:kern w:val="0"/>
                      <w:szCs w:val="21"/>
                    </w:rPr>
                  </w:pPr>
                  <w:r>
                    <w:rPr>
                      <w:kern w:val="0"/>
                      <w:szCs w:val="21"/>
                    </w:rPr>
                    <w:t>序号</w:t>
                  </w:r>
                </w:p>
              </w:tc>
              <w:tc>
                <w:tcPr>
                  <w:tcW w:w="830" w:type="dxa"/>
                  <w:vAlign w:val="center"/>
                </w:tcPr>
                <w:p>
                  <w:pPr>
                    <w:topLinePunct/>
                    <w:adjustRightInd w:val="0"/>
                    <w:jc w:val="center"/>
                    <w:rPr>
                      <w:kern w:val="0"/>
                      <w:szCs w:val="21"/>
                    </w:rPr>
                  </w:pPr>
                  <w:r>
                    <w:rPr>
                      <w:kern w:val="0"/>
                      <w:szCs w:val="21"/>
                    </w:rPr>
                    <w:t>危险废物名称</w:t>
                  </w:r>
                </w:p>
              </w:tc>
              <w:tc>
                <w:tcPr>
                  <w:tcW w:w="807" w:type="dxa"/>
                  <w:vAlign w:val="center"/>
                </w:tcPr>
                <w:p>
                  <w:pPr>
                    <w:topLinePunct/>
                    <w:adjustRightInd w:val="0"/>
                    <w:jc w:val="center"/>
                    <w:rPr>
                      <w:kern w:val="0"/>
                      <w:szCs w:val="21"/>
                    </w:rPr>
                  </w:pPr>
                  <w:r>
                    <w:rPr>
                      <w:kern w:val="0"/>
                      <w:szCs w:val="21"/>
                    </w:rPr>
                    <w:t>危险废物类别</w:t>
                  </w:r>
                </w:p>
              </w:tc>
              <w:tc>
                <w:tcPr>
                  <w:tcW w:w="823" w:type="dxa"/>
                  <w:vAlign w:val="center"/>
                </w:tcPr>
                <w:p>
                  <w:pPr>
                    <w:topLinePunct/>
                    <w:adjustRightInd w:val="0"/>
                    <w:jc w:val="center"/>
                    <w:rPr>
                      <w:kern w:val="0"/>
                      <w:szCs w:val="21"/>
                    </w:rPr>
                  </w:pPr>
                  <w:r>
                    <w:rPr>
                      <w:kern w:val="0"/>
                      <w:szCs w:val="21"/>
                    </w:rPr>
                    <w:t>危险废物代码</w:t>
                  </w:r>
                </w:p>
              </w:tc>
              <w:tc>
                <w:tcPr>
                  <w:tcW w:w="822" w:type="dxa"/>
                  <w:vAlign w:val="center"/>
                </w:tcPr>
                <w:p>
                  <w:pPr>
                    <w:topLinePunct/>
                    <w:adjustRightInd w:val="0"/>
                    <w:jc w:val="center"/>
                    <w:rPr>
                      <w:kern w:val="0"/>
                      <w:szCs w:val="21"/>
                    </w:rPr>
                  </w:pPr>
                  <w:r>
                    <w:rPr>
                      <w:kern w:val="0"/>
                      <w:szCs w:val="21"/>
                    </w:rPr>
                    <w:t>产生量（吨/年）</w:t>
                  </w:r>
                </w:p>
              </w:tc>
              <w:tc>
                <w:tcPr>
                  <w:tcW w:w="865" w:type="dxa"/>
                  <w:vAlign w:val="center"/>
                </w:tcPr>
                <w:p>
                  <w:pPr>
                    <w:topLinePunct/>
                    <w:adjustRightInd w:val="0"/>
                    <w:jc w:val="center"/>
                    <w:rPr>
                      <w:kern w:val="0"/>
                      <w:szCs w:val="21"/>
                    </w:rPr>
                  </w:pPr>
                  <w:r>
                    <w:rPr>
                      <w:kern w:val="0"/>
                      <w:szCs w:val="21"/>
                    </w:rPr>
                    <w:t>产生工序及装置</w:t>
                  </w:r>
                </w:p>
              </w:tc>
              <w:tc>
                <w:tcPr>
                  <w:tcW w:w="606" w:type="dxa"/>
                  <w:vAlign w:val="center"/>
                </w:tcPr>
                <w:p>
                  <w:pPr>
                    <w:topLinePunct/>
                    <w:adjustRightInd w:val="0"/>
                    <w:jc w:val="center"/>
                    <w:rPr>
                      <w:kern w:val="0"/>
                      <w:szCs w:val="21"/>
                    </w:rPr>
                  </w:pPr>
                  <w:r>
                    <w:rPr>
                      <w:kern w:val="0"/>
                      <w:szCs w:val="21"/>
                    </w:rPr>
                    <w:t>形态</w:t>
                  </w:r>
                </w:p>
              </w:tc>
              <w:tc>
                <w:tcPr>
                  <w:tcW w:w="634" w:type="dxa"/>
                  <w:vAlign w:val="center"/>
                </w:tcPr>
                <w:p>
                  <w:pPr>
                    <w:topLinePunct/>
                    <w:adjustRightInd w:val="0"/>
                    <w:jc w:val="center"/>
                    <w:rPr>
                      <w:kern w:val="0"/>
                      <w:szCs w:val="21"/>
                    </w:rPr>
                  </w:pPr>
                  <w:r>
                    <w:rPr>
                      <w:kern w:val="0"/>
                      <w:szCs w:val="21"/>
                    </w:rPr>
                    <w:t>主要成分</w:t>
                  </w:r>
                </w:p>
              </w:tc>
              <w:tc>
                <w:tcPr>
                  <w:tcW w:w="462" w:type="dxa"/>
                  <w:vAlign w:val="center"/>
                </w:tcPr>
                <w:p>
                  <w:pPr>
                    <w:topLinePunct/>
                    <w:adjustRightInd w:val="0"/>
                    <w:jc w:val="center"/>
                    <w:rPr>
                      <w:kern w:val="0"/>
                      <w:szCs w:val="21"/>
                    </w:rPr>
                  </w:pPr>
                  <w:r>
                    <w:rPr>
                      <w:kern w:val="0"/>
                      <w:szCs w:val="21"/>
                    </w:rPr>
                    <w:t>有害成分</w:t>
                  </w:r>
                </w:p>
              </w:tc>
              <w:tc>
                <w:tcPr>
                  <w:tcW w:w="476" w:type="dxa"/>
                  <w:vAlign w:val="center"/>
                </w:tcPr>
                <w:p>
                  <w:pPr>
                    <w:topLinePunct/>
                    <w:adjustRightInd w:val="0"/>
                    <w:jc w:val="center"/>
                    <w:rPr>
                      <w:kern w:val="0"/>
                      <w:szCs w:val="21"/>
                    </w:rPr>
                  </w:pPr>
                  <w:r>
                    <w:rPr>
                      <w:rFonts w:hint="eastAsia"/>
                      <w:snapToGrid w:val="0"/>
                      <w:kern w:val="0"/>
                      <w:szCs w:val="21"/>
                    </w:rPr>
                    <w:t>排放规律</w:t>
                  </w:r>
                </w:p>
              </w:tc>
              <w:tc>
                <w:tcPr>
                  <w:tcW w:w="404" w:type="dxa"/>
                  <w:vAlign w:val="center"/>
                </w:tcPr>
                <w:p>
                  <w:pPr>
                    <w:topLinePunct/>
                    <w:adjustRightInd w:val="0"/>
                    <w:jc w:val="center"/>
                    <w:rPr>
                      <w:kern w:val="0"/>
                      <w:szCs w:val="21"/>
                    </w:rPr>
                  </w:pPr>
                  <w:r>
                    <w:rPr>
                      <w:kern w:val="0"/>
                      <w:szCs w:val="21"/>
                    </w:rPr>
                    <w:t>危险</w:t>
                  </w:r>
                </w:p>
                <w:p>
                  <w:pPr>
                    <w:topLinePunct/>
                    <w:adjustRightInd w:val="0"/>
                    <w:jc w:val="center"/>
                    <w:rPr>
                      <w:kern w:val="0"/>
                      <w:szCs w:val="21"/>
                    </w:rPr>
                  </w:pPr>
                  <w:r>
                    <w:rPr>
                      <w:kern w:val="0"/>
                      <w:szCs w:val="21"/>
                    </w:rPr>
                    <w:t>特性</w:t>
                  </w:r>
                </w:p>
              </w:tc>
              <w:tc>
                <w:tcPr>
                  <w:tcW w:w="2038" w:type="dxa"/>
                  <w:vAlign w:val="center"/>
                </w:tcPr>
                <w:p>
                  <w:pPr>
                    <w:topLinePunct/>
                    <w:adjustRightInd w:val="0"/>
                    <w:snapToGrid w:val="0"/>
                    <w:jc w:val="center"/>
                    <w:rPr>
                      <w:kern w:val="0"/>
                      <w:szCs w:val="21"/>
                    </w:rPr>
                  </w:pPr>
                  <w:r>
                    <w:rPr>
                      <w:kern w:val="0"/>
                      <w:szCs w:val="21"/>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31" w:hRule="atLeast"/>
                <w:jc w:val="center"/>
              </w:trPr>
              <w:tc>
                <w:tcPr>
                  <w:tcW w:w="343" w:type="dxa"/>
                  <w:vAlign w:val="center"/>
                </w:tcPr>
                <w:p>
                  <w:pPr>
                    <w:topLinePunct/>
                    <w:adjustRightInd w:val="0"/>
                    <w:jc w:val="center"/>
                    <w:rPr>
                      <w:kern w:val="0"/>
                      <w:szCs w:val="21"/>
                    </w:rPr>
                  </w:pPr>
                  <w:r>
                    <w:rPr>
                      <w:rFonts w:hint="eastAsia"/>
                      <w:kern w:val="0"/>
                      <w:szCs w:val="21"/>
                    </w:rPr>
                    <w:t>1</w:t>
                  </w:r>
                </w:p>
              </w:tc>
              <w:tc>
                <w:tcPr>
                  <w:tcW w:w="830" w:type="dxa"/>
                  <w:vAlign w:val="center"/>
                </w:tcPr>
                <w:p>
                  <w:pPr>
                    <w:adjustRightInd w:val="0"/>
                    <w:jc w:val="center"/>
                    <w:rPr>
                      <w:szCs w:val="21"/>
                    </w:rPr>
                  </w:pPr>
                  <w:r>
                    <w:rPr>
                      <w:szCs w:val="21"/>
                    </w:rPr>
                    <w:t>废润滑油</w:t>
                  </w:r>
                  <w:r>
                    <w:rPr>
                      <w:rFonts w:hint="eastAsia"/>
                      <w:szCs w:val="21"/>
                    </w:rPr>
                    <w:t>、废机油</w:t>
                  </w:r>
                </w:p>
              </w:tc>
              <w:tc>
                <w:tcPr>
                  <w:tcW w:w="807" w:type="dxa"/>
                  <w:vAlign w:val="center"/>
                </w:tcPr>
                <w:p>
                  <w:pPr>
                    <w:topLinePunct/>
                    <w:adjustRightInd w:val="0"/>
                    <w:jc w:val="center"/>
                    <w:rPr>
                      <w:snapToGrid w:val="0"/>
                      <w:kern w:val="0"/>
                      <w:szCs w:val="21"/>
                    </w:rPr>
                  </w:pPr>
                  <w:r>
                    <w:rPr>
                      <w:kern w:val="0"/>
                      <w:szCs w:val="21"/>
                    </w:rPr>
                    <w:t>HW</w:t>
                  </w:r>
                  <w:r>
                    <w:rPr>
                      <w:rFonts w:hint="eastAsia"/>
                      <w:kern w:val="0"/>
                      <w:szCs w:val="21"/>
                    </w:rPr>
                    <w:t>08</w:t>
                  </w:r>
                </w:p>
              </w:tc>
              <w:tc>
                <w:tcPr>
                  <w:tcW w:w="823" w:type="dxa"/>
                  <w:vAlign w:val="center"/>
                </w:tcPr>
                <w:p>
                  <w:pPr>
                    <w:adjustRightInd w:val="0"/>
                    <w:jc w:val="center"/>
                    <w:rPr>
                      <w:szCs w:val="21"/>
                    </w:rPr>
                  </w:pPr>
                  <w:r>
                    <w:rPr>
                      <w:szCs w:val="21"/>
                    </w:rPr>
                    <w:t>900-2</w:t>
                  </w:r>
                  <w:r>
                    <w:rPr>
                      <w:rFonts w:hint="eastAsia"/>
                      <w:szCs w:val="21"/>
                    </w:rPr>
                    <w:t>49</w:t>
                  </w:r>
                  <w:r>
                    <w:rPr>
                      <w:szCs w:val="21"/>
                    </w:rPr>
                    <w:t>-08</w:t>
                  </w:r>
                </w:p>
              </w:tc>
              <w:tc>
                <w:tcPr>
                  <w:tcW w:w="822" w:type="dxa"/>
                  <w:vAlign w:val="center"/>
                </w:tcPr>
                <w:p>
                  <w:pPr>
                    <w:adjustRightInd w:val="0"/>
                    <w:jc w:val="center"/>
                    <w:rPr>
                      <w:szCs w:val="21"/>
                    </w:rPr>
                  </w:pPr>
                  <w:r>
                    <w:rPr>
                      <w:rFonts w:hint="eastAsia"/>
                      <w:szCs w:val="21"/>
                    </w:rPr>
                    <w:t>1</w:t>
                  </w:r>
                  <w:r>
                    <w:rPr>
                      <w:szCs w:val="21"/>
                    </w:rPr>
                    <w:t>t</w:t>
                  </w:r>
                </w:p>
              </w:tc>
              <w:tc>
                <w:tcPr>
                  <w:tcW w:w="865" w:type="dxa"/>
                  <w:vAlign w:val="center"/>
                </w:tcPr>
                <w:p>
                  <w:pPr>
                    <w:spacing w:line="280" w:lineRule="exact"/>
                    <w:jc w:val="center"/>
                    <w:rPr>
                      <w:szCs w:val="21"/>
                    </w:rPr>
                  </w:pPr>
                  <w:r>
                    <w:rPr>
                      <w:szCs w:val="21"/>
                    </w:rPr>
                    <w:t>设备检修</w:t>
                  </w:r>
                </w:p>
              </w:tc>
              <w:tc>
                <w:tcPr>
                  <w:tcW w:w="606" w:type="dxa"/>
                  <w:vAlign w:val="center"/>
                </w:tcPr>
                <w:p>
                  <w:pPr>
                    <w:adjustRightInd w:val="0"/>
                    <w:jc w:val="center"/>
                  </w:pPr>
                  <w:r>
                    <w:rPr>
                      <w:snapToGrid w:val="0"/>
                      <w:kern w:val="0"/>
                      <w:szCs w:val="21"/>
                    </w:rPr>
                    <w:t>液态</w:t>
                  </w:r>
                </w:p>
              </w:tc>
              <w:tc>
                <w:tcPr>
                  <w:tcW w:w="634" w:type="dxa"/>
                  <w:vAlign w:val="center"/>
                </w:tcPr>
                <w:p>
                  <w:pPr>
                    <w:adjustRightInd w:val="0"/>
                    <w:jc w:val="center"/>
                    <w:rPr>
                      <w:szCs w:val="21"/>
                    </w:rPr>
                  </w:pPr>
                  <w:r>
                    <w:rPr>
                      <w:rFonts w:hint="eastAsia"/>
                      <w:szCs w:val="21"/>
                    </w:rPr>
                    <w:t>废油</w:t>
                  </w:r>
                </w:p>
              </w:tc>
              <w:tc>
                <w:tcPr>
                  <w:tcW w:w="462" w:type="dxa"/>
                  <w:vAlign w:val="center"/>
                </w:tcPr>
                <w:p>
                  <w:pPr>
                    <w:jc w:val="center"/>
                  </w:pPr>
                  <w:r>
                    <w:rPr>
                      <w:rFonts w:hint="eastAsia"/>
                    </w:rPr>
                    <w:t>矿物油</w:t>
                  </w:r>
                </w:p>
              </w:tc>
              <w:tc>
                <w:tcPr>
                  <w:tcW w:w="476" w:type="dxa"/>
                  <w:vAlign w:val="center"/>
                </w:tcPr>
                <w:p>
                  <w:pPr>
                    <w:jc w:val="center"/>
                    <w:rPr>
                      <w:snapToGrid w:val="0"/>
                      <w:kern w:val="0"/>
                      <w:szCs w:val="21"/>
                    </w:rPr>
                  </w:pPr>
                  <w:r>
                    <w:rPr>
                      <w:rFonts w:hint="eastAsia"/>
                      <w:snapToGrid w:val="0"/>
                      <w:kern w:val="0"/>
                      <w:szCs w:val="21"/>
                    </w:rPr>
                    <w:t>/</w:t>
                  </w:r>
                </w:p>
              </w:tc>
              <w:tc>
                <w:tcPr>
                  <w:tcW w:w="404" w:type="dxa"/>
                  <w:vAlign w:val="center"/>
                </w:tcPr>
                <w:p>
                  <w:pPr>
                    <w:adjustRightInd w:val="0"/>
                    <w:jc w:val="center"/>
                  </w:pPr>
                  <w:r>
                    <w:rPr>
                      <w:kern w:val="0"/>
                      <w:szCs w:val="21"/>
                    </w:rPr>
                    <w:t>T</w:t>
                  </w:r>
                  <w:r>
                    <w:rPr>
                      <w:rFonts w:hint="eastAsia"/>
                      <w:kern w:val="0"/>
                      <w:szCs w:val="21"/>
                    </w:rPr>
                    <w:t>，I</w:t>
                  </w:r>
                </w:p>
              </w:tc>
              <w:tc>
                <w:tcPr>
                  <w:tcW w:w="2038" w:type="dxa"/>
                  <w:vAlign w:val="center"/>
                </w:tcPr>
                <w:p>
                  <w:pPr>
                    <w:topLinePunct/>
                    <w:adjustRightInd w:val="0"/>
                    <w:snapToGrid w:val="0"/>
                    <w:jc w:val="center"/>
                    <w:rPr>
                      <w:snapToGrid w:val="0"/>
                      <w:kern w:val="0"/>
                      <w:szCs w:val="21"/>
                    </w:rPr>
                  </w:pPr>
                  <w:r>
                    <w:rPr>
                      <w:szCs w:val="21"/>
                    </w:rPr>
                    <w:t>收集后采用桶装，暂存于专用危险废物暂存间，定期委托具备相应资质的专业危险废物处置单位外运处理</w:t>
                  </w:r>
                </w:p>
              </w:tc>
            </w:tr>
          </w:tbl>
          <w:p>
            <w:pPr>
              <w:spacing w:line="500" w:lineRule="exact"/>
              <w:ind w:firstLine="480" w:firstLineChars="200"/>
              <w:jc w:val="left"/>
              <w:rPr>
                <w:sz w:val="24"/>
              </w:rPr>
            </w:pPr>
            <w:r>
              <w:rPr>
                <w:rFonts w:hint="eastAsia"/>
                <w:bCs/>
                <w:sz w:val="24"/>
              </w:rPr>
              <w:t>4）</w:t>
            </w:r>
            <w:r>
              <w:rPr>
                <w:rFonts w:hint="eastAsia"/>
                <w:sz w:val="24"/>
              </w:rPr>
              <w:t>噪声影响</w:t>
            </w:r>
          </w:p>
          <w:p>
            <w:pPr>
              <w:spacing w:line="500" w:lineRule="exact"/>
              <w:ind w:firstLine="480" w:firstLineChars="200"/>
              <w:jc w:val="left"/>
              <w:rPr>
                <w:sz w:val="24"/>
              </w:rPr>
            </w:pPr>
            <w:r>
              <w:rPr>
                <w:rFonts w:hint="eastAsia"/>
                <w:sz w:val="24"/>
              </w:rPr>
              <w:t>扩建项目营运期生产设备、运输设备较多，产生噪声影响较大。主要高噪声设备有：圆盘锯、水平钻、挖掘机、空压机等。类比同类项目相关资料，噪声源噪声强度约75～90dB(A)。</w:t>
            </w:r>
          </w:p>
          <w:p>
            <w:pPr>
              <w:rPr>
                <w:kern w:val="0"/>
                <w:sz w:val="24"/>
                <w:highlight w:val="yellow"/>
              </w:rPr>
            </w:pPr>
          </w:p>
          <w:p/>
          <w:p/>
          <w:p/>
          <w:p/>
          <w:p/>
          <w:p/>
          <w:p/>
          <w:p/>
          <w:p/>
          <w:p/>
          <w:p/>
          <w:p/>
          <w:p/>
          <w:p/>
        </w:tc>
      </w:tr>
    </w:tbl>
    <w:p>
      <w:pPr>
        <w:spacing w:line="480" w:lineRule="auto"/>
        <w:outlineLvl w:val="0"/>
        <w:rPr>
          <w:b/>
          <w:bCs/>
          <w:sz w:val="32"/>
          <w:szCs w:val="28"/>
        </w:rPr>
      </w:pPr>
      <w:r>
        <w:rPr>
          <w:b/>
          <w:bCs/>
          <w:sz w:val="32"/>
          <w:szCs w:val="28"/>
        </w:rPr>
        <w:t>六、项目主要污染物产生及预计排放情况</w:t>
      </w:r>
    </w:p>
    <w:tbl>
      <w:tblPr>
        <w:tblStyle w:val="15"/>
        <w:tblW w:w="942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47"/>
        <w:gridCol w:w="1985"/>
        <w:gridCol w:w="1417"/>
        <w:gridCol w:w="1276"/>
        <w:gridCol w:w="1276"/>
        <w:gridCol w:w="1339"/>
        <w:gridCol w:w="138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747" w:type="dxa"/>
            <w:vMerge w:val="restart"/>
            <w:tcBorders>
              <w:tl2br w:val="single" w:color="auto" w:sz="4" w:space="0"/>
            </w:tcBorders>
          </w:tcPr>
          <w:p>
            <w:pPr>
              <w:rPr>
                <w:szCs w:val="21"/>
              </w:rPr>
            </w:pPr>
            <w:r>
              <w:rPr>
                <w:szCs w:val="21"/>
              </w:rPr>
              <w:t>内容</w:t>
            </w:r>
          </w:p>
          <w:p>
            <w:pPr>
              <w:rPr>
                <w:szCs w:val="21"/>
              </w:rPr>
            </w:pPr>
          </w:p>
          <w:p>
            <w:pPr>
              <w:rPr>
                <w:szCs w:val="21"/>
              </w:rPr>
            </w:pPr>
            <w:r>
              <w:rPr>
                <w:szCs w:val="21"/>
              </w:rPr>
              <w:t>类型</w:t>
            </w:r>
          </w:p>
        </w:tc>
        <w:tc>
          <w:tcPr>
            <w:tcW w:w="1985" w:type="dxa"/>
            <w:vMerge w:val="restart"/>
            <w:vAlign w:val="center"/>
          </w:tcPr>
          <w:p>
            <w:pPr>
              <w:jc w:val="center"/>
              <w:rPr>
                <w:szCs w:val="21"/>
              </w:rPr>
            </w:pPr>
            <w:r>
              <w:rPr>
                <w:szCs w:val="21"/>
              </w:rPr>
              <w:t>排放源</w:t>
            </w:r>
          </w:p>
          <w:p>
            <w:pPr>
              <w:jc w:val="center"/>
              <w:rPr>
                <w:szCs w:val="21"/>
              </w:rPr>
            </w:pPr>
            <w:r>
              <w:rPr>
                <w:szCs w:val="21"/>
              </w:rPr>
              <w:t>（编号）</w:t>
            </w:r>
          </w:p>
        </w:tc>
        <w:tc>
          <w:tcPr>
            <w:tcW w:w="1417" w:type="dxa"/>
            <w:vMerge w:val="restart"/>
            <w:vAlign w:val="center"/>
          </w:tcPr>
          <w:p>
            <w:pPr>
              <w:jc w:val="center"/>
              <w:rPr>
                <w:szCs w:val="21"/>
              </w:rPr>
            </w:pPr>
            <w:r>
              <w:rPr>
                <w:szCs w:val="21"/>
              </w:rPr>
              <w:t>污染物</w:t>
            </w:r>
          </w:p>
          <w:p>
            <w:pPr>
              <w:ind w:firstLine="151" w:firstLineChars="72"/>
              <w:rPr>
                <w:szCs w:val="21"/>
              </w:rPr>
            </w:pPr>
            <w:r>
              <w:rPr>
                <w:szCs w:val="21"/>
              </w:rPr>
              <w:t>名 称</w:t>
            </w:r>
          </w:p>
        </w:tc>
        <w:tc>
          <w:tcPr>
            <w:tcW w:w="2552" w:type="dxa"/>
            <w:gridSpan w:val="2"/>
            <w:vAlign w:val="center"/>
          </w:tcPr>
          <w:p>
            <w:pPr>
              <w:jc w:val="center"/>
              <w:rPr>
                <w:szCs w:val="21"/>
              </w:rPr>
            </w:pPr>
            <w:r>
              <w:rPr>
                <w:szCs w:val="21"/>
              </w:rPr>
              <w:t>处理前污染物产生</w:t>
            </w:r>
          </w:p>
        </w:tc>
        <w:tc>
          <w:tcPr>
            <w:tcW w:w="2728" w:type="dxa"/>
            <w:gridSpan w:val="2"/>
            <w:vAlign w:val="center"/>
          </w:tcPr>
          <w:p>
            <w:pPr>
              <w:jc w:val="center"/>
              <w:rPr>
                <w:szCs w:val="21"/>
              </w:rPr>
            </w:pPr>
            <w:r>
              <w:rPr>
                <w:szCs w:val="21"/>
              </w:rPr>
              <w:t>处理后污染物预计排放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747" w:type="dxa"/>
            <w:vMerge w:val="continue"/>
          </w:tcPr>
          <w:p>
            <w:pPr>
              <w:ind w:firstLine="210" w:firstLineChars="100"/>
              <w:rPr>
                <w:szCs w:val="21"/>
              </w:rPr>
            </w:pPr>
          </w:p>
        </w:tc>
        <w:tc>
          <w:tcPr>
            <w:tcW w:w="1985" w:type="dxa"/>
            <w:vMerge w:val="continue"/>
            <w:vAlign w:val="center"/>
          </w:tcPr>
          <w:p>
            <w:pPr>
              <w:jc w:val="center"/>
              <w:rPr>
                <w:szCs w:val="21"/>
              </w:rPr>
            </w:pPr>
          </w:p>
        </w:tc>
        <w:tc>
          <w:tcPr>
            <w:tcW w:w="1417" w:type="dxa"/>
            <w:vMerge w:val="continue"/>
            <w:vAlign w:val="center"/>
          </w:tcPr>
          <w:p>
            <w:pPr>
              <w:jc w:val="center"/>
              <w:rPr>
                <w:szCs w:val="21"/>
              </w:rPr>
            </w:pPr>
          </w:p>
        </w:tc>
        <w:tc>
          <w:tcPr>
            <w:tcW w:w="1276" w:type="dxa"/>
            <w:vAlign w:val="center"/>
          </w:tcPr>
          <w:p>
            <w:pPr>
              <w:jc w:val="center"/>
              <w:rPr>
                <w:szCs w:val="21"/>
              </w:rPr>
            </w:pPr>
            <w:r>
              <w:rPr>
                <w:szCs w:val="21"/>
              </w:rPr>
              <w:t>产生浓度</w:t>
            </w:r>
          </w:p>
          <w:p>
            <w:pPr>
              <w:jc w:val="center"/>
              <w:rPr>
                <w:szCs w:val="21"/>
              </w:rPr>
            </w:pPr>
            <w:r>
              <w:rPr>
                <w:szCs w:val="21"/>
              </w:rPr>
              <w:t>（单位）</w:t>
            </w:r>
          </w:p>
        </w:tc>
        <w:tc>
          <w:tcPr>
            <w:tcW w:w="1276" w:type="dxa"/>
            <w:vAlign w:val="center"/>
          </w:tcPr>
          <w:p>
            <w:pPr>
              <w:jc w:val="center"/>
              <w:rPr>
                <w:szCs w:val="21"/>
              </w:rPr>
            </w:pPr>
            <w:r>
              <w:rPr>
                <w:szCs w:val="21"/>
              </w:rPr>
              <w:t>产生量</w:t>
            </w:r>
          </w:p>
          <w:p>
            <w:pPr>
              <w:jc w:val="center"/>
              <w:rPr>
                <w:szCs w:val="21"/>
              </w:rPr>
            </w:pPr>
            <w:r>
              <w:rPr>
                <w:szCs w:val="21"/>
              </w:rPr>
              <w:t>（单位）</w:t>
            </w:r>
          </w:p>
        </w:tc>
        <w:tc>
          <w:tcPr>
            <w:tcW w:w="1339" w:type="dxa"/>
            <w:vAlign w:val="center"/>
          </w:tcPr>
          <w:p>
            <w:pPr>
              <w:jc w:val="center"/>
              <w:rPr>
                <w:szCs w:val="21"/>
              </w:rPr>
            </w:pPr>
            <w:r>
              <w:rPr>
                <w:szCs w:val="21"/>
              </w:rPr>
              <w:t>排放浓度</w:t>
            </w:r>
          </w:p>
          <w:p>
            <w:pPr>
              <w:jc w:val="center"/>
              <w:rPr>
                <w:szCs w:val="21"/>
              </w:rPr>
            </w:pPr>
            <w:r>
              <w:rPr>
                <w:szCs w:val="21"/>
              </w:rPr>
              <w:t>（单位）</w:t>
            </w:r>
          </w:p>
        </w:tc>
        <w:tc>
          <w:tcPr>
            <w:tcW w:w="1389" w:type="dxa"/>
            <w:vAlign w:val="center"/>
          </w:tcPr>
          <w:p>
            <w:pPr>
              <w:jc w:val="center"/>
              <w:rPr>
                <w:szCs w:val="21"/>
              </w:rPr>
            </w:pPr>
            <w:r>
              <w:rPr>
                <w:szCs w:val="21"/>
              </w:rPr>
              <w:t>排放量</w:t>
            </w:r>
          </w:p>
          <w:p>
            <w:pPr>
              <w:ind w:firstLine="105" w:firstLineChars="50"/>
              <w:rPr>
                <w:szCs w:val="21"/>
              </w:rPr>
            </w:pPr>
            <w:r>
              <w:rPr>
                <w:szCs w:val="21"/>
              </w:rPr>
              <w:t>（单位）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747" w:type="dxa"/>
            <w:vMerge w:val="restart"/>
            <w:vAlign w:val="center"/>
          </w:tcPr>
          <w:p>
            <w:pPr>
              <w:jc w:val="center"/>
              <w:rPr>
                <w:szCs w:val="21"/>
              </w:rPr>
            </w:pPr>
            <w:r>
              <w:rPr>
                <w:szCs w:val="21"/>
              </w:rPr>
              <w:t>水</w:t>
            </w:r>
          </w:p>
          <w:p>
            <w:pPr>
              <w:jc w:val="center"/>
              <w:rPr>
                <w:szCs w:val="21"/>
              </w:rPr>
            </w:pPr>
            <w:r>
              <w:rPr>
                <w:szCs w:val="21"/>
              </w:rPr>
              <w:t>污</w:t>
            </w:r>
          </w:p>
          <w:p>
            <w:pPr>
              <w:jc w:val="center"/>
              <w:rPr>
                <w:szCs w:val="21"/>
              </w:rPr>
            </w:pPr>
            <w:r>
              <w:rPr>
                <w:szCs w:val="21"/>
              </w:rPr>
              <w:t>染</w:t>
            </w:r>
          </w:p>
          <w:p>
            <w:pPr>
              <w:jc w:val="center"/>
              <w:rPr>
                <w:szCs w:val="21"/>
              </w:rPr>
            </w:pPr>
            <w:r>
              <w:rPr>
                <w:szCs w:val="21"/>
              </w:rPr>
              <w:t>物</w:t>
            </w:r>
          </w:p>
        </w:tc>
        <w:tc>
          <w:tcPr>
            <w:tcW w:w="1985" w:type="dxa"/>
            <w:vAlign w:val="center"/>
          </w:tcPr>
          <w:p>
            <w:pPr>
              <w:pStyle w:val="20"/>
              <w:ind w:firstLine="0" w:firstLineChars="0"/>
              <w:jc w:val="center"/>
              <w:rPr>
                <w:rFonts w:ascii="Times New Roman" w:hAnsi="Times New Roman" w:cs="Times New Roman"/>
                <w:sz w:val="21"/>
                <w:szCs w:val="21"/>
              </w:rPr>
            </w:pPr>
            <w:r>
              <w:rPr>
                <w:rFonts w:ascii="Times New Roman" w:hAnsi="Times New Roman" w:cs="Times New Roman"/>
                <w:sz w:val="21"/>
                <w:szCs w:val="21"/>
              </w:rPr>
              <w:t>洗车台清洗废水（</w:t>
            </w:r>
            <w:r>
              <w:rPr>
                <w:rFonts w:hint="eastAsia" w:ascii="Times New Roman" w:hAnsi="Times New Roman" w:cs="Times New Roman"/>
                <w:sz w:val="21"/>
                <w:szCs w:val="21"/>
              </w:rPr>
              <w:t>1200</w:t>
            </w:r>
            <w:r>
              <w:rPr>
                <w:rFonts w:ascii="Times New Roman" w:hAnsi="Times New Roman" w:cs="Times New Roman"/>
                <w:sz w:val="21"/>
                <w:szCs w:val="21"/>
              </w:rPr>
              <w:t>m</w:t>
            </w:r>
            <w:r>
              <w:rPr>
                <w:rFonts w:ascii="Times New Roman" w:hAnsi="Times New Roman" w:cs="Times New Roman"/>
                <w:sz w:val="21"/>
                <w:szCs w:val="21"/>
                <w:vertAlign w:val="superscript"/>
              </w:rPr>
              <w:t>3</w:t>
            </w:r>
            <w:r>
              <w:rPr>
                <w:rFonts w:ascii="Times New Roman" w:hAnsi="Times New Roman" w:cs="Times New Roman"/>
                <w:sz w:val="21"/>
                <w:szCs w:val="21"/>
              </w:rPr>
              <w:t>/a）</w:t>
            </w:r>
          </w:p>
        </w:tc>
        <w:tc>
          <w:tcPr>
            <w:tcW w:w="1417" w:type="dxa"/>
            <w:vAlign w:val="center"/>
          </w:tcPr>
          <w:p>
            <w:pPr>
              <w:jc w:val="center"/>
              <w:rPr>
                <w:szCs w:val="21"/>
              </w:rPr>
            </w:pPr>
            <w:r>
              <w:rPr>
                <w:szCs w:val="21"/>
              </w:rPr>
              <w:t>SS</w:t>
            </w:r>
          </w:p>
        </w:tc>
        <w:tc>
          <w:tcPr>
            <w:tcW w:w="1276" w:type="dxa"/>
            <w:vAlign w:val="center"/>
          </w:tcPr>
          <w:p>
            <w:pPr>
              <w:jc w:val="center"/>
              <w:rPr>
                <w:szCs w:val="21"/>
              </w:rPr>
            </w:pPr>
            <w:r>
              <w:rPr>
                <w:szCs w:val="21"/>
              </w:rPr>
              <w:t>2000mg/l</w:t>
            </w:r>
          </w:p>
        </w:tc>
        <w:tc>
          <w:tcPr>
            <w:tcW w:w="1276" w:type="dxa"/>
            <w:vAlign w:val="center"/>
          </w:tcPr>
          <w:p>
            <w:pPr>
              <w:jc w:val="center"/>
              <w:rPr>
                <w:szCs w:val="21"/>
              </w:rPr>
            </w:pPr>
            <w:r>
              <w:rPr>
                <w:rFonts w:hint="eastAsia"/>
                <w:szCs w:val="21"/>
              </w:rPr>
              <w:t>2.4</w:t>
            </w:r>
            <w:r>
              <w:rPr>
                <w:szCs w:val="21"/>
              </w:rPr>
              <w:t>t/a</w:t>
            </w:r>
          </w:p>
        </w:tc>
        <w:tc>
          <w:tcPr>
            <w:tcW w:w="1339" w:type="dxa"/>
            <w:vAlign w:val="center"/>
          </w:tcPr>
          <w:p>
            <w:pPr>
              <w:jc w:val="center"/>
              <w:rPr>
                <w:szCs w:val="21"/>
              </w:rPr>
            </w:pPr>
            <w:r>
              <w:rPr>
                <w:szCs w:val="21"/>
              </w:rPr>
              <w:t>－</w:t>
            </w:r>
          </w:p>
        </w:tc>
        <w:tc>
          <w:tcPr>
            <w:tcW w:w="1389" w:type="dxa"/>
            <w:vAlign w:val="center"/>
          </w:tcPr>
          <w:p>
            <w:pPr>
              <w:jc w:val="center"/>
              <w:rPr>
                <w:szCs w:val="21"/>
              </w:rPr>
            </w:pPr>
            <w:r>
              <w:rPr>
                <w:szCs w:val="21"/>
              </w:rPr>
              <w:t>0t/a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747" w:type="dxa"/>
            <w:vMerge w:val="continue"/>
            <w:vAlign w:val="center"/>
          </w:tcPr>
          <w:p>
            <w:pPr>
              <w:jc w:val="center"/>
              <w:rPr>
                <w:szCs w:val="21"/>
              </w:rPr>
            </w:pPr>
          </w:p>
        </w:tc>
        <w:tc>
          <w:tcPr>
            <w:tcW w:w="1985" w:type="dxa"/>
            <w:vMerge w:val="restart"/>
            <w:vAlign w:val="center"/>
          </w:tcPr>
          <w:p>
            <w:pPr>
              <w:jc w:val="center"/>
              <w:rPr>
                <w:szCs w:val="21"/>
              </w:rPr>
            </w:pPr>
            <w:r>
              <w:rPr>
                <w:szCs w:val="21"/>
              </w:rPr>
              <w:t>厂区生活污水 (</w:t>
            </w:r>
            <w:r>
              <w:rPr>
                <w:rFonts w:hint="eastAsia"/>
                <w:szCs w:val="21"/>
              </w:rPr>
              <w:t>2712</w:t>
            </w:r>
            <w:r>
              <w:rPr>
                <w:szCs w:val="21"/>
              </w:rPr>
              <w:t>m</w:t>
            </w:r>
            <w:r>
              <w:rPr>
                <w:szCs w:val="21"/>
                <w:vertAlign w:val="superscript"/>
              </w:rPr>
              <w:t>3</w:t>
            </w:r>
            <w:r>
              <w:rPr>
                <w:szCs w:val="21"/>
              </w:rPr>
              <w:t>/a)</w:t>
            </w:r>
          </w:p>
        </w:tc>
        <w:tc>
          <w:tcPr>
            <w:tcW w:w="1417" w:type="dxa"/>
            <w:vAlign w:val="center"/>
          </w:tcPr>
          <w:p>
            <w:pPr>
              <w:jc w:val="center"/>
              <w:rPr>
                <w:szCs w:val="21"/>
              </w:rPr>
            </w:pPr>
            <w:r>
              <w:rPr>
                <w:szCs w:val="21"/>
              </w:rPr>
              <w:t>COD</w:t>
            </w:r>
          </w:p>
        </w:tc>
        <w:tc>
          <w:tcPr>
            <w:tcW w:w="1276" w:type="dxa"/>
            <w:vAlign w:val="center"/>
          </w:tcPr>
          <w:p>
            <w:pPr>
              <w:jc w:val="center"/>
              <w:rPr>
                <w:szCs w:val="21"/>
              </w:rPr>
            </w:pPr>
            <w:r>
              <w:rPr>
                <w:szCs w:val="21"/>
              </w:rPr>
              <w:t>350mg/l</w:t>
            </w:r>
          </w:p>
        </w:tc>
        <w:tc>
          <w:tcPr>
            <w:tcW w:w="1276" w:type="dxa"/>
            <w:vAlign w:val="center"/>
          </w:tcPr>
          <w:p>
            <w:pPr>
              <w:jc w:val="center"/>
              <w:rPr>
                <w:szCs w:val="21"/>
              </w:rPr>
            </w:pPr>
            <w:r>
              <w:rPr>
                <w:szCs w:val="21"/>
              </w:rPr>
              <w:t>0.</w:t>
            </w:r>
            <w:r>
              <w:rPr>
                <w:rFonts w:hint="eastAsia"/>
                <w:szCs w:val="21"/>
              </w:rPr>
              <w:t>949</w:t>
            </w:r>
            <w:r>
              <w:rPr>
                <w:szCs w:val="21"/>
              </w:rPr>
              <w:t>t/a</w:t>
            </w:r>
          </w:p>
        </w:tc>
        <w:tc>
          <w:tcPr>
            <w:tcW w:w="1339" w:type="dxa"/>
            <w:vAlign w:val="center"/>
          </w:tcPr>
          <w:p>
            <w:pPr>
              <w:jc w:val="center"/>
              <w:rPr>
                <w:szCs w:val="21"/>
              </w:rPr>
            </w:pPr>
            <w:r>
              <w:rPr>
                <w:szCs w:val="21"/>
              </w:rPr>
              <w:t>－</w:t>
            </w:r>
          </w:p>
        </w:tc>
        <w:tc>
          <w:tcPr>
            <w:tcW w:w="1389" w:type="dxa"/>
            <w:vAlign w:val="center"/>
          </w:tcPr>
          <w:p>
            <w:pPr>
              <w:jc w:val="center"/>
              <w:rPr>
                <w:szCs w:val="21"/>
              </w:rPr>
            </w:pPr>
            <w:r>
              <w:rPr>
                <w:szCs w:val="21"/>
              </w:rPr>
              <w:t>0t/a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747" w:type="dxa"/>
            <w:vMerge w:val="continue"/>
            <w:vAlign w:val="center"/>
          </w:tcPr>
          <w:p>
            <w:pPr>
              <w:jc w:val="center"/>
              <w:rPr>
                <w:szCs w:val="21"/>
              </w:rPr>
            </w:pPr>
          </w:p>
        </w:tc>
        <w:tc>
          <w:tcPr>
            <w:tcW w:w="1985" w:type="dxa"/>
            <w:vMerge w:val="continue"/>
            <w:vAlign w:val="center"/>
          </w:tcPr>
          <w:p>
            <w:pPr>
              <w:jc w:val="center"/>
              <w:rPr>
                <w:szCs w:val="21"/>
              </w:rPr>
            </w:pPr>
          </w:p>
        </w:tc>
        <w:tc>
          <w:tcPr>
            <w:tcW w:w="1417" w:type="dxa"/>
            <w:vAlign w:val="center"/>
          </w:tcPr>
          <w:p>
            <w:pPr>
              <w:jc w:val="center"/>
              <w:rPr>
                <w:szCs w:val="21"/>
              </w:rPr>
            </w:pPr>
            <w:r>
              <w:rPr>
                <w:szCs w:val="21"/>
              </w:rPr>
              <w:t>SS</w:t>
            </w:r>
          </w:p>
        </w:tc>
        <w:tc>
          <w:tcPr>
            <w:tcW w:w="1276" w:type="dxa"/>
            <w:vAlign w:val="center"/>
          </w:tcPr>
          <w:p>
            <w:pPr>
              <w:jc w:val="center"/>
              <w:rPr>
                <w:szCs w:val="21"/>
              </w:rPr>
            </w:pPr>
            <w:r>
              <w:rPr>
                <w:szCs w:val="21"/>
              </w:rPr>
              <w:t>200mg/l</w:t>
            </w:r>
          </w:p>
        </w:tc>
        <w:tc>
          <w:tcPr>
            <w:tcW w:w="1276" w:type="dxa"/>
            <w:vAlign w:val="center"/>
          </w:tcPr>
          <w:p>
            <w:pPr>
              <w:jc w:val="center"/>
              <w:rPr>
                <w:szCs w:val="21"/>
              </w:rPr>
            </w:pPr>
            <w:r>
              <w:rPr>
                <w:szCs w:val="21"/>
              </w:rPr>
              <w:t>0.</w:t>
            </w:r>
            <w:r>
              <w:rPr>
                <w:rFonts w:hint="eastAsia"/>
                <w:szCs w:val="21"/>
              </w:rPr>
              <w:t>542</w:t>
            </w:r>
            <w:r>
              <w:rPr>
                <w:szCs w:val="21"/>
              </w:rPr>
              <w:t>t/a</w:t>
            </w:r>
          </w:p>
        </w:tc>
        <w:tc>
          <w:tcPr>
            <w:tcW w:w="1339" w:type="dxa"/>
            <w:vAlign w:val="center"/>
          </w:tcPr>
          <w:p>
            <w:pPr>
              <w:jc w:val="center"/>
              <w:rPr>
                <w:szCs w:val="21"/>
              </w:rPr>
            </w:pPr>
            <w:r>
              <w:rPr>
                <w:szCs w:val="21"/>
              </w:rPr>
              <w:t>－</w:t>
            </w:r>
          </w:p>
        </w:tc>
        <w:tc>
          <w:tcPr>
            <w:tcW w:w="1389" w:type="dxa"/>
            <w:vAlign w:val="center"/>
          </w:tcPr>
          <w:p>
            <w:pPr>
              <w:jc w:val="center"/>
              <w:rPr>
                <w:szCs w:val="21"/>
              </w:rPr>
            </w:pPr>
            <w:r>
              <w:rPr>
                <w:szCs w:val="21"/>
              </w:rPr>
              <w:t>0t/a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747" w:type="dxa"/>
            <w:vMerge w:val="continue"/>
            <w:vAlign w:val="center"/>
          </w:tcPr>
          <w:p>
            <w:pPr>
              <w:jc w:val="center"/>
              <w:rPr>
                <w:szCs w:val="21"/>
              </w:rPr>
            </w:pPr>
          </w:p>
        </w:tc>
        <w:tc>
          <w:tcPr>
            <w:tcW w:w="1985" w:type="dxa"/>
            <w:vMerge w:val="continue"/>
            <w:vAlign w:val="center"/>
          </w:tcPr>
          <w:p>
            <w:pPr>
              <w:jc w:val="center"/>
              <w:rPr>
                <w:szCs w:val="21"/>
              </w:rPr>
            </w:pPr>
          </w:p>
        </w:tc>
        <w:tc>
          <w:tcPr>
            <w:tcW w:w="1417" w:type="dxa"/>
            <w:vAlign w:val="center"/>
          </w:tcPr>
          <w:p>
            <w:pPr>
              <w:jc w:val="center"/>
              <w:rPr>
                <w:szCs w:val="21"/>
              </w:rPr>
            </w:pPr>
            <w:r>
              <w:rPr>
                <w:szCs w:val="21"/>
              </w:rPr>
              <w:t>NH</w:t>
            </w:r>
            <w:r>
              <w:rPr>
                <w:szCs w:val="21"/>
                <w:vertAlign w:val="subscript"/>
              </w:rPr>
              <w:t>3</w:t>
            </w:r>
            <w:r>
              <w:rPr>
                <w:szCs w:val="21"/>
              </w:rPr>
              <w:t>-N</w:t>
            </w:r>
          </w:p>
        </w:tc>
        <w:tc>
          <w:tcPr>
            <w:tcW w:w="1276" w:type="dxa"/>
            <w:vAlign w:val="center"/>
          </w:tcPr>
          <w:p>
            <w:pPr>
              <w:jc w:val="center"/>
              <w:rPr>
                <w:szCs w:val="21"/>
              </w:rPr>
            </w:pPr>
            <w:r>
              <w:rPr>
                <w:szCs w:val="21"/>
              </w:rPr>
              <w:t>30mg/l</w:t>
            </w:r>
          </w:p>
        </w:tc>
        <w:tc>
          <w:tcPr>
            <w:tcW w:w="1276" w:type="dxa"/>
            <w:vAlign w:val="center"/>
          </w:tcPr>
          <w:p>
            <w:pPr>
              <w:jc w:val="center"/>
              <w:rPr>
                <w:szCs w:val="21"/>
              </w:rPr>
            </w:pPr>
            <w:r>
              <w:rPr>
                <w:szCs w:val="21"/>
              </w:rPr>
              <w:t>0.0</w:t>
            </w:r>
            <w:r>
              <w:rPr>
                <w:rFonts w:hint="eastAsia"/>
                <w:szCs w:val="21"/>
              </w:rPr>
              <w:t>81</w:t>
            </w:r>
            <w:r>
              <w:rPr>
                <w:szCs w:val="21"/>
              </w:rPr>
              <w:t>t/a</w:t>
            </w:r>
          </w:p>
        </w:tc>
        <w:tc>
          <w:tcPr>
            <w:tcW w:w="1339" w:type="dxa"/>
            <w:vAlign w:val="center"/>
          </w:tcPr>
          <w:p>
            <w:pPr>
              <w:jc w:val="center"/>
              <w:rPr>
                <w:szCs w:val="21"/>
              </w:rPr>
            </w:pPr>
            <w:r>
              <w:rPr>
                <w:szCs w:val="21"/>
              </w:rPr>
              <w:t>－</w:t>
            </w:r>
          </w:p>
        </w:tc>
        <w:tc>
          <w:tcPr>
            <w:tcW w:w="1389" w:type="dxa"/>
            <w:vAlign w:val="center"/>
          </w:tcPr>
          <w:p>
            <w:pPr>
              <w:jc w:val="center"/>
              <w:rPr>
                <w:szCs w:val="21"/>
              </w:rPr>
            </w:pPr>
            <w:r>
              <w:rPr>
                <w:szCs w:val="21"/>
              </w:rPr>
              <w:t>0t/a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747" w:type="dxa"/>
            <w:vMerge w:val="restart"/>
            <w:vAlign w:val="center"/>
          </w:tcPr>
          <w:p>
            <w:pPr>
              <w:jc w:val="center"/>
              <w:rPr>
                <w:szCs w:val="21"/>
              </w:rPr>
            </w:pPr>
            <w:r>
              <w:rPr>
                <w:szCs w:val="21"/>
              </w:rPr>
              <w:t>大</w:t>
            </w:r>
          </w:p>
          <w:p>
            <w:pPr>
              <w:jc w:val="center"/>
              <w:rPr>
                <w:szCs w:val="21"/>
              </w:rPr>
            </w:pPr>
            <w:r>
              <w:rPr>
                <w:szCs w:val="21"/>
              </w:rPr>
              <w:t>气</w:t>
            </w:r>
          </w:p>
          <w:p>
            <w:pPr>
              <w:jc w:val="center"/>
              <w:rPr>
                <w:szCs w:val="21"/>
              </w:rPr>
            </w:pPr>
            <w:r>
              <w:rPr>
                <w:szCs w:val="21"/>
              </w:rPr>
              <w:t>污</w:t>
            </w:r>
          </w:p>
          <w:p>
            <w:pPr>
              <w:jc w:val="center"/>
              <w:rPr>
                <w:szCs w:val="21"/>
              </w:rPr>
            </w:pPr>
            <w:r>
              <w:rPr>
                <w:szCs w:val="21"/>
              </w:rPr>
              <w:t>染</w:t>
            </w:r>
          </w:p>
          <w:p>
            <w:pPr>
              <w:jc w:val="center"/>
              <w:rPr>
                <w:szCs w:val="21"/>
              </w:rPr>
            </w:pPr>
            <w:r>
              <w:rPr>
                <w:szCs w:val="21"/>
              </w:rPr>
              <w:t>物</w:t>
            </w:r>
          </w:p>
        </w:tc>
        <w:tc>
          <w:tcPr>
            <w:tcW w:w="1985" w:type="dxa"/>
            <w:vAlign w:val="center"/>
          </w:tcPr>
          <w:p>
            <w:pPr>
              <w:pStyle w:val="20"/>
              <w:ind w:firstLine="0" w:firstLineChars="0"/>
              <w:jc w:val="center"/>
              <w:rPr>
                <w:rFonts w:ascii="Times New Roman" w:hAnsi="Times New Roman" w:cs="Times New Roman"/>
                <w:sz w:val="21"/>
                <w:szCs w:val="21"/>
              </w:rPr>
            </w:pPr>
            <w:r>
              <w:rPr>
                <w:rFonts w:ascii="Times New Roman" w:hAnsi="Times New Roman" w:cs="Times New Roman"/>
                <w:sz w:val="21"/>
                <w:szCs w:val="21"/>
              </w:rPr>
              <w:t>切割粉尘</w:t>
            </w:r>
          </w:p>
        </w:tc>
        <w:tc>
          <w:tcPr>
            <w:tcW w:w="1417" w:type="dxa"/>
            <w:vAlign w:val="center"/>
          </w:tcPr>
          <w:p>
            <w:pPr>
              <w:pStyle w:val="20"/>
              <w:ind w:firstLine="0" w:firstLineChars="0"/>
              <w:jc w:val="center"/>
              <w:rPr>
                <w:rFonts w:ascii="Times New Roman" w:hAnsi="Times New Roman" w:cs="Times New Roman"/>
                <w:sz w:val="21"/>
                <w:szCs w:val="21"/>
              </w:rPr>
            </w:pPr>
            <w:r>
              <w:rPr>
                <w:rFonts w:ascii="Times New Roman" w:hAnsi="Times New Roman" w:cs="Times New Roman"/>
                <w:sz w:val="21"/>
                <w:szCs w:val="21"/>
              </w:rPr>
              <w:t>粉尘</w:t>
            </w:r>
          </w:p>
        </w:tc>
        <w:tc>
          <w:tcPr>
            <w:tcW w:w="2552" w:type="dxa"/>
            <w:gridSpan w:val="2"/>
            <w:vAlign w:val="center"/>
          </w:tcPr>
          <w:p>
            <w:pPr>
              <w:jc w:val="center"/>
              <w:rPr>
                <w:szCs w:val="21"/>
              </w:rPr>
            </w:pPr>
            <w:r>
              <w:rPr>
                <w:rFonts w:hint="eastAsia"/>
                <w:szCs w:val="21"/>
              </w:rPr>
              <w:t>10.24</w:t>
            </w:r>
            <w:r>
              <w:rPr>
                <w:szCs w:val="21"/>
              </w:rPr>
              <w:t>t/a</w:t>
            </w:r>
          </w:p>
        </w:tc>
        <w:tc>
          <w:tcPr>
            <w:tcW w:w="2728" w:type="dxa"/>
            <w:gridSpan w:val="2"/>
            <w:vAlign w:val="center"/>
          </w:tcPr>
          <w:p>
            <w:pPr>
              <w:jc w:val="center"/>
              <w:rPr>
                <w:szCs w:val="21"/>
              </w:rPr>
            </w:pPr>
            <w:r>
              <w:rPr>
                <w:rFonts w:hint="eastAsia"/>
                <w:szCs w:val="21"/>
              </w:rPr>
              <w:t>1.02</w:t>
            </w:r>
            <w:r>
              <w:rPr>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747" w:type="dxa"/>
            <w:vMerge w:val="continue"/>
            <w:vAlign w:val="center"/>
          </w:tcPr>
          <w:p>
            <w:pPr>
              <w:ind w:firstLine="210" w:firstLineChars="100"/>
              <w:rPr>
                <w:szCs w:val="21"/>
              </w:rPr>
            </w:pPr>
          </w:p>
        </w:tc>
        <w:tc>
          <w:tcPr>
            <w:tcW w:w="1985" w:type="dxa"/>
            <w:vAlign w:val="center"/>
          </w:tcPr>
          <w:p>
            <w:pPr>
              <w:pStyle w:val="20"/>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水平钻孔扬尘</w:t>
            </w:r>
          </w:p>
        </w:tc>
        <w:tc>
          <w:tcPr>
            <w:tcW w:w="1417" w:type="dxa"/>
            <w:vAlign w:val="center"/>
          </w:tcPr>
          <w:p>
            <w:pPr>
              <w:autoSpaceDE w:val="0"/>
              <w:autoSpaceDN w:val="0"/>
              <w:adjustRightInd w:val="0"/>
              <w:jc w:val="center"/>
              <w:rPr>
                <w:kern w:val="0"/>
                <w:szCs w:val="21"/>
              </w:rPr>
            </w:pPr>
            <w:r>
              <w:rPr>
                <w:szCs w:val="21"/>
              </w:rPr>
              <w:t>粉尘</w:t>
            </w:r>
          </w:p>
        </w:tc>
        <w:tc>
          <w:tcPr>
            <w:tcW w:w="2552" w:type="dxa"/>
            <w:gridSpan w:val="2"/>
            <w:vAlign w:val="center"/>
          </w:tcPr>
          <w:p>
            <w:pPr>
              <w:jc w:val="center"/>
              <w:rPr>
                <w:szCs w:val="21"/>
              </w:rPr>
            </w:pPr>
            <w:r>
              <w:rPr>
                <w:rFonts w:hint="eastAsia"/>
                <w:szCs w:val="21"/>
              </w:rPr>
              <w:t>4.8</w:t>
            </w:r>
            <w:r>
              <w:rPr>
                <w:szCs w:val="21"/>
              </w:rPr>
              <w:t>t/a</w:t>
            </w:r>
          </w:p>
        </w:tc>
        <w:tc>
          <w:tcPr>
            <w:tcW w:w="2728" w:type="dxa"/>
            <w:gridSpan w:val="2"/>
            <w:vAlign w:val="center"/>
          </w:tcPr>
          <w:p>
            <w:pPr>
              <w:jc w:val="center"/>
              <w:rPr>
                <w:szCs w:val="21"/>
              </w:rPr>
            </w:pPr>
            <w:r>
              <w:rPr>
                <w:rFonts w:hint="eastAsia"/>
                <w:szCs w:val="21"/>
              </w:rPr>
              <w:t>0.48</w:t>
            </w:r>
            <w:r>
              <w:rPr>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747" w:type="dxa"/>
            <w:vMerge w:val="continue"/>
            <w:vAlign w:val="center"/>
          </w:tcPr>
          <w:p>
            <w:pPr>
              <w:ind w:firstLine="210" w:firstLineChars="100"/>
              <w:rPr>
                <w:szCs w:val="21"/>
              </w:rPr>
            </w:pPr>
          </w:p>
        </w:tc>
        <w:tc>
          <w:tcPr>
            <w:tcW w:w="1985" w:type="dxa"/>
            <w:vAlign w:val="center"/>
          </w:tcPr>
          <w:p>
            <w:pPr>
              <w:pStyle w:val="20"/>
              <w:ind w:firstLine="0" w:firstLineChars="0"/>
              <w:jc w:val="center"/>
              <w:rPr>
                <w:rFonts w:ascii="Times New Roman" w:hAnsi="Times New Roman" w:cs="Times New Roman"/>
                <w:sz w:val="21"/>
                <w:szCs w:val="21"/>
              </w:rPr>
            </w:pPr>
            <w:r>
              <w:rPr>
                <w:rFonts w:ascii="Times New Roman" w:hAnsi="Times New Roman" w:cs="Times New Roman"/>
                <w:sz w:val="21"/>
                <w:szCs w:val="21"/>
              </w:rPr>
              <w:t>装卸粉尘</w:t>
            </w:r>
          </w:p>
        </w:tc>
        <w:tc>
          <w:tcPr>
            <w:tcW w:w="1417" w:type="dxa"/>
            <w:vAlign w:val="center"/>
          </w:tcPr>
          <w:p>
            <w:pPr>
              <w:pStyle w:val="20"/>
              <w:ind w:firstLine="0" w:firstLineChars="0"/>
              <w:jc w:val="center"/>
              <w:rPr>
                <w:rFonts w:ascii="Times New Roman" w:hAnsi="Times New Roman" w:cs="Times New Roman"/>
                <w:sz w:val="21"/>
                <w:szCs w:val="21"/>
              </w:rPr>
            </w:pPr>
            <w:r>
              <w:rPr>
                <w:rFonts w:ascii="Times New Roman" w:hAnsi="Times New Roman" w:cs="Times New Roman"/>
                <w:sz w:val="21"/>
                <w:szCs w:val="21"/>
              </w:rPr>
              <w:t>粉尘</w:t>
            </w:r>
          </w:p>
        </w:tc>
        <w:tc>
          <w:tcPr>
            <w:tcW w:w="2552" w:type="dxa"/>
            <w:gridSpan w:val="2"/>
            <w:vAlign w:val="center"/>
          </w:tcPr>
          <w:p>
            <w:pPr>
              <w:jc w:val="center"/>
              <w:rPr>
                <w:szCs w:val="21"/>
              </w:rPr>
            </w:pPr>
            <w:r>
              <w:rPr>
                <w:rFonts w:hint="eastAsia"/>
                <w:szCs w:val="21"/>
              </w:rPr>
              <w:t>0.96</w:t>
            </w:r>
            <w:r>
              <w:rPr>
                <w:szCs w:val="21"/>
              </w:rPr>
              <w:t>t/a</w:t>
            </w:r>
          </w:p>
        </w:tc>
        <w:tc>
          <w:tcPr>
            <w:tcW w:w="2728" w:type="dxa"/>
            <w:gridSpan w:val="2"/>
            <w:vAlign w:val="center"/>
          </w:tcPr>
          <w:p>
            <w:pPr>
              <w:jc w:val="center"/>
              <w:rPr>
                <w:szCs w:val="21"/>
              </w:rPr>
            </w:pPr>
            <w:r>
              <w:rPr>
                <w:szCs w:val="21"/>
              </w:rPr>
              <w:t>0.</w:t>
            </w:r>
            <w:r>
              <w:rPr>
                <w:rFonts w:hint="eastAsia"/>
                <w:szCs w:val="21"/>
              </w:rPr>
              <w:t>096</w:t>
            </w:r>
            <w:r>
              <w:rPr>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747" w:type="dxa"/>
            <w:vMerge w:val="continue"/>
            <w:vAlign w:val="center"/>
          </w:tcPr>
          <w:p>
            <w:pPr>
              <w:ind w:firstLine="210" w:firstLineChars="100"/>
              <w:rPr>
                <w:szCs w:val="21"/>
              </w:rPr>
            </w:pPr>
          </w:p>
        </w:tc>
        <w:tc>
          <w:tcPr>
            <w:tcW w:w="1985" w:type="dxa"/>
            <w:vAlign w:val="center"/>
          </w:tcPr>
          <w:p>
            <w:pPr>
              <w:pStyle w:val="20"/>
              <w:ind w:firstLine="0" w:firstLineChars="0"/>
              <w:jc w:val="center"/>
              <w:rPr>
                <w:rFonts w:ascii="Times New Roman" w:hAnsi="Times New Roman" w:cs="Times New Roman"/>
                <w:sz w:val="21"/>
                <w:szCs w:val="21"/>
              </w:rPr>
            </w:pPr>
            <w:r>
              <w:rPr>
                <w:rFonts w:ascii="Times New Roman" w:hAnsi="Times New Roman" w:cs="Times New Roman"/>
                <w:sz w:val="21"/>
                <w:szCs w:val="21"/>
              </w:rPr>
              <w:t>运输车辆</w:t>
            </w:r>
            <w:r>
              <w:rPr>
                <w:rFonts w:hint="eastAsia" w:ascii="Times New Roman" w:hAnsi="Times New Roman" w:cs="Times New Roman"/>
                <w:sz w:val="21"/>
                <w:szCs w:val="21"/>
              </w:rPr>
              <w:t>扬尘</w:t>
            </w:r>
          </w:p>
        </w:tc>
        <w:tc>
          <w:tcPr>
            <w:tcW w:w="1417" w:type="dxa"/>
            <w:vAlign w:val="center"/>
          </w:tcPr>
          <w:p>
            <w:pPr>
              <w:pStyle w:val="20"/>
              <w:ind w:firstLine="0" w:firstLineChars="0"/>
              <w:jc w:val="center"/>
              <w:rPr>
                <w:rFonts w:ascii="Times New Roman" w:hAnsi="Times New Roman" w:cs="Times New Roman"/>
                <w:sz w:val="21"/>
                <w:szCs w:val="21"/>
              </w:rPr>
            </w:pPr>
            <w:r>
              <w:rPr>
                <w:rFonts w:ascii="Times New Roman" w:hAnsi="Times New Roman" w:cs="Times New Roman"/>
                <w:sz w:val="21"/>
                <w:szCs w:val="21"/>
              </w:rPr>
              <w:t>粉尘</w:t>
            </w:r>
          </w:p>
        </w:tc>
        <w:tc>
          <w:tcPr>
            <w:tcW w:w="2552" w:type="dxa"/>
            <w:gridSpan w:val="2"/>
            <w:vAlign w:val="center"/>
          </w:tcPr>
          <w:p>
            <w:pPr>
              <w:jc w:val="center"/>
              <w:rPr>
                <w:szCs w:val="21"/>
              </w:rPr>
            </w:pPr>
            <w:r>
              <w:rPr>
                <w:rFonts w:hint="eastAsia"/>
                <w:szCs w:val="21"/>
              </w:rPr>
              <w:t>17.35t/a</w:t>
            </w:r>
          </w:p>
        </w:tc>
        <w:tc>
          <w:tcPr>
            <w:tcW w:w="2728" w:type="dxa"/>
            <w:gridSpan w:val="2"/>
            <w:vAlign w:val="center"/>
          </w:tcPr>
          <w:p>
            <w:pPr>
              <w:jc w:val="center"/>
              <w:rPr>
                <w:szCs w:val="21"/>
              </w:rPr>
            </w:pPr>
            <w:r>
              <w:rPr>
                <w:rFonts w:hint="eastAsia"/>
                <w:szCs w:val="21"/>
              </w:rPr>
              <w:t>3.47t/a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747" w:type="dxa"/>
            <w:vMerge w:val="continue"/>
            <w:vAlign w:val="center"/>
          </w:tcPr>
          <w:p>
            <w:pPr>
              <w:ind w:firstLine="210" w:firstLineChars="100"/>
              <w:rPr>
                <w:szCs w:val="21"/>
              </w:rPr>
            </w:pPr>
          </w:p>
        </w:tc>
        <w:tc>
          <w:tcPr>
            <w:tcW w:w="1985" w:type="dxa"/>
            <w:vAlign w:val="center"/>
          </w:tcPr>
          <w:p>
            <w:pPr>
              <w:pStyle w:val="20"/>
              <w:ind w:firstLine="0" w:firstLineChars="0"/>
              <w:jc w:val="center"/>
              <w:rPr>
                <w:rFonts w:ascii="Times New Roman" w:hAnsi="Times New Roman" w:cs="Times New Roman"/>
                <w:sz w:val="21"/>
                <w:szCs w:val="21"/>
              </w:rPr>
            </w:pPr>
            <w:r>
              <w:rPr>
                <w:rFonts w:ascii="Times New Roman" w:hAnsi="Times New Roman" w:cs="Times New Roman"/>
                <w:sz w:val="21"/>
                <w:szCs w:val="21"/>
              </w:rPr>
              <w:t>堆场</w:t>
            </w:r>
            <w:r>
              <w:rPr>
                <w:rFonts w:hint="eastAsia" w:ascii="Times New Roman" w:hAnsi="Times New Roman" w:cs="Times New Roman"/>
                <w:sz w:val="21"/>
                <w:szCs w:val="21"/>
              </w:rPr>
              <w:t>扬尘</w:t>
            </w:r>
          </w:p>
        </w:tc>
        <w:tc>
          <w:tcPr>
            <w:tcW w:w="1417" w:type="dxa"/>
            <w:vAlign w:val="center"/>
          </w:tcPr>
          <w:p>
            <w:pPr>
              <w:pStyle w:val="20"/>
              <w:ind w:firstLine="0" w:firstLineChars="0"/>
              <w:jc w:val="center"/>
              <w:rPr>
                <w:rFonts w:ascii="Times New Roman" w:hAnsi="Times New Roman" w:cs="Times New Roman"/>
                <w:sz w:val="21"/>
                <w:szCs w:val="21"/>
              </w:rPr>
            </w:pPr>
            <w:r>
              <w:rPr>
                <w:rFonts w:ascii="Times New Roman" w:hAnsi="Times New Roman" w:cs="Times New Roman"/>
                <w:sz w:val="21"/>
                <w:szCs w:val="21"/>
              </w:rPr>
              <w:t>粉尘</w:t>
            </w:r>
          </w:p>
        </w:tc>
        <w:tc>
          <w:tcPr>
            <w:tcW w:w="2552" w:type="dxa"/>
            <w:gridSpan w:val="2"/>
            <w:vAlign w:val="center"/>
          </w:tcPr>
          <w:p>
            <w:pPr>
              <w:jc w:val="center"/>
              <w:rPr>
                <w:szCs w:val="21"/>
              </w:rPr>
            </w:pPr>
            <w:r>
              <w:rPr>
                <w:rFonts w:hint="eastAsia"/>
                <w:szCs w:val="21"/>
              </w:rPr>
              <w:t>16.88</w:t>
            </w:r>
            <w:r>
              <w:rPr>
                <w:szCs w:val="21"/>
              </w:rPr>
              <w:t>t/a</w:t>
            </w:r>
          </w:p>
        </w:tc>
        <w:tc>
          <w:tcPr>
            <w:tcW w:w="2728" w:type="dxa"/>
            <w:gridSpan w:val="2"/>
            <w:vAlign w:val="center"/>
          </w:tcPr>
          <w:p>
            <w:pPr>
              <w:jc w:val="center"/>
              <w:rPr>
                <w:szCs w:val="21"/>
              </w:rPr>
            </w:pPr>
            <w:r>
              <w:rPr>
                <w:rFonts w:hint="eastAsia"/>
                <w:szCs w:val="21"/>
              </w:rPr>
              <w:t>0.276</w:t>
            </w:r>
            <w:r>
              <w:rPr>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747" w:type="dxa"/>
            <w:vAlign w:val="center"/>
          </w:tcPr>
          <w:p>
            <w:pPr>
              <w:jc w:val="center"/>
              <w:rPr>
                <w:szCs w:val="21"/>
              </w:rPr>
            </w:pPr>
            <w:r>
              <w:rPr>
                <w:szCs w:val="21"/>
              </w:rPr>
              <w:t>噪</w:t>
            </w:r>
          </w:p>
          <w:p>
            <w:pPr>
              <w:jc w:val="center"/>
              <w:rPr>
                <w:szCs w:val="21"/>
              </w:rPr>
            </w:pPr>
            <w:r>
              <w:rPr>
                <w:szCs w:val="21"/>
              </w:rPr>
              <w:t>声</w:t>
            </w:r>
          </w:p>
        </w:tc>
        <w:tc>
          <w:tcPr>
            <w:tcW w:w="1985" w:type="dxa"/>
            <w:vAlign w:val="center"/>
          </w:tcPr>
          <w:p>
            <w:pPr>
              <w:pStyle w:val="20"/>
              <w:ind w:firstLine="0" w:firstLineChars="0"/>
              <w:jc w:val="left"/>
              <w:rPr>
                <w:rFonts w:ascii="Times New Roman" w:hAnsi="Times New Roman" w:cs="Times New Roman"/>
                <w:sz w:val="21"/>
                <w:szCs w:val="21"/>
              </w:rPr>
            </w:pPr>
            <w:r>
              <w:rPr>
                <w:rFonts w:hint="eastAsia" w:ascii="Times New Roman" w:hAnsi="Times New Roman" w:cs="Times New Roman"/>
                <w:sz w:val="21"/>
                <w:szCs w:val="21"/>
              </w:rPr>
              <w:t>风钻、空压机、</w:t>
            </w:r>
            <w:r>
              <w:rPr>
                <w:rFonts w:ascii="Times New Roman" w:hAnsi="Times New Roman" w:cs="Times New Roman"/>
                <w:sz w:val="21"/>
                <w:szCs w:val="21"/>
              </w:rPr>
              <w:t>圆盘锯、</w:t>
            </w:r>
            <w:r>
              <w:rPr>
                <w:rFonts w:hint="eastAsia" w:ascii="Times New Roman" w:hAnsi="Times New Roman" w:cs="Times New Roman"/>
                <w:sz w:val="21"/>
                <w:szCs w:val="21"/>
              </w:rPr>
              <w:t>绳锯、</w:t>
            </w:r>
            <w:r>
              <w:rPr>
                <w:rFonts w:ascii="Times New Roman" w:hAnsi="Times New Roman" w:cs="Times New Roman"/>
                <w:sz w:val="21"/>
                <w:szCs w:val="21"/>
              </w:rPr>
              <w:t>水平钻、</w:t>
            </w:r>
            <w:r>
              <w:rPr>
                <w:rFonts w:hint="eastAsia" w:ascii="Times New Roman" w:hAnsi="Times New Roman" w:cs="Times New Roman"/>
                <w:sz w:val="21"/>
                <w:szCs w:val="21"/>
              </w:rPr>
              <w:t>装载机</w:t>
            </w:r>
            <w:r>
              <w:rPr>
                <w:rFonts w:ascii="Times New Roman" w:hAnsi="Times New Roman" w:cs="Times New Roman"/>
                <w:sz w:val="21"/>
                <w:szCs w:val="21"/>
              </w:rPr>
              <w:t>、</w:t>
            </w:r>
            <w:r>
              <w:rPr>
                <w:rFonts w:hint="eastAsia" w:ascii="Times New Roman" w:hAnsi="Times New Roman" w:cs="Times New Roman"/>
                <w:sz w:val="21"/>
                <w:szCs w:val="21"/>
              </w:rPr>
              <w:t>自卸车、水泵</w:t>
            </w:r>
            <w:r>
              <w:rPr>
                <w:rFonts w:ascii="Times New Roman" w:hAnsi="Times New Roman" w:cs="Times New Roman"/>
                <w:sz w:val="21"/>
                <w:szCs w:val="21"/>
              </w:rPr>
              <w:t>等设备</w:t>
            </w:r>
          </w:p>
        </w:tc>
        <w:tc>
          <w:tcPr>
            <w:tcW w:w="1417" w:type="dxa"/>
            <w:vAlign w:val="center"/>
          </w:tcPr>
          <w:p>
            <w:pPr>
              <w:pStyle w:val="20"/>
              <w:ind w:firstLine="0" w:firstLineChars="0"/>
              <w:jc w:val="center"/>
              <w:rPr>
                <w:rFonts w:ascii="Times New Roman" w:hAnsi="Times New Roman" w:cs="Times New Roman"/>
                <w:sz w:val="21"/>
                <w:szCs w:val="21"/>
              </w:rPr>
            </w:pPr>
            <w:r>
              <w:rPr>
                <w:rFonts w:ascii="Times New Roman" w:hAnsi="Times New Roman" w:cs="Times New Roman"/>
                <w:sz w:val="21"/>
                <w:szCs w:val="21"/>
              </w:rPr>
              <w:t>设备噪声</w:t>
            </w:r>
          </w:p>
        </w:tc>
        <w:tc>
          <w:tcPr>
            <w:tcW w:w="2552" w:type="dxa"/>
            <w:gridSpan w:val="2"/>
            <w:vAlign w:val="center"/>
          </w:tcPr>
          <w:p>
            <w:pPr>
              <w:jc w:val="center"/>
              <w:rPr>
                <w:szCs w:val="21"/>
              </w:rPr>
            </w:pPr>
            <w:r>
              <w:rPr>
                <w:szCs w:val="21"/>
              </w:rPr>
              <w:t>75-90dB(A)</w:t>
            </w:r>
          </w:p>
        </w:tc>
        <w:tc>
          <w:tcPr>
            <w:tcW w:w="2728" w:type="dxa"/>
            <w:gridSpan w:val="2"/>
            <w:vAlign w:val="center"/>
          </w:tcPr>
          <w:p>
            <w:pPr>
              <w:jc w:val="center"/>
              <w:rPr>
                <w:szCs w:val="21"/>
              </w:rPr>
            </w:pPr>
            <w:r>
              <w:rPr>
                <w:szCs w:val="21"/>
              </w:rPr>
              <w:t>50-60dB(A)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747" w:type="dxa"/>
            <w:vMerge w:val="restart"/>
            <w:vAlign w:val="center"/>
          </w:tcPr>
          <w:p>
            <w:pPr>
              <w:jc w:val="center"/>
              <w:rPr>
                <w:szCs w:val="21"/>
              </w:rPr>
            </w:pPr>
            <w:r>
              <w:rPr>
                <w:szCs w:val="21"/>
              </w:rPr>
              <w:t>固</w:t>
            </w:r>
          </w:p>
          <w:p>
            <w:pPr>
              <w:jc w:val="center"/>
              <w:rPr>
                <w:szCs w:val="21"/>
              </w:rPr>
            </w:pPr>
            <w:r>
              <w:rPr>
                <w:szCs w:val="21"/>
              </w:rPr>
              <w:t>废</w:t>
            </w:r>
          </w:p>
          <w:p>
            <w:pPr>
              <w:jc w:val="center"/>
              <w:rPr>
                <w:szCs w:val="21"/>
              </w:rPr>
            </w:pPr>
          </w:p>
          <w:p>
            <w:pPr>
              <w:jc w:val="center"/>
              <w:rPr>
                <w:szCs w:val="21"/>
              </w:rPr>
            </w:pPr>
          </w:p>
        </w:tc>
        <w:tc>
          <w:tcPr>
            <w:tcW w:w="1985" w:type="dxa"/>
            <w:vAlign w:val="center"/>
          </w:tcPr>
          <w:p>
            <w:pPr>
              <w:jc w:val="center"/>
              <w:rPr>
                <w:szCs w:val="21"/>
              </w:rPr>
            </w:pPr>
            <w:r>
              <w:rPr>
                <w:szCs w:val="21"/>
              </w:rPr>
              <w:t xml:space="preserve">沉淀池 </w:t>
            </w:r>
          </w:p>
        </w:tc>
        <w:tc>
          <w:tcPr>
            <w:tcW w:w="1417" w:type="dxa"/>
            <w:vAlign w:val="center"/>
          </w:tcPr>
          <w:p>
            <w:pPr>
              <w:jc w:val="center"/>
              <w:rPr>
                <w:szCs w:val="21"/>
              </w:rPr>
            </w:pPr>
            <w:r>
              <w:rPr>
                <w:szCs w:val="21"/>
              </w:rPr>
              <w:t>沉淀物</w:t>
            </w:r>
          </w:p>
        </w:tc>
        <w:tc>
          <w:tcPr>
            <w:tcW w:w="1276" w:type="dxa"/>
            <w:vAlign w:val="center"/>
          </w:tcPr>
          <w:p>
            <w:pPr>
              <w:jc w:val="center"/>
              <w:rPr>
                <w:szCs w:val="21"/>
              </w:rPr>
            </w:pPr>
            <w:r>
              <w:rPr>
                <w:szCs w:val="21"/>
              </w:rPr>
              <w:t>－</w:t>
            </w:r>
          </w:p>
        </w:tc>
        <w:tc>
          <w:tcPr>
            <w:tcW w:w="1276" w:type="dxa"/>
            <w:vAlign w:val="center"/>
          </w:tcPr>
          <w:p>
            <w:pPr>
              <w:jc w:val="center"/>
              <w:rPr>
                <w:szCs w:val="21"/>
              </w:rPr>
            </w:pPr>
            <w:r>
              <w:rPr>
                <w:rFonts w:hint="eastAsia"/>
                <w:szCs w:val="21"/>
              </w:rPr>
              <w:t>5</w:t>
            </w:r>
            <w:r>
              <w:rPr>
                <w:szCs w:val="21"/>
              </w:rPr>
              <w:t>t/a</w:t>
            </w:r>
          </w:p>
        </w:tc>
        <w:tc>
          <w:tcPr>
            <w:tcW w:w="1339" w:type="dxa"/>
            <w:vAlign w:val="center"/>
          </w:tcPr>
          <w:p>
            <w:pPr>
              <w:jc w:val="center"/>
              <w:rPr>
                <w:szCs w:val="21"/>
              </w:rPr>
            </w:pPr>
            <w:r>
              <w:rPr>
                <w:szCs w:val="21"/>
              </w:rPr>
              <w:t>－</w:t>
            </w:r>
          </w:p>
        </w:tc>
        <w:tc>
          <w:tcPr>
            <w:tcW w:w="1389" w:type="dxa"/>
            <w:vAlign w:val="center"/>
          </w:tcPr>
          <w:p>
            <w:pPr>
              <w:jc w:val="center"/>
              <w:rPr>
                <w:szCs w:val="21"/>
              </w:rPr>
            </w:pPr>
            <w:r>
              <w:rPr>
                <w:szCs w:val="21"/>
              </w:rPr>
              <w:t>0t/a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747" w:type="dxa"/>
            <w:vMerge w:val="continue"/>
            <w:vAlign w:val="center"/>
          </w:tcPr>
          <w:p>
            <w:pPr>
              <w:jc w:val="center"/>
              <w:rPr>
                <w:szCs w:val="21"/>
              </w:rPr>
            </w:pPr>
          </w:p>
        </w:tc>
        <w:tc>
          <w:tcPr>
            <w:tcW w:w="1985" w:type="dxa"/>
            <w:vAlign w:val="center"/>
          </w:tcPr>
          <w:p>
            <w:pPr>
              <w:jc w:val="center"/>
              <w:rPr>
                <w:szCs w:val="21"/>
              </w:rPr>
            </w:pPr>
            <w:r>
              <w:rPr>
                <w:szCs w:val="21"/>
              </w:rPr>
              <w:t>石材废渣</w:t>
            </w:r>
          </w:p>
        </w:tc>
        <w:tc>
          <w:tcPr>
            <w:tcW w:w="1417" w:type="dxa"/>
            <w:vAlign w:val="center"/>
          </w:tcPr>
          <w:p>
            <w:pPr>
              <w:jc w:val="center"/>
              <w:rPr>
                <w:szCs w:val="21"/>
              </w:rPr>
            </w:pPr>
            <w:r>
              <w:rPr>
                <w:szCs w:val="21"/>
              </w:rPr>
              <w:t>废渣</w:t>
            </w:r>
          </w:p>
        </w:tc>
        <w:tc>
          <w:tcPr>
            <w:tcW w:w="1276" w:type="dxa"/>
            <w:vAlign w:val="center"/>
          </w:tcPr>
          <w:p>
            <w:pPr>
              <w:jc w:val="center"/>
              <w:rPr>
                <w:szCs w:val="21"/>
              </w:rPr>
            </w:pPr>
            <w:r>
              <w:rPr>
                <w:szCs w:val="21"/>
              </w:rPr>
              <w:t>－</w:t>
            </w:r>
          </w:p>
        </w:tc>
        <w:tc>
          <w:tcPr>
            <w:tcW w:w="1276" w:type="dxa"/>
            <w:vAlign w:val="center"/>
          </w:tcPr>
          <w:p>
            <w:pPr>
              <w:jc w:val="center"/>
              <w:rPr>
                <w:szCs w:val="21"/>
              </w:rPr>
            </w:pPr>
            <w:r>
              <w:rPr>
                <w:szCs w:val="21"/>
              </w:rPr>
              <w:t>15万m</w:t>
            </w:r>
            <w:r>
              <w:rPr>
                <w:szCs w:val="21"/>
                <w:vertAlign w:val="superscript"/>
              </w:rPr>
              <w:t>3</w:t>
            </w:r>
            <w:r>
              <w:rPr>
                <w:szCs w:val="21"/>
              </w:rPr>
              <w:t>/a</w:t>
            </w:r>
          </w:p>
        </w:tc>
        <w:tc>
          <w:tcPr>
            <w:tcW w:w="1339" w:type="dxa"/>
            <w:vAlign w:val="center"/>
          </w:tcPr>
          <w:p>
            <w:pPr>
              <w:jc w:val="center"/>
              <w:rPr>
                <w:szCs w:val="21"/>
              </w:rPr>
            </w:pPr>
            <w:r>
              <w:rPr>
                <w:szCs w:val="21"/>
              </w:rPr>
              <w:t>－</w:t>
            </w:r>
          </w:p>
        </w:tc>
        <w:tc>
          <w:tcPr>
            <w:tcW w:w="1389" w:type="dxa"/>
            <w:vAlign w:val="center"/>
          </w:tcPr>
          <w:p>
            <w:pPr>
              <w:jc w:val="center"/>
              <w:rPr>
                <w:szCs w:val="21"/>
              </w:rPr>
            </w:pPr>
            <w:r>
              <w:rPr>
                <w:szCs w:val="21"/>
              </w:rPr>
              <w:t>0t/a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747" w:type="dxa"/>
            <w:vMerge w:val="continue"/>
            <w:vAlign w:val="center"/>
          </w:tcPr>
          <w:p>
            <w:pPr>
              <w:jc w:val="center"/>
              <w:rPr>
                <w:szCs w:val="21"/>
              </w:rPr>
            </w:pPr>
          </w:p>
        </w:tc>
        <w:tc>
          <w:tcPr>
            <w:tcW w:w="1985" w:type="dxa"/>
            <w:vAlign w:val="center"/>
          </w:tcPr>
          <w:p>
            <w:pPr>
              <w:jc w:val="center"/>
              <w:rPr>
                <w:szCs w:val="21"/>
              </w:rPr>
            </w:pPr>
            <w:r>
              <w:rPr>
                <w:szCs w:val="21"/>
              </w:rPr>
              <w:t>石材切割</w:t>
            </w:r>
          </w:p>
        </w:tc>
        <w:tc>
          <w:tcPr>
            <w:tcW w:w="1417" w:type="dxa"/>
            <w:vAlign w:val="center"/>
          </w:tcPr>
          <w:p>
            <w:pPr>
              <w:jc w:val="center"/>
              <w:rPr>
                <w:szCs w:val="21"/>
              </w:rPr>
            </w:pPr>
            <w:r>
              <w:rPr>
                <w:szCs w:val="21"/>
              </w:rPr>
              <w:t>落地尘</w:t>
            </w:r>
          </w:p>
        </w:tc>
        <w:tc>
          <w:tcPr>
            <w:tcW w:w="1276" w:type="dxa"/>
            <w:vAlign w:val="center"/>
          </w:tcPr>
          <w:p>
            <w:pPr>
              <w:jc w:val="center"/>
              <w:rPr>
                <w:szCs w:val="21"/>
              </w:rPr>
            </w:pPr>
            <w:r>
              <w:rPr>
                <w:szCs w:val="21"/>
              </w:rPr>
              <w:t>－</w:t>
            </w:r>
          </w:p>
        </w:tc>
        <w:tc>
          <w:tcPr>
            <w:tcW w:w="1276" w:type="dxa"/>
            <w:vAlign w:val="center"/>
          </w:tcPr>
          <w:p>
            <w:pPr>
              <w:jc w:val="center"/>
              <w:rPr>
                <w:szCs w:val="21"/>
              </w:rPr>
            </w:pPr>
            <w:r>
              <w:rPr>
                <w:rFonts w:hint="eastAsia"/>
                <w:szCs w:val="21"/>
              </w:rPr>
              <w:t>20</w:t>
            </w:r>
            <w:r>
              <w:rPr>
                <w:szCs w:val="21"/>
              </w:rPr>
              <w:t>t/a</w:t>
            </w:r>
          </w:p>
        </w:tc>
        <w:tc>
          <w:tcPr>
            <w:tcW w:w="1339" w:type="dxa"/>
            <w:vAlign w:val="center"/>
          </w:tcPr>
          <w:p>
            <w:pPr>
              <w:jc w:val="center"/>
              <w:rPr>
                <w:szCs w:val="21"/>
              </w:rPr>
            </w:pPr>
            <w:r>
              <w:rPr>
                <w:szCs w:val="21"/>
              </w:rPr>
              <w:t>－</w:t>
            </w:r>
          </w:p>
        </w:tc>
        <w:tc>
          <w:tcPr>
            <w:tcW w:w="1389" w:type="dxa"/>
            <w:vAlign w:val="center"/>
          </w:tcPr>
          <w:p>
            <w:pPr>
              <w:jc w:val="center"/>
              <w:rPr>
                <w:szCs w:val="21"/>
              </w:rPr>
            </w:pPr>
            <w:r>
              <w:rPr>
                <w:szCs w:val="21"/>
              </w:rPr>
              <w:t>0t/a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747" w:type="dxa"/>
            <w:vMerge w:val="continue"/>
            <w:vAlign w:val="center"/>
          </w:tcPr>
          <w:p>
            <w:pPr>
              <w:jc w:val="center"/>
              <w:rPr>
                <w:szCs w:val="21"/>
              </w:rPr>
            </w:pPr>
          </w:p>
        </w:tc>
        <w:tc>
          <w:tcPr>
            <w:tcW w:w="1985" w:type="dxa"/>
            <w:vAlign w:val="center"/>
          </w:tcPr>
          <w:p>
            <w:pPr>
              <w:jc w:val="center"/>
              <w:rPr>
                <w:szCs w:val="21"/>
              </w:rPr>
            </w:pPr>
            <w:r>
              <w:rPr>
                <w:rFonts w:hint="eastAsia"/>
                <w:szCs w:val="21"/>
              </w:rPr>
              <w:t>设备检修</w:t>
            </w:r>
          </w:p>
        </w:tc>
        <w:tc>
          <w:tcPr>
            <w:tcW w:w="1417" w:type="dxa"/>
            <w:vAlign w:val="center"/>
          </w:tcPr>
          <w:p>
            <w:pPr>
              <w:jc w:val="center"/>
              <w:rPr>
                <w:szCs w:val="21"/>
              </w:rPr>
            </w:pPr>
            <w:r>
              <w:rPr>
                <w:rFonts w:hint="eastAsia"/>
                <w:szCs w:val="21"/>
              </w:rPr>
              <w:t>废润滑油</w:t>
            </w:r>
          </w:p>
        </w:tc>
        <w:tc>
          <w:tcPr>
            <w:tcW w:w="1276" w:type="dxa"/>
            <w:vAlign w:val="center"/>
          </w:tcPr>
          <w:p>
            <w:pPr>
              <w:jc w:val="center"/>
              <w:rPr>
                <w:szCs w:val="21"/>
              </w:rPr>
            </w:pPr>
            <w:r>
              <w:rPr>
                <w:szCs w:val="21"/>
              </w:rPr>
              <w:t>－</w:t>
            </w:r>
          </w:p>
        </w:tc>
        <w:tc>
          <w:tcPr>
            <w:tcW w:w="1276" w:type="dxa"/>
            <w:vAlign w:val="center"/>
          </w:tcPr>
          <w:p>
            <w:pPr>
              <w:jc w:val="center"/>
              <w:rPr>
                <w:szCs w:val="21"/>
              </w:rPr>
            </w:pPr>
            <w:r>
              <w:rPr>
                <w:rFonts w:hint="eastAsia"/>
                <w:szCs w:val="21"/>
              </w:rPr>
              <w:t>1</w:t>
            </w:r>
            <w:r>
              <w:rPr>
                <w:szCs w:val="21"/>
              </w:rPr>
              <w:t>t/a</w:t>
            </w:r>
          </w:p>
        </w:tc>
        <w:tc>
          <w:tcPr>
            <w:tcW w:w="1339" w:type="dxa"/>
            <w:vAlign w:val="center"/>
          </w:tcPr>
          <w:p>
            <w:pPr>
              <w:jc w:val="center"/>
              <w:rPr>
                <w:szCs w:val="21"/>
              </w:rPr>
            </w:pPr>
            <w:r>
              <w:rPr>
                <w:szCs w:val="21"/>
              </w:rPr>
              <w:t>－</w:t>
            </w:r>
          </w:p>
        </w:tc>
        <w:tc>
          <w:tcPr>
            <w:tcW w:w="1389" w:type="dxa"/>
            <w:vAlign w:val="center"/>
          </w:tcPr>
          <w:p>
            <w:pPr>
              <w:jc w:val="center"/>
              <w:rPr>
                <w:szCs w:val="21"/>
              </w:rPr>
            </w:pPr>
            <w:r>
              <w:rPr>
                <w:szCs w:val="21"/>
              </w:rPr>
              <w:t>0t/a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747" w:type="dxa"/>
            <w:vMerge w:val="continue"/>
            <w:vAlign w:val="center"/>
          </w:tcPr>
          <w:p>
            <w:pPr>
              <w:jc w:val="center"/>
              <w:rPr>
                <w:szCs w:val="21"/>
              </w:rPr>
            </w:pPr>
          </w:p>
        </w:tc>
        <w:tc>
          <w:tcPr>
            <w:tcW w:w="1985" w:type="dxa"/>
            <w:vAlign w:val="center"/>
          </w:tcPr>
          <w:p>
            <w:pPr>
              <w:jc w:val="center"/>
              <w:rPr>
                <w:szCs w:val="21"/>
              </w:rPr>
            </w:pPr>
            <w:r>
              <w:rPr>
                <w:szCs w:val="21"/>
              </w:rPr>
              <w:t xml:space="preserve">生活设施 </w:t>
            </w:r>
          </w:p>
        </w:tc>
        <w:tc>
          <w:tcPr>
            <w:tcW w:w="1417" w:type="dxa"/>
            <w:vAlign w:val="center"/>
          </w:tcPr>
          <w:p>
            <w:pPr>
              <w:jc w:val="center"/>
              <w:rPr>
                <w:szCs w:val="21"/>
              </w:rPr>
            </w:pPr>
            <w:r>
              <w:rPr>
                <w:szCs w:val="21"/>
              </w:rPr>
              <w:t>生活垃圾</w:t>
            </w:r>
          </w:p>
        </w:tc>
        <w:tc>
          <w:tcPr>
            <w:tcW w:w="1276" w:type="dxa"/>
            <w:vAlign w:val="center"/>
          </w:tcPr>
          <w:p>
            <w:pPr>
              <w:jc w:val="center"/>
              <w:rPr>
                <w:szCs w:val="21"/>
              </w:rPr>
            </w:pPr>
            <w:r>
              <w:rPr>
                <w:szCs w:val="21"/>
              </w:rPr>
              <w:t>－</w:t>
            </w:r>
          </w:p>
        </w:tc>
        <w:tc>
          <w:tcPr>
            <w:tcW w:w="1276" w:type="dxa"/>
            <w:vAlign w:val="center"/>
          </w:tcPr>
          <w:p>
            <w:pPr>
              <w:jc w:val="center"/>
              <w:rPr>
                <w:szCs w:val="21"/>
              </w:rPr>
            </w:pPr>
            <w:r>
              <w:rPr>
                <w:rFonts w:hint="eastAsia"/>
                <w:szCs w:val="21"/>
              </w:rPr>
              <w:t>13.</w:t>
            </w:r>
            <w:r>
              <w:rPr>
                <w:szCs w:val="21"/>
              </w:rPr>
              <w:t>56t/a</w:t>
            </w:r>
          </w:p>
        </w:tc>
        <w:tc>
          <w:tcPr>
            <w:tcW w:w="1339" w:type="dxa"/>
            <w:vAlign w:val="center"/>
          </w:tcPr>
          <w:p>
            <w:pPr>
              <w:jc w:val="center"/>
              <w:rPr>
                <w:szCs w:val="21"/>
              </w:rPr>
            </w:pPr>
            <w:r>
              <w:rPr>
                <w:szCs w:val="21"/>
              </w:rPr>
              <w:t>－</w:t>
            </w:r>
          </w:p>
        </w:tc>
        <w:tc>
          <w:tcPr>
            <w:tcW w:w="1389" w:type="dxa"/>
            <w:vAlign w:val="center"/>
          </w:tcPr>
          <w:p>
            <w:pPr>
              <w:jc w:val="center"/>
              <w:rPr>
                <w:szCs w:val="21"/>
              </w:rPr>
            </w:pPr>
            <w:r>
              <w:rPr>
                <w:szCs w:val="21"/>
              </w:rPr>
              <w:t>0t/a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747" w:type="dxa"/>
          </w:tcPr>
          <w:p>
            <w:pPr>
              <w:jc w:val="center"/>
              <w:rPr>
                <w:szCs w:val="21"/>
              </w:rPr>
            </w:pPr>
            <w:r>
              <w:rPr>
                <w:szCs w:val="21"/>
              </w:rPr>
              <w:t>其他</w:t>
            </w:r>
          </w:p>
        </w:tc>
        <w:tc>
          <w:tcPr>
            <w:tcW w:w="8682" w:type="dxa"/>
            <w:gridSpan w:val="6"/>
          </w:tcPr>
          <w:p>
            <w:pPr>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9429" w:type="dxa"/>
            <w:gridSpan w:val="7"/>
          </w:tcPr>
          <w:p>
            <w:pPr>
              <w:spacing w:line="360" w:lineRule="auto"/>
              <w:rPr>
                <w:b/>
                <w:szCs w:val="21"/>
              </w:rPr>
            </w:pPr>
            <w:r>
              <w:rPr>
                <w:b/>
                <w:szCs w:val="21"/>
              </w:rPr>
              <w:t>主要生态影响（不够时可附另页）：</w:t>
            </w:r>
          </w:p>
          <w:p>
            <w:pPr>
              <w:spacing w:line="360" w:lineRule="auto"/>
              <w:ind w:firstLine="420" w:firstLineChars="200"/>
              <w:rPr>
                <w:szCs w:val="21"/>
              </w:rPr>
            </w:pPr>
            <w:r>
              <w:rPr>
                <w:rFonts w:hint="eastAsia"/>
                <w:szCs w:val="21"/>
              </w:rPr>
              <w:t>场地现状为采石矿区，矿区内大部分为已开采区，仅有少量荒地。</w:t>
            </w:r>
            <w:r>
              <w:rPr>
                <w:szCs w:val="21"/>
              </w:rPr>
              <w:t>采矿对生态环境的影响包括对土地功能类型的影响、对生物多样性和生物量的影响、对水土流失的影响、对生物流通的影响、对景观的影响、对生态系统的影响、对生态环境质量的影响等方面。</w:t>
            </w:r>
          </w:p>
          <w:p>
            <w:pPr>
              <w:spacing w:line="360" w:lineRule="auto"/>
              <w:ind w:firstLine="420" w:firstLineChars="200"/>
              <w:rPr>
                <w:szCs w:val="21"/>
              </w:rPr>
            </w:pPr>
            <w:r>
              <w:rPr>
                <w:szCs w:val="21"/>
              </w:rPr>
              <w:t>(1) 对土地功能类型的影响：矿山的开采将改变原有土地利用类型，随着矿山的开采原有的荒地将会消失。</w:t>
            </w:r>
          </w:p>
          <w:p>
            <w:pPr>
              <w:spacing w:line="360" w:lineRule="auto"/>
              <w:ind w:firstLine="420" w:firstLineChars="200"/>
              <w:rPr>
                <w:szCs w:val="21"/>
              </w:rPr>
            </w:pPr>
            <w:r>
              <w:rPr>
                <w:szCs w:val="21"/>
              </w:rPr>
              <w:t>(2) 对生物多样性和生物量的影响：矿山开采时，矿山开采区将被大面积开采，特别是初采期，由于要修建矿山道路、表面的剥离，此阶段产生的废土石量也比较多，对植被的破坏尤其严重。同时由于植被的破坏将造成动物的迁徙，因此在一定程度上造成生物量的减少。但是由于矿区周围</w:t>
            </w:r>
            <w:r>
              <w:rPr>
                <w:rFonts w:hint="eastAsia"/>
                <w:szCs w:val="21"/>
              </w:rPr>
              <w:t>动物比较少见，</w:t>
            </w:r>
            <w:r>
              <w:rPr>
                <w:szCs w:val="21"/>
              </w:rPr>
              <w:t>同种生物</w:t>
            </w:r>
            <w:r>
              <w:rPr>
                <w:rFonts w:hint="eastAsia"/>
                <w:szCs w:val="21"/>
              </w:rPr>
              <w:t>在附近区域</w:t>
            </w:r>
            <w:r>
              <w:rPr>
                <w:szCs w:val="21"/>
              </w:rPr>
              <w:t>普遍存在，因此几乎对生物多样性没有影响。</w:t>
            </w:r>
          </w:p>
          <w:p>
            <w:pPr>
              <w:spacing w:line="360" w:lineRule="auto"/>
              <w:rPr>
                <w:szCs w:val="21"/>
              </w:rPr>
            </w:pPr>
            <w:r>
              <w:rPr>
                <w:szCs w:val="21"/>
              </w:rPr>
              <w:t>(3) 对水土流失的影响：本项目对矿山的开采，破坏了采取原有的土地利用类型，对植被破坏致使水土流失更加严重。</w:t>
            </w:r>
          </w:p>
          <w:p>
            <w:pPr>
              <w:spacing w:line="360" w:lineRule="auto"/>
              <w:ind w:firstLine="420" w:firstLineChars="200"/>
              <w:rPr>
                <w:szCs w:val="21"/>
              </w:rPr>
            </w:pPr>
            <w:r>
              <w:rPr>
                <w:szCs w:val="21"/>
              </w:rPr>
              <w:t>(4) 对生物流通现状的影响：未开采前生物流通性较好，开采后由于人工干预降低本区域生物流通性，产生一定不利影响。</w:t>
            </w:r>
          </w:p>
          <w:p>
            <w:pPr>
              <w:spacing w:line="360" w:lineRule="auto"/>
              <w:ind w:firstLine="420" w:firstLineChars="200"/>
              <w:rPr>
                <w:szCs w:val="21"/>
              </w:rPr>
            </w:pPr>
            <w:r>
              <w:rPr>
                <w:szCs w:val="21"/>
              </w:rPr>
              <w:t>(5) 对景观的影响：矿区开采时，清除的植被为采区范围内的荒草地，矿区范围内植被覆盖率有所下降。矿山在剥岩、排土、采矿过程中，改变了原有的地形地貌，搅动了地表土壤，毁坏了植被山林和草场，造成景观破坏，水土流失。</w:t>
            </w:r>
          </w:p>
          <w:p>
            <w:pPr>
              <w:spacing w:line="360" w:lineRule="auto"/>
              <w:ind w:firstLine="420" w:firstLineChars="200"/>
              <w:rPr>
                <w:szCs w:val="21"/>
              </w:rPr>
            </w:pPr>
            <w:r>
              <w:rPr>
                <w:szCs w:val="21"/>
              </w:rPr>
              <w:t>(6) 破坏矿区原有生态系统：露天矿的占地面积大，采掘场挖损又多是毁灭性的, 采掘直接破坏区域内地表形态、地层层序、生物种群、采区内地质地貌景观和一些地质遗迹，破坏了矿山固有的生态系统。</w:t>
            </w:r>
          </w:p>
          <w:p>
            <w:pPr>
              <w:spacing w:line="360" w:lineRule="auto"/>
              <w:ind w:firstLine="420" w:firstLineChars="200"/>
              <w:rPr>
                <w:szCs w:val="21"/>
              </w:rPr>
            </w:pPr>
            <w:r>
              <w:rPr>
                <w:szCs w:val="21"/>
              </w:rPr>
              <w:t>(7) 生态环境质量下降：露天开采产生的废石、废渣等松散物质极易使矿山地区水土流失。因为露天开采降低了区域防风固砂、蓄水保土、涵养水源、净化空气、保护生物多样性等生态功能，所以整个露天矿区的生态环境质量将会下降。</w:t>
            </w: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p>
            <w:pPr>
              <w:spacing w:line="360" w:lineRule="auto"/>
              <w:ind w:firstLine="420" w:firstLineChars="200"/>
              <w:rPr>
                <w:szCs w:val="21"/>
              </w:rPr>
            </w:pPr>
          </w:p>
        </w:tc>
      </w:tr>
    </w:tbl>
    <w:p>
      <w:pPr>
        <w:spacing w:line="480" w:lineRule="auto"/>
        <w:outlineLvl w:val="0"/>
        <w:rPr>
          <w:rFonts w:ascii="宋体" w:hAnsi="宋体"/>
          <w:b/>
          <w:bCs/>
          <w:sz w:val="32"/>
          <w:szCs w:val="28"/>
        </w:rPr>
      </w:pPr>
      <w:r>
        <w:rPr>
          <w:rFonts w:ascii="宋体" w:hAnsi="宋体"/>
          <w:b/>
          <w:bCs/>
          <w:sz w:val="32"/>
          <w:szCs w:val="28"/>
        </w:rPr>
        <w:t>七</w:t>
      </w:r>
      <w:r>
        <w:rPr>
          <w:rFonts w:hint="eastAsia" w:ascii="宋体" w:hAnsi="宋体"/>
          <w:b/>
          <w:bCs/>
          <w:sz w:val="32"/>
          <w:szCs w:val="28"/>
        </w:rPr>
        <w:t>、</w:t>
      </w:r>
      <w:r>
        <w:rPr>
          <w:rFonts w:ascii="宋体" w:hAnsi="宋体"/>
          <w:b/>
          <w:bCs/>
          <w:sz w:val="32"/>
          <w:szCs w:val="28"/>
        </w:rPr>
        <w:t>环境影响分析</w:t>
      </w:r>
    </w:p>
    <w:tbl>
      <w:tblPr>
        <w:tblStyle w:val="16"/>
        <w:tblW w:w="9420" w:type="dxa"/>
        <w:tblInd w:w="-4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0" w:type="dxa"/>
          </w:tcPr>
          <w:p>
            <w:pPr>
              <w:spacing w:line="360" w:lineRule="auto"/>
              <w:rPr>
                <w:b/>
                <w:sz w:val="24"/>
              </w:rPr>
            </w:pPr>
            <w:r>
              <w:rPr>
                <w:rFonts w:hint="eastAsia"/>
                <w:b/>
                <w:sz w:val="24"/>
              </w:rPr>
              <w:t>施工期环境影响简要分析：</w:t>
            </w:r>
          </w:p>
          <w:p>
            <w:pPr>
              <w:spacing w:line="360" w:lineRule="auto"/>
              <w:ind w:firstLine="480" w:firstLineChars="200"/>
              <w:rPr>
                <w:sz w:val="24"/>
              </w:rPr>
            </w:pPr>
            <w:r>
              <w:rPr>
                <w:rFonts w:hint="eastAsia"/>
                <w:sz w:val="24"/>
              </w:rPr>
              <w:t>本项目已建成，项目施工期已过，因此本环评不再对项目施工期进行环境影响分析。</w:t>
            </w:r>
          </w:p>
          <w:p>
            <w:pPr>
              <w:spacing w:line="360" w:lineRule="auto"/>
              <w:rPr>
                <w:sz w:val="24"/>
              </w:rPr>
            </w:pPr>
            <w:r>
              <w:rPr>
                <w:b/>
                <w:sz w:val="24"/>
              </w:rPr>
              <w:t>营运期环境影响分析</w:t>
            </w:r>
            <w:r>
              <w:rPr>
                <w:sz w:val="24"/>
              </w:rPr>
              <w:t>：</w:t>
            </w:r>
          </w:p>
          <w:p>
            <w:pPr>
              <w:numPr>
                <w:ilvl w:val="0"/>
                <w:numId w:val="3"/>
              </w:numPr>
              <w:spacing w:line="360" w:lineRule="auto"/>
              <w:ind w:firstLine="481" w:firstLineChars="200"/>
              <w:rPr>
                <w:b/>
                <w:sz w:val="24"/>
              </w:rPr>
            </w:pPr>
            <w:r>
              <w:rPr>
                <w:rFonts w:hint="eastAsia"/>
                <w:b/>
                <w:sz w:val="24"/>
              </w:rPr>
              <w:t>环境空气影响分析</w:t>
            </w:r>
          </w:p>
          <w:p>
            <w:pPr>
              <w:spacing w:line="360" w:lineRule="auto"/>
              <w:ind w:firstLine="480" w:firstLineChars="200"/>
              <w:jc w:val="left"/>
              <w:rPr>
                <w:sz w:val="24"/>
              </w:rPr>
            </w:pPr>
            <w:r>
              <w:rPr>
                <w:rFonts w:hint="eastAsia"/>
                <w:sz w:val="24"/>
              </w:rPr>
              <w:t>本项目</w:t>
            </w:r>
            <w:r>
              <w:rPr>
                <w:sz w:val="24"/>
              </w:rPr>
              <w:t>废气主要是粉尘。主要来源有矿山开采过程中石材切割产生粉尘；</w:t>
            </w:r>
            <w:r>
              <w:rPr>
                <w:rFonts w:hint="eastAsia"/>
                <w:sz w:val="24"/>
              </w:rPr>
              <w:t>钻孔过程产生的粉尘；</w:t>
            </w:r>
            <w:r>
              <w:rPr>
                <w:sz w:val="24"/>
              </w:rPr>
              <w:t>装卸粉尘</w:t>
            </w:r>
            <w:r>
              <w:rPr>
                <w:rFonts w:hint="eastAsia"/>
                <w:sz w:val="24"/>
              </w:rPr>
              <w:t>；</w:t>
            </w:r>
            <w:r>
              <w:rPr>
                <w:sz w:val="24"/>
              </w:rPr>
              <w:t>运输车辆引起的动力扬尘；堆场扬尘。</w:t>
            </w:r>
            <w:r>
              <w:rPr>
                <w:rFonts w:hint="eastAsia"/>
                <w:sz w:val="24"/>
              </w:rPr>
              <w:t>场区内采取降尘措施后，无组织排放粉尘量为5.342t/a，各个生产工序同时进行时（各个工序每天产尘时间为切割16h，水平钻穿孔2h，运输装卸8h，堆场24h），无组织排放粉尘速率为2.5366kg/h。</w:t>
            </w:r>
          </w:p>
          <w:p>
            <w:pPr>
              <w:spacing w:line="360" w:lineRule="auto"/>
              <w:ind w:firstLine="480" w:firstLineChars="200"/>
              <w:rPr>
                <w:rFonts w:hAnsi="宋体"/>
                <w:sz w:val="24"/>
              </w:rPr>
            </w:pPr>
            <w:r>
              <w:rPr>
                <w:rFonts w:hint="eastAsia" w:hAnsi="宋体"/>
                <w:sz w:val="24"/>
              </w:rPr>
              <w:t>（1）</w:t>
            </w:r>
            <w:r>
              <w:rPr>
                <w:sz w:val="24"/>
              </w:rPr>
              <w:t>环境空气影响</w:t>
            </w:r>
            <w:r>
              <w:rPr>
                <w:rFonts w:hint="eastAsia"/>
                <w:sz w:val="24"/>
              </w:rPr>
              <w:t>预测</w:t>
            </w:r>
          </w:p>
          <w:p>
            <w:pPr>
              <w:spacing w:line="360" w:lineRule="auto"/>
              <w:ind w:firstLine="480" w:firstLineChars="200"/>
              <w:rPr>
                <w:sz w:val="24"/>
              </w:rPr>
            </w:pPr>
            <w:r>
              <w:rPr>
                <w:rFonts w:hAnsi="宋体"/>
                <w:sz w:val="24"/>
              </w:rPr>
              <w:t>采用《环境影响评价技术导则大气环境》（</w:t>
            </w:r>
            <w:r>
              <w:rPr>
                <w:sz w:val="24"/>
              </w:rPr>
              <w:t>HJ2.2-2018</w:t>
            </w:r>
            <w:r>
              <w:rPr>
                <w:rFonts w:hAnsi="宋体"/>
                <w:sz w:val="24"/>
              </w:rPr>
              <w:t>）附录</w:t>
            </w:r>
            <w:r>
              <w:rPr>
                <w:sz w:val="24"/>
              </w:rPr>
              <w:t>A</w:t>
            </w:r>
            <w:r>
              <w:rPr>
                <w:rFonts w:hAnsi="宋体"/>
                <w:sz w:val="24"/>
              </w:rPr>
              <w:t>推荐模型中估算模型计算各无组织排放源的大气环境防护距离。</w:t>
            </w:r>
          </w:p>
          <w:p>
            <w:pPr>
              <w:spacing w:line="360" w:lineRule="auto"/>
              <w:ind w:firstLine="480" w:firstLineChars="200"/>
              <w:rPr>
                <w:sz w:val="24"/>
              </w:rPr>
            </w:pPr>
            <w:r>
              <w:rPr>
                <w:rFonts w:hint="eastAsia" w:hAnsi="宋体"/>
                <w:sz w:val="24"/>
                <w:shd w:val="clear" w:color="auto" w:fill="FFFFFF"/>
              </w:rPr>
              <w:t>①</w:t>
            </w:r>
            <w:r>
              <w:rPr>
                <w:rFonts w:hint="eastAsia"/>
                <w:sz w:val="24"/>
              </w:rPr>
              <w:t>评价因子和评价标准筛选</w:t>
            </w:r>
          </w:p>
          <w:p>
            <w:pPr>
              <w:spacing w:line="360" w:lineRule="auto"/>
              <w:ind w:firstLine="480" w:firstLineChars="200"/>
              <w:rPr>
                <w:sz w:val="24"/>
              </w:rPr>
            </w:pPr>
            <w:r>
              <w:rPr>
                <w:rFonts w:hint="eastAsia"/>
                <w:sz w:val="24"/>
              </w:rPr>
              <w:t>评价因子和评价标准见表7-1。</w:t>
            </w:r>
          </w:p>
          <w:p>
            <w:pPr>
              <w:spacing w:line="360" w:lineRule="auto"/>
              <w:jc w:val="center"/>
              <w:rPr>
                <w:rFonts w:ascii="宋体" w:cs="宋体"/>
                <w:sz w:val="24"/>
              </w:rPr>
            </w:pPr>
            <w:r>
              <w:rPr>
                <w:rFonts w:hint="eastAsia" w:ascii="宋体" w:hAnsi="宋体" w:cs="宋体"/>
                <w:b/>
                <w:sz w:val="24"/>
              </w:rPr>
              <w:t>表</w:t>
            </w:r>
            <w:r>
              <w:rPr>
                <w:rFonts w:hint="eastAsia"/>
                <w:b/>
                <w:bCs/>
                <w:sz w:val="24"/>
              </w:rPr>
              <w:t>7-1</w:t>
            </w:r>
            <w:r>
              <w:rPr>
                <w:b/>
                <w:bCs/>
                <w:sz w:val="24"/>
              </w:rPr>
              <w:tab/>
            </w:r>
            <w:r>
              <w:rPr>
                <w:rFonts w:hint="eastAsia" w:ascii="宋体" w:hAnsi="宋体" w:cs="宋体"/>
                <w:b/>
                <w:sz w:val="24"/>
              </w:rPr>
              <w:t>评价标准</w:t>
            </w:r>
          </w:p>
          <w:tbl>
            <w:tblPr>
              <w:tblStyle w:val="1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5"/>
              <w:gridCol w:w="2436"/>
              <w:gridCol w:w="4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15" w:type="dxa"/>
                  <w:tcBorders>
                    <w:top w:val="single" w:color="auto" w:sz="12" w:space="0"/>
                    <w:left w:val="single" w:color="auto" w:sz="12" w:space="0"/>
                  </w:tcBorders>
                  <w:shd w:val="clear" w:color="auto" w:fill="auto"/>
                  <w:vAlign w:val="center"/>
                </w:tcPr>
                <w:p>
                  <w:pPr>
                    <w:jc w:val="center"/>
                  </w:pPr>
                  <w:r>
                    <w:rPr>
                      <w:rFonts w:hint="eastAsia" w:ascii="宋体" w:hAnsi="宋体" w:cs="宋体"/>
                    </w:rPr>
                    <w:t>评价因子</w:t>
                  </w:r>
                </w:p>
              </w:tc>
              <w:tc>
                <w:tcPr>
                  <w:tcW w:w="2436" w:type="dxa"/>
                  <w:tcBorders>
                    <w:top w:val="single" w:color="auto" w:sz="12" w:space="0"/>
                    <w:right w:val="single" w:color="auto" w:sz="4" w:space="0"/>
                  </w:tcBorders>
                  <w:shd w:val="clear" w:color="auto" w:fill="auto"/>
                  <w:vAlign w:val="center"/>
                </w:tcPr>
                <w:p>
                  <w:pPr>
                    <w:jc w:val="center"/>
                  </w:pPr>
                  <w:r>
                    <w:rPr>
                      <w:rFonts w:hint="eastAsia"/>
                    </w:rPr>
                    <w:t>浓度标准值</w:t>
                  </w:r>
                </w:p>
              </w:tc>
              <w:tc>
                <w:tcPr>
                  <w:tcW w:w="4054" w:type="dxa"/>
                  <w:tcBorders>
                    <w:top w:val="single" w:color="auto" w:sz="12" w:space="0"/>
                    <w:left w:val="single" w:color="auto" w:sz="4" w:space="0"/>
                    <w:right w:val="single" w:color="auto" w:sz="12" w:space="0"/>
                  </w:tcBorders>
                  <w:shd w:val="clear" w:color="auto" w:fill="auto"/>
                  <w:vAlign w:val="center"/>
                </w:tcPr>
                <w:p>
                  <w:pPr>
                    <w:jc w:val="center"/>
                  </w:pPr>
                  <w:r>
                    <w:rPr>
                      <w:rFonts w:hint="eastAsia"/>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015" w:type="dxa"/>
                  <w:tcBorders>
                    <w:top w:val="single" w:color="auto" w:sz="4" w:space="0"/>
                    <w:left w:val="single" w:color="auto" w:sz="12" w:space="0"/>
                    <w:bottom w:val="single" w:color="auto" w:sz="4" w:space="0"/>
                  </w:tcBorders>
                  <w:shd w:val="clear" w:color="auto" w:fill="auto"/>
                  <w:vAlign w:val="center"/>
                </w:tcPr>
                <w:p>
                  <w:pPr>
                    <w:jc w:val="center"/>
                    <w:rPr>
                      <w:bCs/>
                      <w:szCs w:val="21"/>
                    </w:rPr>
                  </w:pPr>
                  <w:r>
                    <w:rPr>
                      <w:bCs/>
                      <w:szCs w:val="21"/>
                    </w:rPr>
                    <w:t>TSP</w:t>
                  </w:r>
                </w:p>
              </w:tc>
              <w:tc>
                <w:tcPr>
                  <w:tcW w:w="2436" w:type="dxa"/>
                  <w:tcBorders>
                    <w:top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0.3mg/m</w:t>
                  </w:r>
                  <w:r>
                    <w:rPr>
                      <w:rFonts w:hint="eastAsia"/>
                      <w:szCs w:val="21"/>
                      <w:vertAlign w:val="superscript"/>
                    </w:rPr>
                    <w:t>3</w:t>
                  </w:r>
                  <w:r>
                    <w:rPr>
                      <w:rFonts w:hint="eastAsia"/>
                      <w:szCs w:val="21"/>
                    </w:rPr>
                    <w:t>（日均值）</w:t>
                  </w:r>
                </w:p>
              </w:tc>
              <w:tc>
                <w:tcPr>
                  <w:tcW w:w="4054" w:type="dxa"/>
                  <w:tcBorders>
                    <w:top w:val="single" w:color="auto" w:sz="4" w:space="0"/>
                    <w:left w:val="single" w:color="auto" w:sz="4" w:space="0"/>
                    <w:right w:val="single" w:color="auto" w:sz="12" w:space="0"/>
                  </w:tcBorders>
                  <w:shd w:val="clear" w:color="auto" w:fill="auto"/>
                  <w:vAlign w:val="center"/>
                </w:tcPr>
                <w:p>
                  <w:pPr>
                    <w:jc w:val="center"/>
                    <w:rPr>
                      <w:szCs w:val="21"/>
                    </w:rPr>
                  </w:pPr>
                  <w:r>
                    <w:rPr>
                      <w:szCs w:val="21"/>
                    </w:rPr>
                    <w:t>《环境空气质量标准》（GB3095-2012）</w:t>
                  </w:r>
                </w:p>
                <w:p>
                  <w:pPr>
                    <w:jc w:val="center"/>
                    <w:rPr>
                      <w:szCs w:val="21"/>
                    </w:rPr>
                  </w:pPr>
                  <w:r>
                    <w:rPr>
                      <w:szCs w:val="21"/>
                    </w:rPr>
                    <w:t>二级标准</w:t>
                  </w:r>
                </w:p>
              </w:tc>
            </w:tr>
          </w:tbl>
          <w:p>
            <w:pPr>
              <w:spacing w:line="360" w:lineRule="auto"/>
              <w:ind w:firstLine="480" w:firstLineChars="200"/>
              <w:rPr>
                <w:iCs/>
                <w:sz w:val="24"/>
              </w:rPr>
            </w:pPr>
            <w:r>
              <w:rPr>
                <w:rFonts w:hint="eastAsia" w:hAnsi="宋体"/>
                <w:sz w:val="24"/>
                <w:shd w:val="clear" w:color="auto" w:fill="FFFFFF"/>
              </w:rPr>
              <w:t>②</w:t>
            </w:r>
            <w:r>
              <w:rPr>
                <w:rFonts w:hint="eastAsia"/>
                <w:iCs/>
                <w:sz w:val="24"/>
              </w:rPr>
              <w:t>估算模型参数</w:t>
            </w:r>
          </w:p>
          <w:p>
            <w:pPr>
              <w:spacing w:line="360" w:lineRule="auto"/>
              <w:ind w:firstLine="480" w:firstLineChars="200"/>
              <w:rPr>
                <w:iCs/>
                <w:sz w:val="24"/>
              </w:rPr>
            </w:pPr>
            <w:r>
              <w:rPr>
                <w:rFonts w:hint="eastAsia"/>
                <w:iCs/>
                <w:sz w:val="24"/>
              </w:rPr>
              <w:t>估算模型参数见下表7-2。</w:t>
            </w:r>
          </w:p>
          <w:p>
            <w:pPr>
              <w:spacing w:line="360" w:lineRule="auto"/>
              <w:jc w:val="center"/>
              <w:rPr>
                <w:rFonts w:ascii="宋体" w:cs="宋体"/>
                <w:sz w:val="24"/>
              </w:rPr>
            </w:pPr>
            <w:r>
              <w:rPr>
                <w:rFonts w:hint="eastAsia" w:ascii="宋体" w:hAnsi="宋体" w:cs="宋体"/>
                <w:b/>
                <w:sz w:val="24"/>
              </w:rPr>
              <w:t>表</w:t>
            </w:r>
            <w:r>
              <w:rPr>
                <w:rFonts w:hint="eastAsia"/>
                <w:b/>
                <w:bCs/>
                <w:sz w:val="24"/>
              </w:rPr>
              <w:t>7-2</w:t>
            </w:r>
            <w:r>
              <w:rPr>
                <w:b/>
                <w:bCs/>
                <w:sz w:val="24"/>
              </w:rPr>
              <w:tab/>
            </w:r>
            <w:r>
              <w:rPr>
                <w:rFonts w:hint="eastAsia" w:ascii="宋体" w:hAnsi="宋体" w:cs="宋体"/>
                <w:b/>
                <w:sz w:val="24"/>
              </w:rPr>
              <w:t>估算模型参数</w:t>
            </w:r>
          </w:p>
          <w:tbl>
            <w:tblPr>
              <w:tblStyle w:val="1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2591"/>
              <w:gridCol w:w="4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58" w:type="dxa"/>
                  <w:gridSpan w:val="2"/>
                  <w:tcBorders>
                    <w:top w:val="single" w:color="auto" w:sz="12" w:space="0"/>
                    <w:left w:val="single" w:color="auto" w:sz="12" w:space="0"/>
                    <w:right w:val="single" w:color="auto" w:sz="4" w:space="0"/>
                  </w:tcBorders>
                  <w:shd w:val="clear" w:color="auto" w:fill="auto"/>
                  <w:vAlign w:val="center"/>
                </w:tcPr>
                <w:p>
                  <w:pPr>
                    <w:jc w:val="center"/>
                    <w:rPr>
                      <w:szCs w:val="21"/>
                    </w:rPr>
                  </w:pPr>
                  <w:r>
                    <w:rPr>
                      <w:rFonts w:hint="eastAsia" w:ascii="宋体" w:hAnsi="宋体" w:cs="宋体"/>
                      <w:szCs w:val="21"/>
                    </w:rPr>
                    <w:t>参数</w:t>
                  </w:r>
                </w:p>
              </w:tc>
              <w:tc>
                <w:tcPr>
                  <w:tcW w:w="4047" w:type="dxa"/>
                  <w:tcBorders>
                    <w:top w:val="single" w:color="auto" w:sz="12" w:space="0"/>
                    <w:left w:val="single" w:color="auto" w:sz="4" w:space="0"/>
                    <w:right w:val="single" w:color="auto" w:sz="12" w:space="0"/>
                  </w:tcBorders>
                  <w:shd w:val="clear" w:color="auto" w:fill="auto"/>
                  <w:vAlign w:val="center"/>
                </w:tcPr>
                <w:p>
                  <w:pPr>
                    <w:jc w:val="center"/>
                    <w:rPr>
                      <w:szCs w:val="21"/>
                    </w:rPr>
                  </w:pPr>
                  <w:r>
                    <w:rPr>
                      <w:rFonts w:hint="eastAsia"/>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7" w:type="dxa"/>
                  <w:vMerge w:val="restart"/>
                  <w:tcBorders>
                    <w:top w:val="single" w:color="auto" w:sz="4" w:space="0"/>
                    <w:left w:val="single" w:color="auto" w:sz="12" w:space="0"/>
                  </w:tcBorders>
                  <w:shd w:val="clear" w:color="auto" w:fill="auto"/>
                  <w:vAlign w:val="center"/>
                </w:tcPr>
                <w:p>
                  <w:pPr>
                    <w:jc w:val="center"/>
                    <w:rPr>
                      <w:szCs w:val="21"/>
                    </w:rPr>
                  </w:pPr>
                  <w:r>
                    <w:rPr>
                      <w:rFonts w:hint="eastAsia" w:ascii="宋体" w:hAnsi="宋体" w:cs="宋体"/>
                      <w:szCs w:val="21"/>
                    </w:rPr>
                    <w:t>城市/农村</w:t>
                  </w:r>
                </w:p>
              </w:tc>
              <w:tc>
                <w:tcPr>
                  <w:tcW w:w="2591" w:type="dxa"/>
                  <w:tcBorders>
                    <w:top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城市/农村</w:t>
                  </w:r>
                </w:p>
              </w:tc>
              <w:tc>
                <w:tcPr>
                  <w:tcW w:w="4047" w:type="dxa"/>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szCs w:val="21"/>
                    </w:rPr>
                  </w:pPr>
                  <w:r>
                    <w:rPr>
                      <w:rFonts w:hint="eastAsia"/>
                      <w:szCs w:val="21"/>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7" w:type="dxa"/>
                  <w:vMerge w:val="continue"/>
                  <w:tcBorders>
                    <w:left w:val="single" w:color="auto" w:sz="12" w:space="0"/>
                    <w:bottom w:val="single" w:color="auto" w:sz="4" w:space="0"/>
                  </w:tcBorders>
                  <w:shd w:val="clear" w:color="auto" w:fill="auto"/>
                  <w:vAlign w:val="center"/>
                </w:tcPr>
                <w:p>
                  <w:pPr>
                    <w:jc w:val="center"/>
                    <w:rPr>
                      <w:rFonts w:ascii="宋体" w:hAnsi="宋体" w:cs="宋体"/>
                      <w:szCs w:val="21"/>
                    </w:rPr>
                  </w:pPr>
                </w:p>
              </w:tc>
              <w:tc>
                <w:tcPr>
                  <w:tcW w:w="2591" w:type="dxa"/>
                  <w:tcBorders>
                    <w:top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人口数（城市选项时）</w:t>
                  </w:r>
                </w:p>
              </w:tc>
              <w:tc>
                <w:tcPr>
                  <w:tcW w:w="4047" w:type="dxa"/>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58"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szCs w:val="21"/>
                    </w:rPr>
                  </w:pPr>
                  <w:r>
                    <w:rPr>
                      <w:rFonts w:hint="eastAsia"/>
                      <w:szCs w:val="21"/>
                    </w:rPr>
                    <w:t>最高环境温度/℃</w:t>
                  </w:r>
                </w:p>
              </w:tc>
              <w:tc>
                <w:tcPr>
                  <w:tcW w:w="4047" w:type="dxa"/>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bCs/>
                      <w:szCs w:val="21"/>
                    </w:rPr>
                  </w:pPr>
                  <w:r>
                    <w:rPr>
                      <w:rFonts w:hint="eastAsia"/>
                      <w:sz w:val="24"/>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58"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szCs w:val="21"/>
                    </w:rPr>
                  </w:pPr>
                  <w:r>
                    <w:rPr>
                      <w:rFonts w:hint="eastAsia"/>
                      <w:szCs w:val="21"/>
                    </w:rPr>
                    <w:t>最低环境温度/℃</w:t>
                  </w:r>
                </w:p>
              </w:tc>
              <w:tc>
                <w:tcPr>
                  <w:tcW w:w="4047" w:type="dxa"/>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bCs/>
                      <w:szCs w:val="21"/>
                    </w:rPr>
                  </w:pPr>
                  <w:r>
                    <w:rPr>
                      <w:rFonts w:hint="eastAsia"/>
                      <w:sz w:val="24"/>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58"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szCs w:val="21"/>
                    </w:rPr>
                  </w:pPr>
                  <w:r>
                    <w:rPr>
                      <w:rFonts w:hint="eastAsia"/>
                      <w:szCs w:val="21"/>
                    </w:rPr>
                    <w:t>土地利用类型</w:t>
                  </w:r>
                </w:p>
              </w:tc>
              <w:tc>
                <w:tcPr>
                  <w:tcW w:w="4047" w:type="dxa"/>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bCs/>
                      <w:szCs w:val="21"/>
                    </w:rPr>
                  </w:pPr>
                  <w:r>
                    <w:rPr>
                      <w:rFonts w:hint="eastAsia"/>
                      <w:bCs/>
                      <w:szCs w:val="21"/>
                    </w:rPr>
                    <w:t>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58" w:type="dxa"/>
                  <w:gridSpan w:val="2"/>
                  <w:tcBorders>
                    <w:top w:val="single" w:color="auto" w:sz="4" w:space="0"/>
                    <w:left w:val="single" w:color="auto" w:sz="12" w:space="0"/>
                    <w:bottom w:val="single" w:color="auto" w:sz="4" w:space="0"/>
                    <w:right w:val="single" w:color="auto" w:sz="4" w:space="0"/>
                  </w:tcBorders>
                  <w:shd w:val="clear" w:color="auto" w:fill="auto"/>
                  <w:vAlign w:val="center"/>
                </w:tcPr>
                <w:p>
                  <w:pPr>
                    <w:jc w:val="center"/>
                    <w:rPr>
                      <w:szCs w:val="21"/>
                    </w:rPr>
                  </w:pPr>
                  <w:r>
                    <w:rPr>
                      <w:rFonts w:hint="eastAsia"/>
                      <w:szCs w:val="21"/>
                    </w:rPr>
                    <w:t>区域湿度条件</w:t>
                  </w:r>
                </w:p>
              </w:tc>
              <w:tc>
                <w:tcPr>
                  <w:tcW w:w="4047" w:type="dxa"/>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bCs/>
                      <w:szCs w:val="21"/>
                    </w:rPr>
                  </w:pPr>
                  <w:r>
                    <w:rPr>
                      <w:rFonts w:hint="eastAsia"/>
                      <w:bCs/>
                      <w:szCs w:val="21"/>
                    </w:rPr>
                    <w:t>中等湿度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7" w:type="dxa"/>
                  <w:vMerge w:val="restart"/>
                  <w:tcBorders>
                    <w:top w:val="single" w:color="auto" w:sz="4" w:space="0"/>
                    <w:left w:val="single" w:color="auto" w:sz="12" w:space="0"/>
                  </w:tcBorders>
                  <w:shd w:val="clear" w:color="auto" w:fill="auto"/>
                  <w:vAlign w:val="center"/>
                </w:tcPr>
                <w:p>
                  <w:pPr>
                    <w:jc w:val="center"/>
                    <w:rPr>
                      <w:rFonts w:ascii="宋体" w:hAnsi="宋体" w:cs="宋体"/>
                      <w:szCs w:val="21"/>
                    </w:rPr>
                  </w:pPr>
                  <w:r>
                    <w:rPr>
                      <w:rFonts w:hint="eastAsia" w:ascii="宋体" w:hAnsi="宋体" w:cs="宋体"/>
                      <w:szCs w:val="21"/>
                    </w:rPr>
                    <w:t>是否考虑地形</w:t>
                  </w:r>
                </w:p>
              </w:tc>
              <w:tc>
                <w:tcPr>
                  <w:tcW w:w="2591" w:type="dxa"/>
                  <w:tcBorders>
                    <w:top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考虑地形</w:t>
                  </w:r>
                </w:p>
              </w:tc>
              <w:tc>
                <w:tcPr>
                  <w:tcW w:w="4047" w:type="dxa"/>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bCs/>
                      <w:szCs w:val="21"/>
                    </w:rPr>
                  </w:pPr>
                  <w:r>
                    <w:rPr>
                      <w:rFonts w:hint="eastAsia"/>
                      <w:bCs/>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7" w:type="dxa"/>
                  <w:vMerge w:val="continue"/>
                  <w:tcBorders>
                    <w:left w:val="single" w:color="auto" w:sz="12" w:space="0"/>
                    <w:bottom w:val="single" w:color="auto" w:sz="4" w:space="0"/>
                  </w:tcBorders>
                  <w:shd w:val="clear" w:color="auto" w:fill="auto"/>
                  <w:vAlign w:val="center"/>
                </w:tcPr>
                <w:p>
                  <w:pPr>
                    <w:jc w:val="center"/>
                    <w:rPr>
                      <w:rFonts w:ascii="宋体" w:hAnsi="宋体" w:cs="宋体"/>
                      <w:szCs w:val="21"/>
                    </w:rPr>
                  </w:pPr>
                </w:p>
              </w:tc>
              <w:tc>
                <w:tcPr>
                  <w:tcW w:w="2591" w:type="dxa"/>
                  <w:tcBorders>
                    <w:top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地形数据分辨率/m</w:t>
                  </w:r>
                </w:p>
              </w:tc>
              <w:tc>
                <w:tcPr>
                  <w:tcW w:w="4047" w:type="dxa"/>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7" w:type="dxa"/>
                  <w:vMerge w:val="restart"/>
                  <w:tcBorders>
                    <w:top w:val="single" w:color="auto" w:sz="4" w:space="0"/>
                    <w:left w:val="single" w:color="auto" w:sz="12" w:space="0"/>
                  </w:tcBorders>
                  <w:shd w:val="clear" w:color="auto" w:fill="auto"/>
                  <w:vAlign w:val="center"/>
                </w:tcPr>
                <w:p>
                  <w:pPr>
                    <w:jc w:val="center"/>
                    <w:rPr>
                      <w:rFonts w:ascii="宋体" w:hAnsi="宋体" w:cs="宋体"/>
                      <w:szCs w:val="21"/>
                    </w:rPr>
                  </w:pPr>
                  <w:r>
                    <w:rPr>
                      <w:rFonts w:hint="eastAsia" w:ascii="宋体" w:hAnsi="宋体" w:cs="宋体"/>
                      <w:szCs w:val="21"/>
                    </w:rPr>
                    <w:t>是否考虑岸线熏烟</w:t>
                  </w:r>
                </w:p>
              </w:tc>
              <w:tc>
                <w:tcPr>
                  <w:tcW w:w="2591" w:type="dxa"/>
                  <w:tcBorders>
                    <w:top w:val="single" w:color="auto" w:sz="4" w:space="0"/>
                    <w:bottom w:val="single" w:color="auto" w:sz="4" w:space="0"/>
                    <w:right w:val="single" w:color="auto" w:sz="4" w:space="0"/>
                  </w:tcBorders>
                  <w:shd w:val="clear" w:color="auto" w:fill="auto"/>
                  <w:vAlign w:val="center"/>
                </w:tcPr>
                <w:p>
                  <w:pPr>
                    <w:jc w:val="center"/>
                    <w:rPr>
                      <w:szCs w:val="21"/>
                    </w:rPr>
                  </w:pPr>
                  <w:r>
                    <w:rPr>
                      <w:rFonts w:hint="eastAsia" w:ascii="宋体" w:hAnsi="宋体" w:cs="宋体"/>
                      <w:szCs w:val="21"/>
                    </w:rPr>
                    <w:t>考虑岸线熏烟</w:t>
                  </w:r>
                </w:p>
              </w:tc>
              <w:tc>
                <w:tcPr>
                  <w:tcW w:w="4047" w:type="dxa"/>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bCs/>
                      <w:szCs w:val="21"/>
                    </w:rPr>
                  </w:pPr>
                  <w:r>
                    <w:rPr>
                      <w:rFonts w:hint="eastAsia"/>
                      <w:bCs/>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7" w:type="dxa"/>
                  <w:vMerge w:val="continue"/>
                  <w:tcBorders>
                    <w:left w:val="single" w:color="auto" w:sz="12" w:space="0"/>
                  </w:tcBorders>
                  <w:shd w:val="clear" w:color="auto" w:fill="auto"/>
                  <w:vAlign w:val="center"/>
                </w:tcPr>
                <w:p>
                  <w:pPr>
                    <w:jc w:val="center"/>
                    <w:rPr>
                      <w:rFonts w:ascii="宋体" w:hAnsi="宋体" w:cs="宋体"/>
                      <w:szCs w:val="21"/>
                    </w:rPr>
                  </w:pPr>
                </w:p>
              </w:tc>
              <w:tc>
                <w:tcPr>
                  <w:tcW w:w="2591" w:type="dxa"/>
                  <w:tcBorders>
                    <w:top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岸线距离/km</w:t>
                  </w:r>
                </w:p>
              </w:tc>
              <w:tc>
                <w:tcPr>
                  <w:tcW w:w="4047" w:type="dxa"/>
                  <w:tcBorders>
                    <w:top w:val="single" w:color="auto" w:sz="4" w:space="0"/>
                    <w:left w:val="single" w:color="auto" w:sz="4" w:space="0"/>
                    <w:bottom w:val="single" w:color="auto" w:sz="4" w:space="0"/>
                    <w:right w:val="single" w:color="auto" w:sz="12" w:space="0"/>
                  </w:tcBorders>
                  <w:shd w:val="clear" w:color="auto" w:fill="auto"/>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7" w:type="dxa"/>
                  <w:vMerge w:val="continue"/>
                  <w:tcBorders>
                    <w:left w:val="single" w:color="auto" w:sz="12" w:space="0"/>
                    <w:bottom w:val="single" w:color="auto" w:sz="12" w:space="0"/>
                  </w:tcBorders>
                  <w:shd w:val="clear" w:color="auto" w:fill="auto"/>
                  <w:vAlign w:val="center"/>
                </w:tcPr>
                <w:p>
                  <w:pPr>
                    <w:jc w:val="center"/>
                    <w:rPr>
                      <w:rFonts w:ascii="宋体" w:hAnsi="宋体" w:cs="宋体"/>
                      <w:szCs w:val="21"/>
                    </w:rPr>
                  </w:pPr>
                </w:p>
              </w:tc>
              <w:tc>
                <w:tcPr>
                  <w:tcW w:w="2591" w:type="dxa"/>
                  <w:tcBorders>
                    <w:top w:val="single" w:color="auto" w:sz="4" w:space="0"/>
                    <w:bottom w:val="single" w:color="auto" w:sz="12" w:space="0"/>
                    <w:right w:val="single" w:color="auto" w:sz="4" w:space="0"/>
                  </w:tcBorders>
                  <w:shd w:val="clear" w:color="auto" w:fill="auto"/>
                  <w:vAlign w:val="center"/>
                </w:tcPr>
                <w:p>
                  <w:pPr>
                    <w:jc w:val="center"/>
                    <w:rPr>
                      <w:szCs w:val="21"/>
                    </w:rPr>
                  </w:pPr>
                  <w:r>
                    <w:rPr>
                      <w:rFonts w:hint="eastAsia"/>
                      <w:szCs w:val="21"/>
                    </w:rPr>
                    <w:t>岸线方向/°</w:t>
                  </w:r>
                </w:p>
              </w:tc>
              <w:tc>
                <w:tcPr>
                  <w:tcW w:w="4047" w:type="dxa"/>
                  <w:tcBorders>
                    <w:top w:val="single" w:color="auto" w:sz="4" w:space="0"/>
                    <w:left w:val="single" w:color="auto" w:sz="4" w:space="0"/>
                    <w:bottom w:val="single" w:color="auto" w:sz="12" w:space="0"/>
                    <w:right w:val="single" w:color="auto" w:sz="12" w:space="0"/>
                  </w:tcBorders>
                  <w:shd w:val="clear" w:color="auto" w:fill="auto"/>
                  <w:vAlign w:val="center"/>
                </w:tcPr>
                <w:p>
                  <w:pPr>
                    <w:jc w:val="center"/>
                    <w:rPr>
                      <w:bCs/>
                      <w:szCs w:val="21"/>
                    </w:rPr>
                  </w:pPr>
                </w:p>
              </w:tc>
            </w:tr>
          </w:tbl>
          <w:p>
            <w:pPr>
              <w:spacing w:line="360" w:lineRule="auto"/>
              <w:ind w:firstLine="480" w:firstLineChars="200"/>
              <w:rPr>
                <w:sz w:val="24"/>
              </w:rPr>
            </w:pPr>
            <w:r>
              <w:rPr>
                <w:rFonts w:hint="eastAsia"/>
                <w:sz w:val="24"/>
              </w:rPr>
              <w:t>经估算模式计算，各个污染源影响分析如下：</w:t>
            </w:r>
          </w:p>
          <w:p>
            <w:pPr>
              <w:tabs>
                <w:tab w:val="left" w:pos="840"/>
              </w:tabs>
              <w:spacing w:line="360" w:lineRule="auto"/>
              <w:ind w:firstLine="480" w:firstLineChars="200"/>
              <w:rPr>
                <w:sz w:val="24"/>
              </w:rPr>
            </w:pPr>
            <w:r>
              <w:rPr>
                <w:rFonts w:hint="eastAsia"/>
                <w:sz w:val="24"/>
              </w:rPr>
              <w:t>无组织组织排放粉尘</w:t>
            </w:r>
            <w:r>
              <w:rPr>
                <w:rFonts w:hAnsi="宋体"/>
                <w:sz w:val="24"/>
              </w:rPr>
              <w:t>最大落地浓度为</w:t>
            </w:r>
            <w:r>
              <w:rPr>
                <w:rFonts w:hint="eastAsia"/>
                <w:sz w:val="24"/>
              </w:rPr>
              <w:t>0.079</w:t>
            </w:r>
            <w:r>
              <w:rPr>
                <w:sz w:val="24"/>
              </w:rPr>
              <w:t>mg/m</w:t>
            </w:r>
            <w:r>
              <w:rPr>
                <w:sz w:val="24"/>
                <w:vertAlign w:val="superscript"/>
              </w:rPr>
              <w:t>3</w:t>
            </w:r>
            <w:r>
              <w:rPr>
                <w:rFonts w:hint="eastAsia"/>
                <w:sz w:val="24"/>
              </w:rPr>
              <w:t>，占标率8.83%</w:t>
            </w:r>
            <w:r>
              <w:rPr>
                <w:rFonts w:hint="eastAsia"/>
                <w:bCs/>
                <w:sz w:val="24"/>
              </w:rPr>
              <w:t>，满足</w:t>
            </w:r>
            <w:r>
              <w:rPr>
                <w:rFonts w:hint="eastAsia"/>
                <w:sz w:val="24"/>
              </w:rPr>
              <w:t>《山东省建材工业大气污染物排放标准》（DB 37 2373—2018）表3无组织排放限值</w:t>
            </w:r>
            <w:r>
              <w:rPr>
                <w:sz w:val="24"/>
              </w:rPr>
              <w:t>（1.0mg/m</w:t>
            </w:r>
            <w:r>
              <w:rPr>
                <w:sz w:val="24"/>
                <w:vertAlign w:val="superscript"/>
              </w:rPr>
              <w:t>3</w:t>
            </w:r>
            <w:r>
              <w:rPr>
                <w:sz w:val="24"/>
              </w:rPr>
              <w:t>）</w:t>
            </w:r>
            <w:r>
              <w:rPr>
                <w:rFonts w:hint="eastAsia"/>
                <w:sz w:val="24"/>
              </w:rPr>
              <w:t>要求，</w:t>
            </w:r>
            <w:r>
              <w:rPr>
                <w:rFonts w:hint="eastAsia" w:hAnsi="宋体"/>
                <w:sz w:val="24"/>
              </w:rPr>
              <w:t>对周边环境影</w:t>
            </w:r>
            <w:r>
              <w:rPr>
                <w:rFonts w:hint="eastAsia"/>
                <w:sz w:val="24"/>
              </w:rPr>
              <w:t>响较小。</w:t>
            </w:r>
          </w:p>
          <w:p>
            <w:pPr>
              <w:spacing w:line="360" w:lineRule="auto"/>
              <w:ind w:firstLine="480" w:firstLineChars="200"/>
              <w:jc w:val="left"/>
              <w:rPr>
                <w:sz w:val="24"/>
              </w:rPr>
            </w:pPr>
            <w:r>
              <w:rPr>
                <w:rFonts w:hint="eastAsia"/>
                <w:sz w:val="24"/>
              </w:rPr>
              <w:t>生产过程中，各种燃油机械，例如铲车、挖掘机、运输车辆等动力设备运转时，产生柴油尾气。由于场界开阔，排放面大且为流动性，因此不会对环境产生过多不良影响</w:t>
            </w:r>
          </w:p>
          <w:p>
            <w:pPr>
              <w:spacing w:line="360" w:lineRule="auto"/>
              <w:ind w:firstLine="480" w:firstLineChars="200"/>
              <w:rPr>
                <w:sz w:val="24"/>
              </w:rPr>
            </w:pPr>
            <w:r>
              <w:rPr>
                <w:rFonts w:hint="eastAsia" w:hAnsi="宋体"/>
                <w:sz w:val="24"/>
                <w:shd w:val="clear" w:color="auto" w:fill="FFFFFF"/>
              </w:rPr>
              <w:t>③</w:t>
            </w:r>
            <w:r>
              <w:rPr>
                <w:sz w:val="24"/>
              </w:rPr>
              <w:t>评价等级判别</w:t>
            </w:r>
          </w:p>
          <w:p>
            <w:pPr>
              <w:jc w:val="center"/>
              <w:rPr>
                <w:kern w:val="0"/>
                <w:sz w:val="24"/>
              </w:rPr>
            </w:pPr>
            <w:r>
              <w:rPr>
                <w:rFonts w:hAnsi="宋体"/>
                <w:b/>
                <w:sz w:val="24"/>
              </w:rPr>
              <w:t>表</w:t>
            </w:r>
            <w:r>
              <w:rPr>
                <w:b/>
                <w:sz w:val="24"/>
              </w:rPr>
              <w:t xml:space="preserve"> 7-3 </w:t>
            </w:r>
            <w:r>
              <w:rPr>
                <w:rFonts w:hAnsi="宋体"/>
                <w:b/>
                <w:sz w:val="24"/>
              </w:rPr>
              <w:t>评价等级判别表</w:t>
            </w:r>
          </w:p>
          <w:tbl>
            <w:tblPr>
              <w:tblStyle w:val="15"/>
              <w:tblW w:w="85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20"/>
              <w:gridCol w:w="42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0" w:type="dxa"/>
                  <w:vAlign w:val="center"/>
                </w:tcPr>
                <w:p>
                  <w:pPr>
                    <w:jc w:val="center"/>
                    <w:rPr>
                      <w:rFonts w:ascii="宋体" w:hAnsi="宋体" w:cs="宋体"/>
                      <w:kern w:val="0"/>
                      <w:szCs w:val="21"/>
                    </w:rPr>
                  </w:pPr>
                  <w:r>
                    <w:rPr>
                      <w:rFonts w:ascii="宋体" w:hAnsi="宋体" w:cs="宋体"/>
                      <w:kern w:val="0"/>
                      <w:szCs w:val="21"/>
                    </w:rPr>
                    <w:t>评价工作等级</w:t>
                  </w:r>
                </w:p>
              </w:tc>
              <w:tc>
                <w:tcPr>
                  <w:tcW w:w="4285" w:type="dxa"/>
                  <w:vAlign w:val="center"/>
                </w:tcPr>
                <w:p>
                  <w:pPr>
                    <w:jc w:val="center"/>
                    <w:rPr>
                      <w:rFonts w:ascii="宋体" w:hAnsi="宋体" w:cs="宋体"/>
                      <w:kern w:val="0"/>
                      <w:szCs w:val="21"/>
                    </w:rPr>
                  </w:pPr>
                  <w:r>
                    <w:rPr>
                      <w:rFonts w:ascii="宋体" w:hAnsi="宋体" w:cs="宋体"/>
                      <w:kern w:val="0"/>
                      <w:szCs w:val="21"/>
                    </w:rPr>
                    <w:t>评价工作分级判据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0" w:type="dxa"/>
                  <w:vAlign w:val="center"/>
                </w:tcPr>
                <w:p>
                  <w:pPr>
                    <w:jc w:val="center"/>
                    <w:rPr>
                      <w:rFonts w:ascii="宋体" w:hAnsi="宋体" w:cs="宋体"/>
                      <w:kern w:val="0"/>
                      <w:szCs w:val="21"/>
                    </w:rPr>
                  </w:pPr>
                  <w:r>
                    <w:rPr>
                      <w:rFonts w:ascii="宋体" w:hAnsi="宋体" w:cs="宋体"/>
                      <w:kern w:val="0"/>
                      <w:szCs w:val="21"/>
                    </w:rPr>
                    <w:t>一级评价</w:t>
                  </w:r>
                </w:p>
              </w:tc>
              <w:tc>
                <w:tcPr>
                  <w:tcW w:w="4285" w:type="dxa"/>
                  <w:vAlign w:val="center"/>
                </w:tcPr>
                <w:p>
                  <w:pPr>
                    <w:jc w:val="center"/>
                    <w:rPr>
                      <w:rFonts w:ascii="宋体" w:hAnsi="宋体" w:cs="宋体"/>
                      <w:kern w:val="0"/>
                      <w:szCs w:val="21"/>
                    </w:rPr>
                  </w:pPr>
                  <w:r>
                    <w:rPr>
                      <w:rFonts w:ascii="TimesNewRomanPSMT" w:hAnsi="TimesNewRomanPSMT" w:cs="宋体"/>
                      <w:kern w:val="0"/>
                      <w:szCs w:val="21"/>
                    </w:rPr>
                    <w:t>Pmax</w:t>
                  </w:r>
                  <w:r>
                    <w:rPr>
                      <w:rFonts w:ascii="宋体" w:hAnsi="宋体" w:cs="宋体"/>
                      <w:kern w:val="0"/>
                      <w:szCs w:val="21"/>
                    </w:rPr>
                    <w:t>≥</w:t>
                  </w:r>
                  <w:r>
                    <w:rPr>
                      <w:rFonts w:ascii="TimesNewRomanPSMT" w:hAnsi="TimesNewRomanPSMT" w:cs="宋体"/>
                      <w:kern w:val="0"/>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0" w:type="dxa"/>
                  <w:vAlign w:val="center"/>
                </w:tcPr>
                <w:p>
                  <w:pPr>
                    <w:jc w:val="center"/>
                    <w:rPr>
                      <w:rFonts w:ascii="宋体" w:hAnsi="宋体" w:cs="宋体"/>
                      <w:kern w:val="0"/>
                      <w:szCs w:val="21"/>
                    </w:rPr>
                  </w:pPr>
                  <w:r>
                    <w:rPr>
                      <w:rFonts w:ascii="宋体" w:hAnsi="宋体" w:cs="宋体"/>
                      <w:kern w:val="0"/>
                      <w:szCs w:val="21"/>
                    </w:rPr>
                    <w:t>二级评价</w:t>
                  </w:r>
                </w:p>
              </w:tc>
              <w:tc>
                <w:tcPr>
                  <w:tcW w:w="4285" w:type="dxa"/>
                  <w:vAlign w:val="center"/>
                </w:tcPr>
                <w:p>
                  <w:pPr>
                    <w:jc w:val="center"/>
                    <w:rPr>
                      <w:rFonts w:ascii="宋体" w:hAnsi="宋体" w:cs="宋体"/>
                      <w:kern w:val="0"/>
                      <w:szCs w:val="21"/>
                    </w:rPr>
                  </w:pPr>
                  <w:r>
                    <w:rPr>
                      <w:rFonts w:ascii="TimesNewRomanPSMT" w:hAnsi="TimesNewRomanPSMT" w:cs="宋体"/>
                      <w:kern w:val="0"/>
                      <w:szCs w:val="21"/>
                    </w:rPr>
                    <w:t>1%</w:t>
                  </w:r>
                  <w:r>
                    <w:rPr>
                      <w:rFonts w:ascii="宋体" w:hAnsi="宋体" w:cs="宋体"/>
                      <w:kern w:val="0"/>
                      <w:szCs w:val="21"/>
                    </w:rPr>
                    <w:t>≤</w:t>
                  </w:r>
                  <w:r>
                    <w:rPr>
                      <w:rFonts w:ascii="TimesNewRomanPSMT" w:hAnsi="TimesNewRomanPSMT" w:cs="宋体"/>
                      <w:kern w:val="0"/>
                      <w:szCs w:val="21"/>
                    </w:rPr>
                    <w:t>Pmax</w:t>
                  </w:r>
                  <w:r>
                    <w:rPr>
                      <w:rFonts w:ascii="宋体" w:hAnsi="宋体" w:cs="宋体"/>
                      <w:kern w:val="0"/>
                      <w:szCs w:val="21"/>
                    </w:rPr>
                    <w:t>＜</w:t>
                  </w:r>
                  <w:r>
                    <w:rPr>
                      <w:rFonts w:ascii="TimesNewRomanPSMT" w:hAnsi="TimesNewRomanPSMT" w:cs="宋体"/>
                      <w:kern w:val="0"/>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0" w:type="dxa"/>
                  <w:vAlign w:val="center"/>
                </w:tcPr>
                <w:p>
                  <w:pPr>
                    <w:jc w:val="center"/>
                    <w:rPr>
                      <w:rFonts w:ascii="宋体" w:hAnsi="宋体" w:cs="宋体"/>
                      <w:kern w:val="0"/>
                      <w:szCs w:val="21"/>
                    </w:rPr>
                  </w:pPr>
                  <w:r>
                    <w:rPr>
                      <w:rFonts w:ascii="宋体" w:hAnsi="宋体" w:cs="宋体"/>
                      <w:kern w:val="0"/>
                      <w:szCs w:val="21"/>
                    </w:rPr>
                    <w:t>三级评价</w:t>
                  </w:r>
                </w:p>
              </w:tc>
              <w:tc>
                <w:tcPr>
                  <w:tcW w:w="4285" w:type="dxa"/>
                  <w:vAlign w:val="center"/>
                </w:tcPr>
                <w:p>
                  <w:pPr>
                    <w:jc w:val="center"/>
                    <w:rPr>
                      <w:rFonts w:ascii="宋体" w:hAnsi="宋体" w:cs="宋体"/>
                      <w:kern w:val="0"/>
                      <w:szCs w:val="21"/>
                    </w:rPr>
                  </w:pPr>
                  <w:r>
                    <w:rPr>
                      <w:rFonts w:ascii="TimesNewRomanPSMT" w:hAnsi="TimesNewRomanPSMT" w:cs="宋体"/>
                      <w:kern w:val="0"/>
                      <w:szCs w:val="21"/>
                    </w:rPr>
                    <w:t>Pmax</w:t>
                  </w:r>
                  <w:r>
                    <w:rPr>
                      <w:rFonts w:ascii="宋体" w:hAnsi="宋体" w:cs="宋体"/>
                      <w:kern w:val="0"/>
                      <w:szCs w:val="21"/>
                    </w:rPr>
                    <w:t>＜</w:t>
                  </w:r>
                  <w:r>
                    <w:rPr>
                      <w:rFonts w:ascii="TimesNewRomanPSMT" w:hAnsi="TimesNewRomanPSMT" w:cs="宋体"/>
                      <w:kern w:val="0"/>
                      <w:szCs w:val="21"/>
                    </w:rPr>
                    <w:t>1%</w:t>
                  </w:r>
                </w:p>
              </w:tc>
            </w:tr>
          </w:tbl>
          <w:p>
            <w:pPr>
              <w:spacing w:line="360" w:lineRule="auto"/>
              <w:ind w:firstLine="480" w:firstLineChars="200"/>
              <w:rPr>
                <w:sz w:val="24"/>
              </w:rPr>
            </w:pPr>
            <w:r>
              <w:rPr>
                <w:sz w:val="24"/>
              </w:rPr>
              <w:t>对照表7-</w:t>
            </w:r>
            <w:r>
              <w:rPr>
                <w:rFonts w:hint="eastAsia"/>
                <w:sz w:val="24"/>
              </w:rPr>
              <w:t>3</w:t>
            </w:r>
            <w:r>
              <w:rPr>
                <w:sz w:val="24"/>
              </w:rPr>
              <w:t>评价等级判别表，本项目为</w:t>
            </w:r>
            <w:r>
              <w:rPr>
                <w:rFonts w:hint="eastAsia"/>
                <w:sz w:val="24"/>
              </w:rPr>
              <w:t>二</w:t>
            </w:r>
            <w:r>
              <w:rPr>
                <w:sz w:val="24"/>
              </w:rPr>
              <w:t>级评价项目</w:t>
            </w:r>
            <w:r>
              <w:rPr>
                <w:rFonts w:hint="eastAsia"/>
                <w:sz w:val="24"/>
              </w:rPr>
              <w:t>，二</w:t>
            </w:r>
            <w:r>
              <w:rPr>
                <w:sz w:val="24"/>
              </w:rPr>
              <w:t>级评价项目不进行进一步预测与评价</w:t>
            </w:r>
            <w:r>
              <w:rPr>
                <w:rFonts w:hint="eastAsia"/>
                <w:sz w:val="24"/>
              </w:rPr>
              <w:t xml:space="preserve">，只对污染物排放量进行核算。 </w:t>
            </w:r>
          </w:p>
          <w:p>
            <w:pPr>
              <w:spacing w:line="360" w:lineRule="auto"/>
              <w:ind w:firstLine="480" w:firstLineChars="200"/>
              <w:rPr>
                <w:sz w:val="24"/>
              </w:rPr>
            </w:pPr>
            <w:r>
              <w:rPr>
                <w:rFonts w:hint="eastAsia"/>
                <w:sz w:val="24"/>
              </w:rPr>
              <w:t>④污染物排放量核算</w:t>
            </w:r>
          </w:p>
          <w:p>
            <w:pPr>
              <w:spacing w:line="360" w:lineRule="auto"/>
              <w:ind w:firstLine="481" w:firstLineChars="200"/>
              <w:jc w:val="center"/>
              <w:rPr>
                <w:b/>
                <w:sz w:val="24"/>
              </w:rPr>
            </w:pPr>
            <w:r>
              <w:rPr>
                <w:rFonts w:hint="eastAsia"/>
                <w:b/>
                <w:sz w:val="24"/>
              </w:rPr>
              <w:t>表7-4    大气污染物年排放量合计</w:t>
            </w:r>
          </w:p>
          <w:tbl>
            <w:tblPr>
              <w:tblStyle w:val="15"/>
              <w:tblW w:w="85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68"/>
              <w:gridCol w:w="2158"/>
              <w:gridCol w:w="1791"/>
              <w:gridCol w:w="1842"/>
              <w:gridCol w:w="12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8" w:type="dxa"/>
                  <w:tcBorders>
                    <w:tl2br w:val="nil"/>
                    <w:tr2bl w:val="nil"/>
                  </w:tcBorders>
                  <w:vAlign w:val="center"/>
                </w:tcPr>
                <w:p>
                  <w:pPr>
                    <w:pStyle w:val="24"/>
                  </w:pPr>
                  <w:r>
                    <w:t>种类</w:t>
                  </w:r>
                </w:p>
              </w:tc>
              <w:tc>
                <w:tcPr>
                  <w:tcW w:w="2158" w:type="dxa"/>
                  <w:tcBorders>
                    <w:tl2br w:val="nil"/>
                    <w:tr2bl w:val="nil"/>
                  </w:tcBorders>
                  <w:vAlign w:val="center"/>
                </w:tcPr>
                <w:p>
                  <w:pPr>
                    <w:pStyle w:val="24"/>
                  </w:pPr>
                  <w:r>
                    <w:t>污染物名称</w:t>
                  </w:r>
                </w:p>
              </w:tc>
              <w:tc>
                <w:tcPr>
                  <w:tcW w:w="1791" w:type="dxa"/>
                  <w:tcBorders>
                    <w:tl2br w:val="nil"/>
                    <w:tr2bl w:val="nil"/>
                  </w:tcBorders>
                  <w:vAlign w:val="center"/>
                </w:tcPr>
                <w:p>
                  <w:pPr>
                    <w:pStyle w:val="24"/>
                  </w:pPr>
                  <w:r>
                    <w:rPr>
                      <w:rFonts w:hint="eastAsia"/>
                    </w:rPr>
                    <w:t>有组织</w:t>
                  </w:r>
                  <w:r>
                    <w:t>排放量t/a</w:t>
                  </w:r>
                </w:p>
              </w:tc>
              <w:tc>
                <w:tcPr>
                  <w:tcW w:w="1842" w:type="dxa"/>
                  <w:tcBorders>
                    <w:tl2br w:val="nil"/>
                    <w:tr2bl w:val="nil"/>
                  </w:tcBorders>
                  <w:vAlign w:val="center"/>
                </w:tcPr>
                <w:p>
                  <w:pPr>
                    <w:pStyle w:val="24"/>
                  </w:pPr>
                  <w:r>
                    <w:rPr>
                      <w:rFonts w:hint="eastAsia"/>
                    </w:rPr>
                    <w:t>无组织排放量</w:t>
                  </w:r>
                  <w:r>
                    <w:t>t/a</w:t>
                  </w:r>
                </w:p>
              </w:tc>
              <w:tc>
                <w:tcPr>
                  <w:tcW w:w="1246" w:type="dxa"/>
                  <w:tcBorders>
                    <w:tl2br w:val="nil"/>
                    <w:tr2bl w:val="nil"/>
                  </w:tcBorders>
                  <w:vAlign w:val="center"/>
                </w:tcPr>
                <w:p>
                  <w:pPr>
                    <w:pStyle w:val="24"/>
                  </w:pPr>
                  <w:r>
                    <w:rPr>
                      <w:rFonts w:hint="eastAsia"/>
                    </w:rPr>
                    <w:t>合计t/a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8" w:type="dxa"/>
                  <w:tcBorders>
                    <w:tl2br w:val="nil"/>
                    <w:tr2bl w:val="nil"/>
                  </w:tcBorders>
                  <w:vAlign w:val="center"/>
                </w:tcPr>
                <w:p>
                  <w:pPr>
                    <w:pStyle w:val="25"/>
                    <w:rPr>
                      <w:b/>
                    </w:rPr>
                  </w:pPr>
                  <w:r>
                    <w:rPr>
                      <w:szCs w:val="21"/>
                    </w:rPr>
                    <w:t>废气</w:t>
                  </w:r>
                </w:p>
              </w:tc>
              <w:tc>
                <w:tcPr>
                  <w:tcW w:w="2158" w:type="dxa"/>
                  <w:tcBorders>
                    <w:tl2br w:val="nil"/>
                    <w:tr2bl w:val="nil"/>
                  </w:tcBorders>
                  <w:vAlign w:val="center"/>
                </w:tcPr>
                <w:p>
                  <w:pPr>
                    <w:pStyle w:val="24"/>
                  </w:pPr>
                  <w:r>
                    <w:rPr>
                      <w:rFonts w:hint="eastAsia"/>
                    </w:rPr>
                    <w:t>粉尘</w:t>
                  </w:r>
                </w:p>
              </w:tc>
              <w:tc>
                <w:tcPr>
                  <w:tcW w:w="1791" w:type="dxa"/>
                  <w:tcBorders>
                    <w:tl2br w:val="nil"/>
                    <w:tr2bl w:val="nil"/>
                  </w:tcBorders>
                  <w:vAlign w:val="center"/>
                </w:tcPr>
                <w:p>
                  <w:pPr>
                    <w:pStyle w:val="24"/>
                  </w:pPr>
                  <w:r>
                    <w:rPr>
                      <w:rFonts w:hint="eastAsia"/>
                    </w:rPr>
                    <w:t>0</w:t>
                  </w:r>
                </w:p>
              </w:tc>
              <w:tc>
                <w:tcPr>
                  <w:tcW w:w="1842" w:type="dxa"/>
                  <w:tcBorders>
                    <w:tl2br w:val="nil"/>
                    <w:tr2bl w:val="nil"/>
                  </w:tcBorders>
                  <w:vAlign w:val="center"/>
                </w:tcPr>
                <w:p>
                  <w:pPr>
                    <w:pStyle w:val="24"/>
                  </w:pPr>
                  <w:r>
                    <w:rPr>
                      <w:rFonts w:hint="eastAsia"/>
                    </w:rPr>
                    <w:t>5.342</w:t>
                  </w:r>
                </w:p>
              </w:tc>
              <w:tc>
                <w:tcPr>
                  <w:tcW w:w="1246" w:type="dxa"/>
                  <w:tcBorders>
                    <w:tl2br w:val="nil"/>
                    <w:tr2bl w:val="nil"/>
                  </w:tcBorders>
                  <w:vAlign w:val="center"/>
                </w:tcPr>
                <w:p>
                  <w:pPr>
                    <w:pStyle w:val="24"/>
                  </w:pPr>
                  <w:r>
                    <w:rPr>
                      <w:rFonts w:hint="eastAsia"/>
                    </w:rPr>
                    <w:t>5.342</w:t>
                  </w:r>
                </w:p>
              </w:tc>
            </w:tr>
          </w:tbl>
          <w:p>
            <w:pPr>
              <w:spacing w:line="360" w:lineRule="auto"/>
              <w:ind w:firstLine="480" w:firstLineChars="200"/>
              <w:rPr>
                <w:kern w:val="0"/>
                <w:sz w:val="24"/>
              </w:rPr>
            </w:pPr>
            <w:r>
              <w:rPr>
                <w:rFonts w:hint="eastAsia"/>
                <w:kern w:val="0"/>
                <w:sz w:val="24"/>
              </w:rPr>
              <w:t>（3）</w:t>
            </w:r>
            <w:r>
              <w:rPr>
                <w:kern w:val="0"/>
                <w:sz w:val="24"/>
              </w:rPr>
              <w:t>大气环境防护距离：</w:t>
            </w:r>
          </w:p>
          <w:p>
            <w:pPr>
              <w:spacing w:line="480" w:lineRule="exact"/>
              <w:ind w:firstLine="470" w:firstLineChars="196"/>
            </w:pPr>
            <w:r>
              <w:rPr>
                <w:rFonts w:ascii="宋体" w:hAnsi="宋体"/>
                <w:sz w:val="24"/>
              </w:rPr>
              <w:t>对于项目厂界浓度满足大气污染物厂界浓度限值，但厂界外大气污染物短期贡献浓度超过环境质量浓度限值的，可以自厂界向外设置一定范围的大气环境防护区域，以确保大气环境防护区域外的污染物浓度满足环境质量标准。</w:t>
            </w:r>
          </w:p>
          <w:p>
            <w:pPr>
              <w:spacing w:line="480" w:lineRule="exact"/>
              <w:ind w:firstLine="470" w:firstLineChars="196"/>
              <w:rPr>
                <w:sz w:val="24"/>
              </w:rPr>
            </w:pPr>
            <w:bookmarkStart w:id="2" w:name="_Toc291021424"/>
            <w:r>
              <w:rPr>
                <w:sz w:val="24"/>
              </w:rPr>
              <w:t>根据计算，</w:t>
            </w:r>
            <w:r>
              <w:rPr>
                <w:rFonts w:hint="eastAsia"/>
                <w:sz w:val="24"/>
              </w:rPr>
              <w:t>本项目无组织排放的粉尘</w:t>
            </w:r>
            <w:r>
              <w:rPr>
                <w:sz w:val="24"/>
              </w:rPr>
              <w:t>无超标点，说明项目废气排放影响范围仅限于生产厂区之内，本项目不需要设置</w:t>
            </w:r>
            <w:r>
              <w:rPr>
                <w:rFonts w:hint="eastAsia"/>
                <w:sz w:val="24"/>
              </w:rPr>
              <w:t>大气</w:t>
            </w:r>
            <w:r>
              <w:rPr>
                <w:sz w:val="24"/>
              </w:rPr>
              <w:t>环境防护距离。</w:t>
            </w:r>
            <w:bookmarkEnd w:id="2"/>
          </w:p>
          <w:p>
            <w:pPr>
              <w:spacing w:line="360" w:lineRule="auto"/>
              <w:ind w:firstLine="480" w:firstLineChars="200"/>
              <w:rPr>
                <w:kern w:val="0"/>
                <w:sz w:val="24"/>
              </w:rPr>
            </w:pPr>
            <w:r>
              <w:rPr>
                <w:rFonts w:hint="eastAsia"/>
                <w:kern w:val="0"/>
                <w:sz w:val="24"/>
              </w:rPr>
              <w:t>（4）</w:t>
            </w:r>
            <w:r>
              <w:rPr>
                <w:kern w:val="0"/>
                <w:sz w:val="24"/>
              </w:rPr>
              <w:t>卫生防护距离：</w:t>
            </w:r>
          </w:p>
          <w:p>
            <w:pPr>
              <w:spacing w:line="360" w:lineRule="auto"/>
              <w:ind w:firstLine="480" w:firstLineChars="200"/>
              <w:rPr>
                <w:kern w:val="0"/>
                <w:sz w:val="24"/>
              </w:rPr>
            </w:pPr>
            <w:r>
              <w:rPr>
                <w:kern w:val="0"/>
                <w:sz w:val="24"/>
              </w:rPr>
              <w:t>卫生防护距离是指产生有害因素的部门（车间或工段）的边界至居住区边界的最小距离。</w:t>
            </w:r>
          </w:p>
          <w:p>
            <w:pPr>
              <w:spacing w:line="360" w:lineRule="auto"/>
              <w:ind w:firstLine="480" w:firstLineChars="200"/>
              <w:rPr>
                <w:kern w:val="0"/>
                <w:sz w:val="24"/>
              </w:rPr>
            </w:pPr>
            <w:r>
              <w:rPr>
                <w:kern w:val="0"/>
                <w:sz w:val="24"/>
              </w:rPr>
              <w:t>根据《制定地方大气污染物排放标准的技术方法》，主要按企业大气污染源无组织排放水平确定其所需卫生防护距离。在确定同时排放多种对周围大气环境有明显影响的大气污染物的企业卫生防护距离时，计算应分别按各自单独作用的影响考虑，卫生防护距离应取大者。卫生防护距离在100m以内时，级差为50m；超过100m，但小于或等于1000m时，级差为100m；超过1000m以上，级差为200m。如果工业企业按多种有害气体计算的卫生防护距离在同一级别时，其卫生防护距离级别应提高一级。</w:t>
            </w:r>
          </w:p>
          <w:p>
            <w:pPr>
              <w:spacing w:line="360" w:lineRule="auto"/>
              <w:ind w:firstLine="480" w:firstLineChars="200"/>
              <w:rPr>
                <w:kern w:val="0"/>
                <w:sz w:val="24"/>
              </w:rPr>
            </w:pPr>
            <w:r>
              <w:rPr>
                <w:kern w:val="0"/>
                <w:sz w:val="24"/>
              </w:rPr>
              <w:t>根据项目生产过程中产生的废气的无组织排放情况计算卫生防护距离，采用《制定地方大气污染物排放标准的技术方法》（GB/T13201-91）中给出的计算公式进行卫生防护距离计算。</w:t>
            </w:r>
          </w:p>
          <w:p>
            <w:pPr>
              <w:spacing w:line="360" w:lineRule="auto"/>
              <w:ind w:firstLine="480" w:firstLineChars="200"/>
              <w:rPr>
                <w:kern w:val="0"/>
                <w:sz w:val="24"/>
              </w:rPr>
            </w:pPr>
            <w:r>
              <w:rPr>
                <w:kern w:val="0"/>
                <w:sz w:val="24"/>
              </w:rPr>
              <w:t>卫生防护距离计算公式如下：</w:t>
            </w:r>
          </w:p>
          <w:p>
            <w:pPr>
              <w:spacing w:line="360" w:lineRule="auto"/>
              <w:ind w:firstLine="480" w:firstLineChars="200"/>
              <w:rPr>
                <w:kern w:val="0"/>
                <w:sz w:val="24"/>
                <w:lang w:val="pt-BR"/>
              </w:rPr>
            </w:pPr>
            <w:r>
              <w:rPr>
                <w:kern w:val="0"/>
                <w:sz w:val="24"/>
                <w:lang w:val="pt-BR"/>
              </w:rPr>
              <w:t>Qc / Cm＝ (BL</w:t>
            </w:r>
            <w:r>
              <w:rPr>
                <w:kern w:val="0"/>
                <w:sz w:val="24"/>
                <w:vertAlign w:val="superscript"/>
                <w:lang w:val="pt-BR"/>
              </w:rPr>
              <w:t>c</w:t>
            </w:r>
            <w:r>
              <w:rPr>
                <w:kern w:val="0"/>
                <w:sz w:val="24"/>
                <w:lang w:val="pt-BR"/>
              </w:rPr>
              <w:t>+0.25r</w:t>
            </w:r>
            <w:r>
              <w:rPr>
                <w:kern w:val="0"/>
                <w:sz w:val="24"/>
                <w:vertAlign w:val="superscript"/>
                <w:lang w:val="pt-BR"/>
              </w:rPr>
              <w:t>2</w:t>
            </w:r>
            <w:r>
              <w:rPr>
                <w:kern w:val="0"/>
                <w:sz w:val="24"/>
                <w:lang w:val="pt-BR"/>
              </w:rPr>
              <w:t>)</w:t>
            </w:r>
            <w:r>
              <w:rPr>
                <w:kern w:val="0"/>
                <w:sz w:val="24"/>
                <w:vertAlign w:val="superscript"/>
                <w:lang w:val="pt-BR"/>
              </w:rPr>
              <w:t>0.50</w:t>
            </w:r>
            <w:r>
              <w:rPr>
                <w:kern w:val="0"/>
                <w:sz w:val="24"/>
                <w:lang w:val="pt-BR"/>
              </w:rPr>
              <w:t>L</w:t>
            </w:r>
            <w:r>
              <w:rPr>
                <w:kern w:val="0"/>
                <w:sz w:val="24"/>
                <w:vertAlign w:val="superscript"/>
                <w:lang w:val="pt-BR"/>
              </w:rPr>
              <w:t>D</w:t>
            </w:r>
            <w:r>
              <w:rPr>
                <w:kern w:val="0"/>
                <w:sz w:val="24"/>
                <w:lang w:val="pt-BR"/>
              </w:rPr>
              <w:t>／A</w:t>
            </w:r>
          </w:p>
          <w:p>
            <w:pPr>
              <w:spacing w:line="360" w:lineRule="auto"/>
              <w:ind w:firstLine="480" w:firstLineChars="200"/>
              <w:rPr>
                <w:kern w:val="0"/>
                <w:sz w:val="24"/>
              </w:rPr>
            </w:pPr>
            <w:r>
              <w:rPr>
                <w:kern w:val="0"/>
                <w:sz w:val="24"/>
              </w:rPr>
              <w:t>式中：Qc——工业企业有害气体无组织排放量可以达到的控制水平，kg/h；</w:t>
            </w:r>
          </w:p>
          <w:p>
            <w:pPr>
              <w:spacing w:line="360" w:lineRule="auto"/>
              <w:ind w:firstLine="1200" w:firstLineChars="500"/>
              <w:rPr>
                <w:kern w:val="0"/>
                <w:sz w:val="24"/>
              </w:rPr>
            </w:pPr>
            <w:r>
              <w:rPr>
                <w:kern w:val="0"/>
                <w:sz w:val="24"/>
              </w:rPr>
              <w:t>Cm——标准小时平均浓度限值，mg/m</w:t>
            </w:r>
            <w:r>
              <w:rPr>
                <w:kern w:val="0"/>
                <w:sz w:val="24"/>
                <w:vertAlign w:val="superscript"/>
              </w:rPr>
              <w:t>3</w:t>
            </w:r>
            <w:r>
              <w:rPr>
                <w:kern w:val="0"/>
                <w:sz w:val="24"/>
              </w:rPr>
              <w:t xml:space="preserve">； </w:t>
            </w:r>
          </w:p>
          <w:p>
            <w:pPr>
              <w:spacing w:line="360" w:lineRule="auto"/>
              <w:ind w:firstLine="480" w:firstLineChars="200"/>
              <w:rPr>
                <w:kern w:val="0"/>
                <w:sz w:val="24"/>
              </w:rPr>
            </w:pPr>
            <w:r>
              <w:rPr>
                <w:kern w:val="0"/>
                <w:sz w:val="24"/>
              </w:rPr>
              <w:t xml:space="preserve">      L——工业企业所需卫生防护距离，m；</w:t>
            </w:r>
          </w:p>
          <w:p>
            <w:pPr>
              <w:spacing w:line="360" w:lineRule="auto"/>
              <w:ind w:firstLine="480" w:firstLineChars="200"/>
              <w:rPr>
                <w:kern w:val="0"/>
                <w:sz w:val="24"/>
              </w:rPr>
            </w:pPr>
            <w:r>
              <w:rPr>
                <w:kern w:val="0"/>
                <w:sz w:val="24"/>
              </w:rPr>
              <w:t xml:space="preserve">      r——有害气体无组织排放源所在生产单元的等效半径，m。</w:t>
            </w:r>
          </w:p>
          <w:p>
            <w:pPr>
              <w:spacing w:line="360" w:lineRule="auto"/>
              <w:ind w:firstLine="480" w:firstLineChars="200"/>
              <w:rPr>
                <w:kern w:val="0"/>
                <w:sz w:val="24"/>
              </w:rPr>
            </w:pPr>
            <w:r>
              <w:rPr>
                <w:kern w:val="0"/>
                <w:sz w:val="24"/>
              </w:rPr>
              <w:t>A、B、C、D——卫生防护距离计算系数，根据项目所在地区近三年平均风速及大气污染源构成类别确定。</w:t>
            </w:r>
          </w:p>
          <w:p>
            <w:pPr>
              <w:spacing w:line="360" w:lineRule="auto"/>
              <w:ind w:firstLine="480" w:firstLineChars="200"/>
              <w:rPr>
                <w:bCs/>
                <w:kern w:val="0"/>
                <w:sz w:val="24"/>
              </w:rPr>
            </w:pPr>
            <w:r>
              <w:rPr>
                <w:kern w:val="0"/>
                <w:sz w:val="24"/>
              </w:rPr>
              <w:t>本</w:t>
            </w:r>
            <w:r>
              <w:rPr>
                <w:bCs/>
                <w:kern w:val="0"/>
                <w:sz w:val="24"/>
              </w:rPr>
              <w:t>项目各无组织排放的粉尘，经上述公式计算后，其结果见下表。</w:t>
            </w:r>
          </w:p>
          <w:p>
            <w:pPr>
              <w:spacing w:line="360" w:lineRule="auto"/>
              <w:ind w:firstLine="481" w:firstLineChars="200"/>
              <w:jc w:val="center"/>
              <w:rPr>
                <w:b/>
                <w:kern w:val="0"/>
                <w:sz w:val="24"/>
              </w:rPr>
            </w:pPr>
            <w:r>
              <w:rPr>
                <w:b/>
                <w:kern w:val="0"/>
                <w:sz w:val="24"/>
              </w:rPr>
              <w:t>表7-</w:t>
            </w:r>
            <w:r>
              <w:rPr>
                <w:rFonts w:hint="eastAsia"/>
                <w:b/>
                <w:kern w:val="0"/>
                <w:sz w:val="24"/>
              </w:rPr>
              <w:t>5</w:t>
            </w:r>
            <w:r>
              <w:rPr>
                <w:b/>
                <w:kern w:val="0"/>
                <w:sz w:val="24"/>
              </w:rPr>
              <w:t xml:space="preserve">   项目卫生防护距离计算结果一览表</w:t>
            </w:r>
          </w:p>
          <w:tbl>
            <w:tblPr>
              <w:tblStyle w:val="15"/>
              <w:tblW w:w="89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20"/>
              <w:gridCol w:w="819"/>
              <w:gridCol w:w="1712"/>
              <w:gridCol w:w="877"/>
              <w:gridCol w:w="976"/>
              <w:gridCol w:w="584"/>
              <w:gridCol w:w="583"/>
              <w:gridCol w:w="582"/>
              <w:gridCol w:w="583"/>
              <w:gridCol w:w="591"/>
              <w:gridCol w:w="7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04" w:hRule="atLeast"/>
                <w:jc w:val="center"/>
              </w:trPr>
              <w:tc>
                <w:tcPr>
                  <w:tcW w:w="820" w:type="dxa"/>
                  <w:vMerge w:val="restart"/>
                  <w:vAlign w:val="center"/>
                </w:tcPr>
                <w:p>
                  <w:pPr>
                    <w:jc w:val="center"/>
                  </w:pPr>
                  <w:r>
                    <w:t>污染源</w:t>
                  </w:r>
                </w:p>
              </w:tc>
              <w:tc>
                <w:tcPr>
                  <w:tcW w:w="819" w:type="dxa"/>
                  <w:vMerge w:val="restart"/>
                  <w:vAlign w:val="center"/>
                </w:tcPr>
                <w:p>
                  <w:pPr>
                    <w:jc w:val="center"/>
                  </w:pPr>
                  <w:r>
                    <w:t>污染物</w:t>
                  </w:r>
                </w:p>
              </w:tc>
              <w:tc>
                <w:tcPr>
                  <w:tcW w:w="1712" w:type="dxa"/>
                  <w:vMerge w:val="restart"/>
                  <w:vAlign w:val="center"/>
                </w:tcPr>
                <w:p>
                  <w:pPr>
                    <w:jc w:val="center"/>
                  </w:pPr>
                  <w:r>
                    <w:t>标准</w:t>
                  </w:r>
                </w:p>
              </w:tc>
              <w:tc>
                <w:tcPr>
                  <w:tcW w:w="877" w:type="dxa"/>
                  <w:vMerge w:val="restart"/>
                  <w:vAlign w:val="center"/>
                </w:tcPr>
                <w:p>
                  <w:pPr>
                    <w:jc w:val="center"/>
                  </w:pPr>
                  <w:r>
                    <w:t>Qc</w:t>
                  </w:r>
                </w:p>
                <w:p>
                  <w:pPr>
                    <w:jc w:val="center"/>
                  </w:pPr>
                  <w:r>
                    <w:t>(kg/h)</w:t>
                  </w:r>
                </w:p>
              </w:tc>
              <w:tc>
                <w:tcPr>
                  <w:tcW w:w="976" w:type="dxa"/>
                  <w:vMerge w:val="restart"/>
                  <w:vAlign w:val="center"/>
                </w:tcPr>
                <w:p>
                  <w:pPr>
                    <w:jc w:val="center"/>
                  </w:pPr>
                  <w:r>
                    <w:t>Cm</w:t>
                  </w:r>
                </w:p>
                <w:p>
                  <w:pPr>
                    <w:jc w:val="center"/>
                  </w:pPr>
                  <w:r>
                    <w:t>(mg/Nm</w:t>
                  </w:r>
                  <w:r>
                    <w:rPr>
                      <w:vertAlign w:val="superscript"/>
                    </w:rPr>
                    <w:t>3</w:t>
                  </w:r>
                  <w:r>
                    <w:t>)</w:t>
                  </w:r>
                </w:p>
              </w:tc>
              <w:tc>
                <w:tcPr>
                  <w:tcW w:w="584" w:type="dxa"/>
                  <w:vMerge w:val="restart"/>
                  <w:vAlign w:val="center"/>
                </w:tcPr>
                <w:p>
                  <w:pPr>
                    <w:jc w:val="center"/>
                  </w:pPr>
                  <w:r>
                    <w:t>r</w:t>
                  </w:r>
                </w:p>
                <w:p>
                  <w:pPr>
                    <w:jc w:val="center"/>
                  </w:pPr>
                  <w:r>
                    <w:t>(m)</w:t>
                  </w:r>
                </w:p>
              </w:tc>
              <w:tc>
                <w:tcPr>
                  <w:tcW w:w="2339" w:type="dxa"/>
                  <w:gridSpan w:val="4"/>
                  <w:vAlign w:val="center"/>
                </w:tcPr>
                <w:p>
                  <w:pPr>
                    <w:jc w:val="center"/>
                  </w:pPr>
                  <w:r>
                    <w:t>计算系数</w:t>
                  </w:r>
                </w:p>
              </w:tc>
              <w:tc>
                <w:tcPr>
                  <w:tcW w:w="778" w:type="dxa"/>
                  <w:vMerge w:val="restart"/>
                  <w:vAlign w:val="center"/>
                </w:tcPr>
                <w:p>
                  <w:pPr>
                    <w:jc w:val="center"/>
                  </w:pPr>
                  <w:r>
                    <w:t>L</w:t>
                  </w:r>
                </w:p>
                <w:p>
                  <w:pPr>
                    <w:jc w:val="center"/>
                  </w:pPr>
                  <w: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04" w:hRule="atLeast"/>
                <w:jc w:val="center"/>
              </w:trPr>
              <w:tc>
                <w:tcPr>
                  <w:tcW w:w="820" w:type="dxa"/>
                  <w:vMerge w:val="continue"/>
                  <w:vAlign w:val="center"/>
                </w:tcPr>
                <w:p>
                  <w:pPr>
                    <w:jc w:val="center"/>
                  </w:pPr>
                </w:p>
              </w:tc>
              <w:tc>
                <w:tcPr>
                  <w:tcW w:w="819" w:type="dxa"/>
                  <w:vMerge w:val="continue"/>
                  <w:vAlign w:val="center"/>
                </w:tcPr>
                <w:p>
                  <w:pPr>
                    <w:jc w:val="center"/>
                  </w:pPr>
                </w:p>
              </w:tc>
              <w:tc>
                <w:tcPr>
                  <w:tcW w:w="1712" w:type="dxa"/>
                  <w:vMerge w:val="continue"/>
                  <w:vAlign w:val="center"/>
                </w:tcPr>
                <w:p>
                  <w:pPr>
                    <w:jc w:val="center"/>
                  </w:pPr>
                </w:p>
              </w:tc>
              <w:tc>
                <w:tcPr>
                  <w:tcW w:w="877" w:type="dxa"/>
                  <w:vMerge w:val="continue"/>
                  <w:vAlign w:val="center"/>
                </w:tcPr>
                <w:p>
                  <w:pPr>
                    <w:jc w:val="center"/>
                  </w:pPr>
                </w:p>
              </w:tc>
              <w:tc>
                <w:tcPr>
                  <w:tcW w:w="976" w:type="dxa"/>
                  <w:vMerge w:val="continue"/>
                  <w:vAlign w:val="center"/>
                </w:tcPr>
                <w:p>
                  <w:pPr>
                    <w:jc w:val="center"/>
                  </w:pPr>
                </w:p>
              </w:tc>
              <w:tc>
                <w:tcPr>
                  <w:tcW w:w="584" w:type="dxa"/>
                  <w:vMerge w:val="continue"/>
                  <w:vAlign w:val="center"/>
                </w:tcPr>
                <w:p>
                  <w:pPr>
                    <w:jc w:val="center"/>
                  </w:pPr>
                </w:p>
              </w:tc>
              <w:tc>
                <w:tcPr>
                  <w:tcW w:w="583" w:type="dxa"/>
                  <w:vAlign w:val="center"/>
                </w:tcPr>
                <w:p>
                  <w:pPr>
                    <w:jc w:val="center"/>
                  </w:pPr>
                  <w:r>
                    <w:t>A</w:t>
                  </w:r>
                </w:p>
              </w:tc>
              <w:tc>
                <w:tcPr>
                  <w:tcW w:w="582" w:type="dxa"/>
                  <w:vAlign w:val="center"/>
                </w:tcPr>
                <w:p>
                  <w:pPr>
                    <w:jc w:val="center"/>
                  </w:pPr>
                  <w:r>
                    <w:t>B</w:t>
                  </w:r>
                </w:p>
              </w:tc>
              <w:tc>
                <w:tcPr>
                  <w:tcW w:w="583" w:type="dxa"/>
                  <w:vAlign w:val="center"/>
                </w:tcPr>
                <w:p>
                  <w:pPr>
                    <w:jc w:val="center"/>
                  </w:pPr>
                  <w:r>
                    <w:t>C</w:t>
                  </w:r>
                </w:p>
              </w:tc>
              <w:tc>
                <w:tcPr>
                  <w:tcW w:w="591" w:type="dxa"/>
                  <w:vAlign w:val="center"/>
                </w:tcPr>
                <w:p>
                  <w:pPr>
                    <w:jc w:val="center"/>
                  </w:pPr>
                  <w:r>
                    <w:t>D</w:t>
                  </w:r>
                </w:p>
              </w:tc>
              <w:tc>
                <w:tcPr>
                  <w:tcW w:w="778" w:type="dxa"/>
                  <w:vMerge w:val="continue"/>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04" w:hRule="atLeast"/>
                <w:jc w:val="center"/>
              </w:trPr>
              <w:tc>
                <w:tcPr>
                  <w:tcW w:w="820" w:type="dxa"/>
                  <w:vAlign w:val="center"/>
                </w:tcPr>
                <w:p>
                  <w:pPr>
                    <w:jc w:val="center"/>
                  </w:pPr>
                  <w:r>
                    <w:t>生产</w:t>
                  </w:r>
                  <w:r>
                    <w:rPr>
                      <w:rFonts w:hint="eastAsia"/>
                    </w:rPr>
                    <w:t>场区</w:t>
                  </w:r>
                </w:p>
              </w:tc>
              <w:tc>
                <w:tcPr>
                  <w:tcW w:w="819" w:type="dxa"/>
                  <w:vAlign w:val="center"/>
                </w:tcPr>
                <w:p>
                  <w:pPr>
                    <w:jc w:val="center"/>
                  </w:pPr>
                  <w:r>
                    <w:t>粉尘</w:t>
                  </w:r>
                </w:p>
              </w:tc>
              <w:tc>
                <w:tcPr>
                  <w:tcW w:w="1712" w:type="dxa"/>
                  <w:vAlign w:val="center"/>
                </w:tcPr>
                <w:p>
                  <w:pPr>
                    <w:jc w:val="center"/>
                  </w:pPr>
                  <w:r>
                    <w:t>《环境空气质量标准》(GB3095-2012)中的“TSP”二级标准日均浓度的3倍</w:t>
                  </w:r>
                </w:p>
              </w:tc>
              <w:tc>
                <w:tcPr>
                  <w:tcW w:w="877" w:type="dxa"/>
                  <w:vAlign w:val="center"/>
                </w:tcPr>
                <w:p>
                  <w:pPr>
                    <w:jc w:val="center"/>
                  </w:pPr>
                  <w:r>
                    <w:rPr>
                      <w:rFonts w:hint="eastAsia"/>
                    </w:rPr>
                    <w:t>2.5366</w:t>
                  </w:r>
                </w:p>
              </w:tc>
              <w:tc>
                <w:tcPr>
                  <w:tcW w:w="976" w:type="dxa"/>
                  <w:vAlign w:val="center"/>
                </w:tcPr>
                <w:p>
                  <w:pPr>
                    <w:jc w:val="center"/>
                  </w:pPr>
                  <w:r>
                    <w:t>0.90</w:t>
                  </w:r>
                </w:p>
              </w:tc>
              <w:tc>
                <w:tcPr>
                  <w:tcW w:w="584" w:type="dxa"/>
                  <w:vAlign w:val="center"/>
                </w:tcPr>
                <w:p>
                  <w:pPr>
                    <w:jc w:val="center"/>
                  </w:pPr>
                  <w:r>
                    <w:t>170</w:t>
                  </w:r>
                </w:p>
              </w:tc>
              <w:tc>
                <w:tcPr>
                  <w:tcW w:w="583" w:type="dxa"/>
                  <w:vAlign w:val="center"/>
                </w:tcPr>
                <w:p>
                  <w:pPr>
                    <w:jc w:val="center"/>
                  </w:pPr>
                  <w:r>
                    <w:t>350</w:t>
                  </w:r>
                </w:p>
              </w:tc>
              <w:tc>
                <w:tcPr>
                  <w:tcW w:w="582" w:type="dxa"/>
                  <w:vAlign w:val="center"/>
                </w:tcPr>
                <w:p>
                  <w:pPr>
                    <w:jc w:val="center"/>
                  </w:pPr>
                  <w:r>
                    <w:t>0.021</w:t>
                  </w:r>
                </w:p>
              </w:tc>
              <w:tc>
                <w:tcPr>
                  <w:tcW w:w="583" w:type="dxa"/>
                  <w:vAlign w:val="center"/>
                </w:tcPr>
                <w:p>
                  <w:pPr>
                    <w:jc w:val="center"/>
                  </w:pPr>
                  <w:r>
                    <w:t>1.85</w:t>
                  </w:r>
                </w:p>
              </w:tc>
              <w:tc>
                <w:tcPr>
                  <w:tcW w:w="591" w:type="dxa"/>
                  <w:vAlign w:val="center"/>
                </w:tcPr>
                <w:p>
                  <w:pPr>
                    <w:jc w:val="center"/>
                  </w:pPr>
                  <w:r>
                    <w:t>0.</w:t>
                  </w:r>
                  <w:r>
                    <w:rPr>
                      <w:rFonts w:hint="eastAsia"/>
                    </w:rPr>
                    <w:t>72</w:t>
                  </w:r>
                </w:p>
              </w:tc>
              <w:tc>
                <w:tcPr>
                  <w:tcW w:w="778" w:type="dxa"/>
                  <w:vAlign w:val="center"/>
                </w:tcPr>
                <w:p>
                  <w:pPr>
                    <w:jc w:val="center"/>
                  </w:pPr>
                  <w:r>
                    <w:rPr>
                      <w:rFonts w:hint="eastAsia"/>
                    </w:rPr>
                    <w:t>7.79</w:t>
                  </w:r>
                </w:p>
              </w:tc>
            </w:tr>
          </w:tbl>
          <w:p>
            <w:pPr>
              <w:spacing w:line="360" w:lineRule="auto"/>
              <w:ind w:firstLine="480" w:firstLineChars="200"/>
              <w:rPr>
                <w:kern w:val="0"/>
                <w:sz w:val="24"/>
              </w:rPr>
            </w:pPr>
            <w:r>
              <w:rPr>
                <w:kern w:val="0"/>
                <w:sz w:val="24"/>
              </w:rPr>
              <w:t>项目无组织排放废气主要来源于</w:t>
            </w:r>
            <w:r>
              <w:rPr>
                <w:sz w:val="24"/>
              </w:rPr>
              <w:t>开采过程中石材切割产生粉尘</w:t>
            </w:r>
            <w:r>
              <w:rPr>
                <w:rFonts w:hint="eastAsia"/>
                <w:sz w:val="24"/>
              </w:rPr>
              <w:t>、水平钻穿孔过程产生的粉尘、</w:t>
            </w:r>
            <w:r>
              <w:rPr>
                <w:sz w:val="24"/>
              </w:rPr>
              <w:t>装卸粉尘</w:t>
            </w:r>
            <w:r>
              <w:rPr>
                <w:rFonts w:hint="eastAsia"/>
                <w:sz w:val="24"/>
              </w:rPr>
              <w:t>、</w:t>
            </w:r>
            <w:r>
              <w:rPr>
                <w:sz w:val="24"/>
              </w:rPr>
              <w:t>运输车辆引起的动力扬尘</w:t>
            </w:r>
            <w:r>
              <w:rPr>
                <w:rFonts w:hint="eastAsia"/>
                <w:sz w:val="24"/>
              </w:rPr>
              <w:t>、</w:t>
            </w:r>
            <w:r>
              <w:rPr>
                <w:sz w:val="24"/>
              </w:rPr>
              <w:t>堆场扬尘</w:t>
            </w:r>
            <w:r>
              <w:rPr>
                <w:kern w:val="0"/>
                <w:sz w:val="24"/>
              </w:rPr>
              <w:t>产生的粉尘。经计算确定本项目卫生防护距离为50m。</w:t>
            </w:r>
          </w:p>
          <w:p>
            <w:pPr>
              <w:spacing w:line="360" w:lineRule="auto"/>
              <w:ind w:firstLine="480" w:firstLineChars="200"/>
              <w:rPr>
                <w:sz w:val="24"/>
                <w:lang w:val="en-GB"/>
              </w:rPr>
            </w:pPr>
            <w:r>
              <w:rPr>
                <w:kern w:val="0"/>
                <w:sz w:val="24"/>
              </w:rPr>
              <w:t>根据现场勘查，</w:t>
            </w:r>
            <w:r>
              <w:rPr>
                <w:rFonts w:hint="eastAsia"/>
                <w:sz w:val="24"/>
                <w:lang w:val="en-GB"/>
              </w:rPr>
              <w:t>项目卫生防护距离内敏感点</w:t>
            </w:r>
            <w:r>
              <w:rPr>
                <w:rFonts w:hint="eastAsia"/>
                <w:sz w:val="24"/>
              </w:rPr>
              <w:t>为白石镇小楼村，矿区边界距小楼村距离为10米（</w:t>
            </w:r>
            <w:r>
              <w:rPr>
                <w:rFonts w:hint="eastAsia"/>
                <w:sz w:val="24"/>
                <w:lang w:val="en-GB"/>
              </w:rPr>
              <w:t>矿区范围与小楼村现状位置关系见下图</w:t>
            </w:r>
            <w:r>
              <w:rPr>
                <w:rFonts w:hint="eastAsia"/>
                <w:sz w:val="24"/>
              </w:rPr>
              <w:t>），小楼村已纳入白石镇搬迁计划</w:t>
            </w:r>
            <w:r>
              <w:rPr>
                <w:rFonts w:hint="eastAsia"/>
                <w:sz w:val="24"/>
                <w:lang w:val="en-GB"/>
              </w:rPr>
              <w:t>。由于本项目开采区域范围较大，在小楼村在小楼村完成搬迁白石镇前，本项目开采范围自批复的矿区边界退让40米，退让后开采区域距小楼村距离大于50米。待小楼村搬迁完成后，方可开采靠近小楼村的区域。（企业承诺书见附件）</w:t>
            </w:r>
          </w:p>
          <w:p>
            <w:pPr>
              <w:spacing w:line="360" w:lineRule="auto"/>
              <w:rPr>
                <w:sz w:val="24"/>
                <w:lang w:val="en-GB"/>
              </w:rPr>
            </w:pPr>
            <w:r>
              <w:rPr>
                <w:rFonts w:hint="eastAsia"/>
                <w:sz w:val="24"/>
              </w:rPr>
              <w:drawing>
                <wp:inline distT="0" distB="0" distL="0" distR="0">
                  <wp:extent cx="5840095" cy="4295775"/>
                  <wp:effectExtent l="19050" t="0" r="8255"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noChangeArrowheads="true"/>
                          </pic:cNvPicPr>
                        </pic:nvPicPr>
                        <pic:blipFill>
                          <a:blip r:embed="rId15"/>
                          <a:srcRect/>
                          <a:stretch>
                            <a:fillRect/>
                          </a:stretch>
                        </pic:blipFill>
                        <pic:spPr>
                          <a:xfrm>
                            <a:off x="0" y="0"/>
                            <a:ext cx="5840095" cy="4295775"/>
                          </a:xfrm>
                          <a:prstGeom prst="rect">
                            <a:avLst/>
                          </a:prstGeom>
                          <a:noFill/>
                          <a:ln w="9525">
                            <a:noFill/>
                            <a:miter lim="800000"/>
                            <a:headEnd/>
                            <a:tailEnd/>
                          </a:ln>
                        </pic:spPr>
                      </pic:pic>
                    </a:graphicData>
                  </a:graphic>
                </wp:inline>
              </w:drawing>
            </w:r>
          </w:p>
          <w:p>
            <w:pPr>
              <w:spacing w:line="360" w:lineRule="auto"/>
              <w:ind w:firstLine="481" w:firstLineChars="200"/>
              <w:jc w:val="center"/>
              <w:rPr>
                <w:b/>
                <w:sz w:val="24"/>
                <w:lang w:val="en-GB"/>
              </w:rPr>
            </w:pPr>
            <w:r>
              <w:rPr>
                <w:rFonts w:hint="eastAsia"/>
                <w:b/>
                <w:sz w:val="24"/>
                <w:lang w:val="en-GB"/>
              </w:rPr>
              <w:t>图7-1    矿区范围与小楼村现状位置关系</w:t>
            </w:r>
          </w:p>
          <w:p>
            <w:pPr>
              <w:spacing w:line="360" w:lineRule="auto"/>
              <w:ind w:firstLine="481" w:firstLineChars="200"/>
              <w:rPr>
                <w:b/>
                <w:sz w:val="24"/>
              </w:rPr>
            </w:pPr>
            <w:r>
              <w:rPr>
                <w:b/>
                <w:bCs/>
                <w:sz w:val="24"/>
              </w:rPr>
              <w:t>2、</w:t>
            </w:r>
            <w:r>
              <w:rPr>
                <w:b/>
                <w:sz w:val="24"/>
              </w:rPr>
              <w:t>水环境影响分析</w:t>
            </w:r>
          </w:p>
          <w:p>
            <w:pPr>
              <w:spacing w:line="360" w:lineRule="auto"/>
              <w:ind w:firstLine="481" w:firstLineChars="200"/>
              <w:rPr>
                <w:b/>
                <w:sz w:val="24"/>
              </w:rPr>
            </w:pPr>
            <w:r>
              <w:rPr>
                <w:rFonts w:hint="eastAsia"/>
                <w:b/>
                <w:sz w:val="24"/>
              </w:rPr>
              <w:t>（1）</w:t>
            </w:r>
            <w:r>
              <w:rPr>
                <w:b/>
                <w:sz w:val="24"/>
              </w:rPr>
              <w:t>地表水</w:t>
            </w:r>
          </w:p>
          <w:p>
            <w:pPr>
              <w:spacing w:line="360" w:lineRule="auto"/>
              <w:ind w:firstLine="480" w:firstLineChars="200"/>
              <w:rPr>
                <w:sz w:val="24"/>
              </w:rPr>
            </w:pPr>
            <w:r>
              <w:rPr>
                <w:sz w:val="24"/>
              </w:rPr>
              <w:t>本项目排水系统采用“雨污分流、清污分流制”。雨水经厂区雨水管网排入厂外沟渠。本项目产生的废水主要是车辆冲洗废水</w:t>
            </w:r>
            <w:r>
              <w:rPr>
                <w:rFonts w:hint="eastAsia"/>
                <w:sz w:val="24"/>
              </w:rPr>
              <w:t>和</w:t>
            </w:r>
            <w:r>
              <w:rPr>
                <w:sz w:val="24"/>
              </w:rPr>
              <w:t>生活污水。车辆冲洗废水主要成分为悬浮物，经沉淀池沉淀处理，回用于</w:t>
            </w:r>
            <w:r>
              <w:rPr>
                <w:rFonts w:hint="eastAsia"/>
                <w:sz w:val="24"/>
              </w:rPr>
              <w:t>车辆清洗</w:t>
            </w:r>
            <w:r>
              <w:rPr>
                <w:sz w:val="24"/>
              </w:rPr>
              <w:t>，无外排；生活污水排入化粪池</w:t>
            </w:r>
            <w:r>
              <w:rPr>
                <w:rFonts w:hint="eastAsia"/>
                <w:sz w:val="24"/>
              </w:rPr>
              <w:t>收集后委托环卫部门清运</w:t>
            </w:r>
            <w:r>
              <w:rPr>
                <w:sz w:val="24"/>
              </w:rPr>
              <w:t>，不外排。</w:t>
            </w:r>
          </w:p>
          <w:p>
            <w:pPr>
              <w:adjustRightInd w:val="0"/>
              <w:spacing w:line="360" w:lineRule="auto"/>
              <w:ind w:firstLine="481" w:firstLineChars="200"/>
              <w:rPr>
                <w:b/>
                <w:sz w:val="24"/>
              </w:rPr>
            </w:pPr>
            <w:r>
              <w:rPr>
                <w:rFonts w:hint="eastAsia"/>
                <w:b/>
                <w:sz w:val="24"/>
              </w:rPr>
              <w:t>（2）</w:t>
            </w:r>
            <w:r>
              <w:rPr>
                <w:b/>
                <w:sz w:val="24"/>
              </w:rPr>
              <w:t>地下水</w:t>
            </w:r>
          </w:p>
          <w:p>
            <w:pPr>
              <w:adjustRightInd w:val="0"/>
              <w:spacing w:line="360" w:lineRule="auto"/>
              <w:ind w:firstLine="480" w:firstLineChars="200"/>
              <w:rPr>
                <w:sz w:val="24"/>
              </w:rPr>
            </w:pPr>
            <w:r>
              <w:rPr>
                <w:sz w:val="24"/>
              </w:rPr>
              <w:t>根据《环境影响评价技术导则-地下水环境》(HJ610-2016)，地下水评价工作等级的划分应依据建设项目行业类和地下水环境敏感程度进行判定，可划分为一、二、三级。本项目为石材</w:t>
            </w:r>
            <w:r>
              <w:rPr>
                <w:rFonts w:hint="eastAsia"/>
                <w:sz w:val="24"/>
              </w:rPr>
              <w:t>开采</w:t>
            </w:r>
            <w:r>
              <w:rPr>
                <w:sz w:val="24"/>
              </w:rPr>
              <w:t>项目，属于</w:t>
            </w:r>
            <w:r>
              <w:rPr>
                <w:rFonts w:ascii="宋体"/>
                <w:sz w:val="24"/>
              </w:rPr>
              <w:t>Ⅳ</w:t>
            </w:r>
            <w:r>
              <w:rPr>
                <w:sz w:val="24"/>
              </w:rPr>
              <w:t>类项目，处于地下水环境不敏感区域，地下水环境影响评价等级为三级。</w:t>
            </w:r>
          </w:p>
          <w:p>
            <w:pPr>
              <w:spacing w:line="360" w:lineRule="auto"/>
              <w:ind w:firstLine="480" w:firstLineChars="200"/>
              <w:rPr>
                <w:sz w:val="24"/>
              </w:rPr>
            </w:pPr>
            <w:r>
              <w:rPr>
                <w:sz w:val="24"/>
              </w:rPr>
              <w:t>本项目不处于集中式饮用水水源保护区及其补给径流区，不处于分散式饮用水水源地，不处于特殊地下水资源（如矿泉水、温泉等）保护区等地下水敏感和较敏感区。车辆冲洗废水主要成分为悬浮物，经沉淀池沉淀处理，回用于</w:t>
            </w:r>
            <w:r>
              <w:rPr>
                <w:rFonts w:hint="eastAsia"/>
                <w:sz w:val="24"/>
              </w:rPr>
              <w:t>车辆清洗</w:t>
            </w:r>
            <w:r>
              <w:rPr>
                <w:sz w:val="24"/>
              </w:rPr>
              <w:t>，无外排；生活污水</w:t>
            </w:r>
            <w:r>
              <w:rPr>
                <w:rFonts w:hint="eastAsia"/>
                <w:sz w:val="24"/>
              </w:rPr>
              <w:t>经</w:t>
            </w:r>
            <w:r>
              <w:rPr>
                <w:sz w:val="24"/>
              </w:rPr>
              <w:t>化粪池</w:t>
            </w:r>
            <w:r>
              <w:rPr>
                <w:rFonts w:hint="eastAsia"/>
                <w:sz w:val="24"/>
              </w:rPr>
              <w:t>收集后委托环卫部门清运</w:t>
            </w:r>
            <w:r>
              <w:rPr>
                <w:sz w:val="24"/>
              </w:rPr>
              <w:t>，不外排。</w:t>
            </w:r>
          </w:p>
          <w:p>
            <w:pPr>
              <w:spacing w:line="360" w:lineRule="auto"/>
              <w:ind w:firstLine="480" w:firstLineChars="200"/>
              <w:rPr>
                <w:rFonts w:hAnsi="宋体"/>
                <w:sz w:val="24"/>
              </w:rPr>
            </w:pPr>
            <w:r>
              <w:rPr>
                <w:rFonts w:hAnsi="宋体"/>
                <w:sz w:val="24"/>
              </w:rPr>
              <w:t>为防止项目污染地下水，采用以下地下水污染源及防治措施：</w:t>
            </w:r>
          </w:p>
          <w:p>
            <w:pPr>
              <w:spacing w:line="360" w:lineRule="auto"/>
              <w:ind w:firstLine="480" w:firstLineChars="200"/>
              <w:rPr>
                <w:rFonts w:hAnsi="宋体"/>
                <w:sz w:val="24"/>
              </w:rPr>
            </w:pPr>
            <w:r>
              <w:rPr>
                <w:rFonts w:hint="eastAsia" w:ascii="宋体" w:hAnsi="宋体" w:cs="宋体"/>
                <w:kern w:val="0"/>
                <w:sz w:val="24"/>
              </w:rPr>
              <w:t>①</w:t>
            </w:r>
            <w:r>
              <w:rPr>
                <w:rFonts w:hAnsi="宋体"/>
                <w:sz w:val="24"/>
              </w:rPr>
              <w:t>项目</w:t>
            </w:r>
            <w:r>
              <w:rPr>
                <w:rFonts w:hint="eastAsia" w:hAnsi="宋体"/>
                <w:sz w:val="24"/>
              </w:rPr>
              <w:t>设置危废仓库，应进行重点防渗</w:t>
            </w:r>
            <w:r>
              <w:rPr>
                <w:rFonts w:hAnsi="宋体"/>
                <w:sz w:val="24"/>
              </w:rPr>
              <w:t>。</w:t>
            </w:r>
          </w:p>
          <w:p>
            <w:pPr>
              <w:spacing w:line="360" w:lineRule="auto"/>
              <w:ind w:firstLine="480" w:firstLineChars="200"/>
              <w:rPr>
                <w:sz w:val="24"/>
              </w:rPr>
            </w:pPr>
            <w:r>
              <w:rPr>
                <w:rFonts w:hAnsi="宋体"/>
                <w:sz w:val="24"/>
              </w:rPr>
              <w:t>进出口设置</w:t>
            </w:r>
            <w:r>
              <w:rPr>
                <w:sz w:val="24"/>
              </w:rPr>
              <w:t>0.2 m</w:t>
            </w:r>
            <w:r>
              <w:rPr>
                <w:rFonts w:hAnsi="宋体"/>
                <w:sz w:val="24"/>
              </w:rPr>
              <w:t>高的墁坡，并对墙体及地面做防腐、防渗措施。</w:t>
            </w:r>
            <w:r>
              <w:rPr>
                <w:rFonts w:hint="eastAsia"/>
                <w:sz w:val="24"/>
              </w:rPr>
              <w:t>仓储间内基础防渗层应符合下列规定：高密度聚乙烯（HDPE）膜的厚度不宜小于1.50mm；膜上、膜下应设置保护层，保护层可采用长丝无纺土工布，膜下保护层也可采用不含尖锐颗粒的砂层，厚度不宜小于100mm。</w:t>
            </w:r>
          </w:p>
          <w:p>
            <w:pPr>
              <w:autoSpaceDE w:val="0"/>
              <w:autoSpaceDN w:val="0"/>
              <w:spacing w:line="360" w:lineRule="auto"/>
              <w:ind w:firstLine="480" w:firstLineChars="200"/>
              <w:rPr>
                <w:kern w:val="0"/>
                <w:sz w:val="24"/>
              </w:rPr>
            </w:pPr>
            <w:r>
              <w:rPr>
                <w:rFonts w:hint="eastAsia" w:ascii="宋体" w:hAnsi="宋体" w:cs="宋体"/>
                <w:kern w:val="0"/>
                <w:sz w:val="24"/>
              </w:rPr>
              <w:t>②</w:t>
            </w:r>
            <w:r>
              <w:rPr>
                <w:rFonts w:hint="eastAsia" w:eastAsia="新宋体"/>
                <w:sz w:val="24"/>
              </w:rPr>
              <w:t>循环沉淀池</w:t>
            </w:r>
            <w:r>
              <w:rPr>
                <w:rFonts w:hint="eastAsia"/>
                <w:spacing w:val="8"/>
                <w:sz w:val="24"/>
              </w:rPr>
              <w:t>等</w:t>
            </w:r>
            <w:r>
              <w:rPr>
                <w:kern w:val="0"/>
                <w:sz w:val="24"/>
              </w:rPr>
              <w:t>防渗措施</w:t>
            </w:r>
            <w:r>
              <w:rPr>
                <w:rFonts w:hint="eastAsia"/>
                <w:kern w:val="0"/>
                <w:sz w:val="24"/>
              </w:rPr>
              <w:t>：</w:t>
            </w:r>
          </w:p>
          <w:p>
            <w:pPr>
              <w:spacing w:line="360" w:lineRule="auto"/>
              <w:ind w:firstLine="480" w:firstLineChars="200"/>
              <w:rPr>
                <w:sz w:val="24"/>
              </w:rPr>
            </w:pPr>
            <w:r>
              <w:rPr>
                <w:rFonts w:hAnsi="宋体"/>
                <w:sz w:val="24"/>
              </w:rPr>
              <w:t>应对</w:t>
            </w:r>
            <w:r>
              <w:rPr>
                <w:rFonts w:hint="eastAsia" w:hAnsi="宋体"/>
                <w:sz w:val="24"/>
              </w:rPr>
              <w:t>各个水池</w:t>
            </w:r>
            <w:r>
              <w:rPr>
                <w:rFonts w:hAnsi="宋体"/>
                <w:sz w:val="24"/>
              </w:rPr>
              <w:t>做防腐、防渗的设计处理。</w:t>
            </w:r>
            <w:r>
              <w:rPr>
                <w:rFonts w:hint="eastAsia"/>
                <w:sz w:val="24"/>
              </w:rPr>
              <w:t>结构厚度不应小于250mm；混凝土的抗渗等级不应低于P8。且水池的内表面应涂刷水泥基渗透结晶型或喷涂聚脲等防水涂料，或在混凝土内掺加水混基渗透结晶型防水剂；水混基渗透结晶型防水涂料厚度不应小于1.0mm；喷涂聚脲防水涂料厚度不应小于1.5mm；当混凝土内掺加水泥基渗透结晶型防水剂时，掺量宜为胶凝材料总量的1%～2%。</w:t>
            </w:r>
          </w:p>
          <w:p>
            <w:pPr>
              <w:spacing w:line="360" w:lineRule="auto"/>
              <w:ind w:firstLine="480" w:firstLineChars="200"/>
              <w:rPr>
                <w:sz w:val="24"/>
              </w:rPr>
            </w:pPr>
            <w:r>
              <w:rPr>
                <w:rFonts w:hint="eastAsia"/>
                <w:sz w:val="24"/>
              </w:rPr>
              <w:t>③化粪池</w:t>
            </w:r>
          </w:p>
          <w:p>
            <w:pPr>
              <w:spacing w:line="360" w:lineRule="auto"/>
              <w:ind w:firstLine="480" w:firstLineChars="200"/>
              <w:rPr>
                <w:sz w:val="24"/>
              </w:rPr>
            </w:pPr>
            <w:r>
              <w:rPr>
                <w:rFonts w:hint="eastAsia"/>
                <w:sz w:val="24"/>
              </w:rPr>
              <w:t>厕所配备防渗化粪池，采用塑料双翁式。</w:t>
            </w:r>
            <w:r>
              <w:rPr>
                <w:sz w:val="24"/>
              </w:rPr>
              <w:t>化粪池建好后，应先试水，观察池是否有渗漏，各池加满水，24小时水位下降1cm以内为不渗漏</w:t>
            </w:r>
            <w:r>
              <w:rPr>
                <w:rFonts w:hint="eastAsia"/>
                <w:sz w:val="24"/>
              </w:rPr>
              <w:t>，如发现渗漏，应更换化粪池。</w:t>
            </w:r>
          </w:p>
          <w:p>
            <w:pPr>
              <w:adjustRightInd w:val="0"/>
              <w:spacing w:line="360" w:lineRule="auto"/>
              <w:ind w:firstLine="480" w:firstLineChars="200"/>
              <w:rPr>
                <w:sz w:val="24"/>
              </w:rPr>
            </w:pPr>
            <w:r>
              <w:rPr>
                <w:rFonts w:hint="eastAsia"/>
                <w:sz w:val="24"/>
              </w:rPr>
              <w:t>通过加强管理、设置防渗措施，本项目对周边地下水影响很小。</w:t>
            </w:r>
          </w:p>
          <w:p>
            <w:pPr>
              <w:spacing w:line="360" w:lineRule="auto"/>
              <w:ind w:firstLine="481" w:firstLineChars="200"/>
              <w:rPr>
                <w:b/>
                <w:sz w:val="24"/>
              </w:rPr>
            </w:pPr>
            <w:r>
              <w:rPr>
                <w:b/>
                <w:sz w:val="24"/>
              </w:rPr>
              <w:t>3、固体废物环境影响分析</w:t>
            </w:r>
          </w:p>
          <w:p>
            <w:pPr>
              <w:spacing w:line="360" w:lineRule="auto"/>
              <w:ind w:firstLine="480" w:firstLineChars="200"/>
              <w:rPr>
                <w:bCs/>
                <w:sz w:val="24"/>
              </w:rPr>
            </w:pPr>
            <w:r>
              <w:rPr>
                <w:rFonts w:hint="eastAsia"/>
                <w:bCs/>
                <w:sz w:val="24"/>
              </w:rPr>
              <w:t>（1）一般固体废物</w:t>
            </w:r>
          </w:p>
          <w:p>
            <w:pPr>
              <w:spacing w:line="360" w:lineRule="auto"/>
              <w:ind w:firstLine="480" w:firstLineChars="200"/>
              <w:rPr>
                <w:bCs/>
                <w:sz w:val="24"/>
              </w:rPr>
            </w:pPr>
            <w:r>
              <w:rPr>
                <w:bCs/>
                <w:sz w:val="24"/>
              </w:rPr>
              <w:t>项目营运期产生的</w:t>
            </w:r>
            <w:r>
              <w:rPr>
                <w:rFonts w:hint="eastAsia"/>
                <w:bCs/>
                <w:sz w:val="24"/>
              </w:rPr>
              <w:t>一般</w:t>
            </w:r>
            <w:r>
              <w:rPr>
                <w:bCs/>
                <w:sz w:val="24"/>
              </w:rPr>
              <w:t>固废是石料切割产生的落地尘、洗车台沉渣、</w:t>
            </w:r>
            <w:r>
              <w:rPr>
                <w:rFonts w:hint="eastAsia"/>
                <w:bCs/>
                <w:sz w:val="24"/>
              </w:rPr>
              <w:t>石料开采废石</w:t>
            </w:r>
            <w:r>
              <w:rPr>
                <w:bCs/>
                <w:sz w:val="24"/>
              </w:rPr>
              <w:t>、人员生活垃圾等。石料切割产生的落地尘</w:t>
            </w:r>
            <w:r>
              <w:rPr>
                <w:rFonts w:hint="eastAsia"/>
                <w:bCs/>
                <w:sz w:val="24"/>
              </w:rPr>
              <w:t>、</w:t>
            </w:r>
            <w:r>
              <w:rPr>
                <w:bCs/>
                <w:sz w:val="24"/>
              </w:rPr>
              <w:t>洗车台沉渣经收集作为矿山开采区回填使用，不外排；</w:t>
            </w:r>
            <w:r>
              <w:rPr>
                <w:rFonts w:hint="eastAsia"/>
                <w:bCs/>
                <w:sz w:val="24"/>
              </w:rPr>
              <w:t>石料开采废石</w:t>
            </w:r>
            <w:r>
              <w:rPr>
                <w:rFonts w:hint="eastAsia"/>
                <w:sz w:val="24"/>
              </w:rPr>
              <w:t>首先选择外售</w:t>
            </w:r>
            <w:r>
              <w:rPr>
                <w:sz w:val="24"/>
              </w:rPr>
              <w:t>做蘑菇石、台阶石、路牙石等建筑石料，也可以经破碎处理后做成建筑石子，用于建筑混凝土和公路、铁路建设</w:t>
            </w:r>
            <w:r>
              <w:rPr>
                <w:rFonts w:hint="eastAsia"/>
                <w:sz w:val="24"/>
              </w:rPr>
              <w:t>，</w:t>
            </w:r>
            <w:r>
              <w:rPr>
                <w:sz w:val="24"/>
              </w:rPr>
              <w:t>剩余废石均用于矿区附近废采坑的回填，用于矿山地质环境治理工作</w:t>
            </w:r>
            <w:r>
              <w:rPr>
                <w:bCs/>
                <w:sz w:val="24"/>
              </w:rPr>
              <w:t>，不外排。厂区人员生活垃圾经集中收集委托环卫部门定期清运处理。</w:t>
            </w:r>
          </w:p>
          <w:p>
            <w:pPr>
              <w:spacing w:line="360" w:lineRule="auto"/>
              <w:ind w:firstLine="480" w:firstLineChars="200"/>
              <w:rPr>
                <w:bCs/>
                <w:sz w:val="24"/>
              </w:rPr>
            </w:pPr>
            <w:r>
              <w:rPr>
                <w:bCs/>
                <w:sz w:val="24"/>
              </w:rPr>
              <w:t>综上，本项目厂区内产生的</w:t>
            </w:r>
            <w:r>
              <w:rPr>
                <w:rFonts w:hint="eastAsia"/>
                <w:bCs/>
                <w:sz w:val="24"/>
              </w:rPr>
              <w:t>一般</w:t>
            </w:r>
            <w:r>
              <w:rPr>
                <w:bCs/>
                <w:sz w:val="24"/>
              </w:rPr>
              <w:t>固体废物均不在厂区内长期堆存，符合《一般工业固体废物贮存、处置场污染控制标准》（GB18599-2001）及其修改单要求，不会对项目周围环境产生明显的不利影响。</w:t>
            </w:r>
          </w:p>
          <w:p>
            <w:pPr>
              <w:spacing w:line="360" w:lineRule="auto"/>
              <w:ind w:firstLine="480" w:firstLineChars="200"/>
              <w:rPr>
                <w:bCs/>
                <w:sz w:val="24"/>
              </w:rPr>
            </w:pPr>
            <w:r>
              <w:rPr>
                <w:rFonts w:hint="eastAsia"/>
                <w:bCs/>
                <w:sz w:val="24"/>
              </w:rPr>
              <w:t>（2）危险废</w:t>
            </w:r>
          </w:p>
          <w:p>
            <w:pPr>
              <w:spacing w:line="360" w:lineRule="auto"/>
              <w:ind w:firstLine="480" w:firstLineChars="200"/>
              <w:rPr>
                <w:sz w:val="24"/>
              </w:rPr>
            </w:pPr>
            <w:r>
              <w:rPr>
                <w:rFonts w:hint="eastAsia" w:ascii="宋体" w:hAnsi="宋体" w:cs="宋体"/>
                <w:sz w:val="24"/>
              </w:rPr>
              <w:t>废润滑油、废机油</w:t>
            </w:r>
            <w:r>
              <w:rPr>
                <w:rFonts w:hint="eastAsia"/>
                <w:sz w:val="24"/>
              </w:rPr>
              <w:t>单独收集后</w:t>
            </w:r>
            <w:r>
              <w:rPr>
                <w:sz w:val="24"/>
              </w:rPr>
              <w:t>交由资质单位处理</w:t>
            </w:r>
            <w:r>
              <w:rPr>
                <w:rFonts w:hint="eastAsia" w:ascii="宋体" w:hAnsi="宋体" w:cs="宋体"/>
                <w:sz w:val="24"/>
              </w:rPr>
              <w:t>。</w:t>
            </w:r>
            <w:r>
              <w:rPr>
                <w:sz w:val="24"/>
              </w:rPr>
              <w:t>本项目</w:t>
            </w:r>
            <w:r>
              <w:rPr>
                <w:rFonts w:hint="eastAsia"/>
                <w:sz w:val="24"/>
              </w:rPr>
              <w:t>设置1处危险废物暂存间。</w:t>
            </w:r>
            <w:r>
              <w:rPr>
                <w:sz w:val="24"/>
              </w:rPr>
              <w:t>其规范性建设要求：</w:t>
            </w:r>
            <w:r>
              <w:rPr>
                <w:rFonts w:hint="eastAsia" w:ascii="宋体" w:hAnsi="宋体" w:cs="宋体"/>
                <w:sz w:val="24"/>
              </w:rPr>
              <w:t>①</w:t>
            </w:r>
            <w:r>
              <w:rPr>
                <w:sz w:val="24"/>
              </w:rPr>
              <w:t>地面与裙脚要用坚固、防渗的材料建造，建筑材料必须与危险废物相容。</w:t>
            </w:r>
            <w:r>
              <w:rPr>
                <w:rFonts w:hint="eastAsia" w:ascii="宋体" w:hAnsi="宋体" w:cs="宋体"/>
                <w:sz w:val="24"/>
              </w:rPr>
              <w:t>②</w:t>
            </w:r>
            <w:r>
              <w:rPr>
                <w:sz w:val="24"/>
              </w:rPr>
              <w:t>应在易燃、易爆等危险品仓库防护区域以外。</w:t>
            </w:r>
            <w:r>
              <w:rPr>
                <w:rFonts w:hint="eastAsia" w:ascii="宋体" w:hAnsi="宋体" w:cs="宋体"/>
                <w:sz w:val="24"/>
              </w:rPr>
              <w:t>③</w:t>
            </w:r>
            <w:r>
              <w:rPr>
                <w:sz w:val="24"/>
              </w:rPr>
              <w:t>设施内要有安全照明设施和观察窗口。</w:t>
            </w:r>
            <w:r>
              <w:rPr>
                <w:rFonts w:hint="eastAsia" w:ascii="宋体" w:hAnsi="宋体" w:cs="宋体"/>
                <w:sz w:val="24"/>
              </w:rPr>
              <w:t>④</w:t>
            </w:r>
            <w:r>
              <w:rPr>
                <w:sz w:val="24"/>
              </w:rPr>
              <w:t>用以存放危险废物容器的地方，必须有耐腐蚀的硬化地面，且表面无裂隙。</w:t>
            </w:r>
            <w:r>
              <w:rPr>
                <w:rFonts w:hint="eastAsia" w:ascii="宋体" w:hAnsi="宋体" w:cs="宋体"/>
                <w:sz w:val="24"/>
              </w:rPr>
              <w:t>⑤</w:t>
            </w:r>
            <w:r>
              <w:rPr>
                <w:sz w:val="24"/>
              </w:rPr>
              <w:t>基础必须防渗，防渗层为至少1米厚粘土层（渗透系数≤10</w:t>
            </w:r>
            <w:r>
              <w:rPr>
                <w:sz w:val="24"/>
                <w:vertAlign w:val="superscript"/>
              </w:rPr>
              <w:t>-7</w:t>
            </w:r>
            <w:r>
              <w:rPr>
                <w:sz w:val="24"/>
              </w:rPr>
              <w:t>cm/s），或 2 毫米厚高密度聚乙烯，或至少 2 毫米厚的其它人工材料，渗透系数≤10</w:t>
            </w:r>
            <w:r>
              <w:rPr>
                <w:sz w:val="24"/>
                <w:vertAlign w:val="superscript"/>
              </w:rPr>
              <w:t>-10</w:t>
            </w:r>
            <w:r>
              <w:rPr>
                <w:sz w:val="24"/>
              </w:rPr>
              <w:t>cm/s。</w:t>
            </w:r>
            <w:r>
              <w:rPr>
                <w:rFonts w:hint="eastAsia" w:ascii="宋体" w:hAnsi="宋体" w:cs="宋体"/>
                <w:sz w:val="24"/>
              </w:rPr>
              <w:t>⑥</w:t>
            </w:r>
            <w:r>
              <w:rPr>
                <w:sz w:val="24"/>
              </w:rPr>
              <w:t>危险废物堆要防风、防雨、防晒。危险废物产生者和危险废物贮存设施经营者均须作好危险废物情况的记录，记录上须注明危险废物的名称、来源、数量、特性和包装容器的类别、入库日期、存放库位、废物出库日期及接收单位名称。对于危险废物的收集和管理，建设单位应委派专人负责，认真执行《危险废物转移联单管理办法》的规定。</w:t>
            </w:r>
          </w:p>
          <w:p>
            <w:pPr>
              <w:spacing w:line="360" w:lineRule="auto"/>
              <w:ind w:firstLine="480" w:firstLineChars="200"/>
              <w:rPr>
                <w:rFonts w:ascii="宋体" w:hAnsi="宋体" w:cs="宋体"/>
                <w:sz w:val="24"/>
              </w:rPr>
            </w:pPr>
            <w:r>
              <w:rPr>
                <w:rFonts w:hint="eastAsia"/>
                <w:sz w:val="24"/>
              </w:rPr>
              <w:t>危险废物处置符合</w:t>
            </w:r>
            <w:r>
              <w:rPr>
                <w:rFonts w:hAnsi="宋体"/>
                <w:bCs/>
                <w:sz w:val="24"/>
              </w:rPr>
              <w:t>《危险废物贮存污染控制标准》（</w:t>
            </w:r>
            <w:r>
              <w:rPr>
                <w:bCs/>
                <w:sz w:val="24"/>
              </w:rPr>
              <w:t>GB18597-2001</w:t>
            </w:r>
            <w:r>
              <w:rPr>
                <w:rFonts w:hAnsi="宋体"/>
                <w:bCs/>
                <w:sz w:val="24"/>
              </w:rPr>
              <w:t>）及修改单要求，不会对项目周围环境产生不利影响</w:t>
            </w:r>
          </w:p>
          <w:p>
            <w:pPr>
              <w:spacing w:line="360" w:lineRule="auto"/>
              <w:ind w:firstLine="481" w:firstLineChars="200"/>
              <w:rPr>
                <w:b/>
                <w:sz w:val="24"/>
              </w:rPr>
            </w:pPr>
            <w:r>
              <w:rPr>
                <w:b/>
                <w:bCs/>
                <w:sz w:val="24"/>
              </w:rPr>
              <w:t>4、</w:t>
            </w:r>
            <w:r>
              <w:rPr>
                <w:b/>
                <w:sz w:val="24"/>
              </w:rPr>
              <w:t>噪声环境影响分析</w:t>
            </w:r>
          </w:p>
          <w:p>
            <w:pPr>
              <w:spacing w:line="360" w:lineRule="auto"/>
              <w:ind w:firstLine="480" w:firstLineChars="200"/>
              <w:rPr>
                <w:sz w:val="24"/>
              </w:rPr>
            </w:pPr>
            <w:r>
              <w:rPr>
                <w:sz w:val="24"/>
              </w:rPr>
              <w:t>项目建成后主要生产机械设备均属高噪声源。最高噪声级可达90dB(A)，根据项目建成后的噪声特点，未经批准禁止在晚间22:00 至次日的6:00 之间从事生产活动，确保不对项目建设地点周边居民造成影响。</w:t>
            </w:r>
          </w:p>
          <w:p>
            <w:pPr>
              <w:spacing w:line="360" w:lineRule="auto"/>
              <w:ind w:firstLine="480" w:firstLineChars="200"/>
              <w:rPr>
                <w:sz w:val="24"/>
              </w:rPr>
            </w:pPr>
            <w:r>
              <w:rPr>
                <w:sz w:val="24"/>
              </w:rPr>
              <w:t>企业设备选型首先选用低噪声设备</w:t>
            </w:r>
            <w:r>
              <w:rPr>
                <w:rFonts w:hint="eastAsia"/>
                <w:sz w:val="24"/>
              </w:rPr>
              <w:t>；</w:t>
            </w:r>
            <w:r>
              <w:rPr>
                <w:sz w:val="24"/>
              </w:rPr>
              <w:t>应采用加大减震基础，安装减震装置，在设备安装及设备连接处可采用减震垫或柔性接头等措施</w:t>
            </w:r>
            <w:r>
              <w:rPr>
                <w:rFonts w:hint="eastAsia"/>
                <w:sz w:val="24"/>
              </w:rPr>
              <w:t>；</w:t>
            </w:r>
            <w:r>
              <w:rPr>
                <w:sz w:val="24"/>
              </w:rPr>
              <w:t>重大产躁设备</w:t>
            </w:r>
            <w:r>
              <w:rPr>
                <w:rFonts w:hint="eastAsia"/>
                <w:sz w:val="24"/>
              </w:rPr>
              <w:t>如</w:t>
            </w:r>
            <w:r>
              <w:rPr>
                <w:sz w:val="24"/>
              </w:rPr>
              <w:t>空压机、电动机等安装隔音罩，在不影响运转的条件下减少噪音产生</w:t>
            </w:r>
            <w:r>
              <w:rPr>
                <w:rFonts w:hint="eastAsia"/>
                <w:sz w:val="24"/>
              </w:rPr>
              <w:t>；</w:t>
            </w:r>
            <w:r>
              <w:rPr>
                <w:sz w:val="24"/>
              </w:rPr>
              <w:t>加强设备的巡检和维护，防止因机械摩擦产生噪音</w:t>
            </w:r>
            <w:r>
              <w:rPr>
                <w:rFonts w:hint="eastAsia"/>
                <w:sz w:val="24"/>
              </w:rPr>
              <w:t>；</w:t>
            </w:r>
            <w:r>
              <w:rPr>
                <w:sz w:val="24"/>
              </w:rPr>
              <w:t>同时厂区设施合理布局，并将</w:t>
            </w:r>
            <w:r>
              <w:rPr>
                <w:rFonts w:hint="eastAsia"/>
                <w:sz w:val="24"/>
              </w:rPr>
              <w:t>高噪声</w:t>
            </w:r>
            <w:r>
              <w:rPr>
                <w:sz w:val="24"/>
              </w:rPr>
              <w:t>设备布置在</w:t>
            </w:r>
            <w:r>
              <w:rPr>
                <w:rFonts w:hint="eastAsia"/>
                <w:sz w:val="24"/>
              </w:rPr>
              <w:t>远离场界位置；场界四周</w:t>
            </w:r>
            <w:r>
              <w:rPr>
                <w:sz w:val="24"/>
              </w:rPr>
              <w:t>进行绿化</w:t>
            </w:r>
            <w:r>
              <w:rPr>
                <w:rFonts w:hint="eastAsia"/>
                <w:sz w:val="24"/>
              </w:rPr>
              <w:t>隔离带</w:t>
            </w:r>
            <w:r>
              <w:rPr>
                <w:sz w:val="24"/>
              </w:rPr>
              <w:t>。</w:t>
            </w:r>
          </w:p>
          <w:p>
            <w:pPr>
              <w:spacing w:line="360" w:lineRule="auto"/>
              <w:ind w:firstLine="480" w:firstLineChars="200"/>
              <w:rPr>
                <w:sz w:val="24"/>
              </w:rPr>
            </w:pPr>
            <w:r>
              <w:rPr>
                <w:sz w:val="24"/>
              </w:rPr>
              <w:t>采用上述预测模式，预测表明执行上述降噪措施后，经过厂区距离衰减，厂界噪声昼间≤60dB(A)，</w:t>
            </w:r>
            <w:r>
              <w:rPr>
                <w:rFonts w:hint="eastAsia"/>
                <w:sz w:val="24"/>
              </w:rPr>
              <w:t>夜间不生产，</w:t>
            </w:r>
            <w:r>
              <w:rPr>
                <w:sz w:val="24"/>
              </w:rPr>
              <w:t>达到《工业企业厂界环境噪声排放标准》（GB12348-2008）2 类标准。</w:t>
            </w:r>
          </w:p>
          <w:p>
            <w:pPr>
              <w:spacing w:line="360" w:lineRule="auto"/>
              <w:ind w:firstLine="481" w:firstLineChars="200"/>
              <w:rPr>
                <w:b/>
                <w:sz w:val="24"/>
              </w:rPr>
            </w:pPr>
            <w:r>
              <w:rPr>
                <w:b/>
                <w:sz w:val="24"/>
              </w:rPr>
              <w:t>5、生态环境影响分析</w:t>
            </w:r>
          </w:p>
          <w:p>
            <w:pPr>
              <w:spacing w:line="360" w:lineRule="auto"/>
              <w:ind w:firstLine="480" w:firstLineChars="200"/>
              <w:rPr>
                <w:sz w:val="24"/>
              </w:rPr>
            </w:pPr>
            <w:r>
              <w:rPr>
                <w:rFonts w:hint="eastAsia"/>
                <w:sz w:val="24"/>
              </w:rPr>
              <w:t>场地现状为采石矿区，矿区内大部分为已开采区，仅有少量荒地。</w:t>
            </w:r>
            <w:r>
              <w:rPr>
                <w:sz w:val="24"/>
              </w:rPr>
              <w:t>采矿对生态环境的影响包括对土地功能类型的影响、对生物多样性和生物量的影响、对水土流失的影响、对生物流通的影响、对景观的影响、对生态系统的影响、对生态环境质量的影响等方面。</w:t>
            </w:r>
          </w:p>
          <w:p>
            <w:pPr>
              <w:spacing w:line="360" w:lineRule="auto"/>
              <w:ind w:firstLine="480" w:firstLineChars="200"/>
              <w:rPr>
                <w:sz w:val="24"/>
              </w:rPr>
            </w:pPr>
            <w:r>
              <w:rPr>
                <w:sz w:val="24"/>
              </w:rPr>
              <w:t>（1）对土地功能类型的影响</w:t>
            </w:r>
          </w:p>
          <w:p>
            <w:pPr>
              <w:spacing w:line="360" w:lineRule="auto"/>
              <w:ind w:firstLine="480" w:firstLineChars="200"/>
              <w:rPr>
                <w:sz w:val="24"/>
              </w:rPr>
            </w:pPr>
            <w:r>
              <w:rPr>
                <w:sz w:val="24"/>
              </w:rPr>
              <w:t>矿山的开采将改变原有矿山土地利用类型，运营期矿区内原有</w:t>
            </w:r>
            <w:r>
              <w:rPr>
                <w:rFonts w:hint="eastAsia"/>
                <w:sz w:val="24"/>
              </w:rPr>
              <w:t>的少量</w:t>
            </w:r>
            <w:r>
              <w:rPr>
                <w:sz w:val="24"/>
              </w:rPr>
              <w:t>荒草地消失，服务期满后采取覆土植树等措施后，将变为林地。</w:t>
            </w:r>
          </w:p>
          <w:p>
            <w:pPr>
              <w:spacing w:line="360" w:lineRule="auto"/>
              <w:ind w:firstLine="480" w:firstLineChars="200"/>
              <w:rPr>
                <w:sz w:val="24"/>
              </w:rPr>
            </w:pPr>
            <w:r>
              <w:rPr>
                <w:sz w:val="24"/>
              </w:rPr>
              <w:t>（2）对生物多样性和生物量的影响</w:t>
            </w:r>
          </w:p>
          <w:p>
            <w:pPr>
              <w:spacing w:line="360" w:lineRule="auto"/>
              <w:ind w:firstLine="480" w:firstLineChars="200"/>
              <w:rPr>
                <w:sz w:val="24"/>
              </w:rPr>
            </w:pPr>
            <w:r>
              <w:rPr>
                <w:sz w:val="24"/>
              </w:rPr>
              <w:t>矿山开采将在一定程度上造成生物量的减少，尤其是因为永久性占地的使用造成植被的严重破坏，由于项目矿山区域</w:t>
            </w:r>
            <w:r>
              <w:rPr>
                <w:rFonts w:hint="eastAsia"/>
                <w:sz w:val="24"/>
              </w:rPr>
              <w:t>大部分为已开采区，</w:t>
            </w:r>
            <w:r>
              <w:rPr>
                <w:sz w:val="24"/>
              </w:rPr>
              <w:t>无珍稀物种，生物类型在区域内广泛存在，因此，本项目矿山开采对生物多样性影响较小； 矿区开采完毕后由于采取覆土植树等措施，植被数量将得到恢复。</w:t>
            </w:r>
          </w:p>
          <w:p>
            <w:pPr>
              <w:spacing w:line="360" w:lineRule="auto"/>
              <w:ind w:firstLine="480" w:firstLineChars="200"/>
              <w:rPr>
                <w:sz w:val="24"/>
              </w:rPr>
            </w:pPr>
            <w:r>
              <w:rPr>
                <w:sz w:val="24"/>
              </w:rPr>
              <w:t>（3）对水土流失的影响:</w:t>
            </w:r>
          </w:p>
          <w:p>
            <w:pPr>
              <w:spacing w:line="360" w:lineRule="auto"/>
              <w:ind w:firstLine="480" w:firstLineChars="200"/>
              <w:rPr>
                <w:sz w:val="24"/>
              </w:rPr>
            </w:pPr>
            <w:r>
              <w:rPr>
                <w:sz w:val="24"/>
              </w:rPr>
              <w:t>本项目对矿山的开采，破坏了原有覆盖的植被，致使水土流失更加严重，根据项目区域特点，建立分区防治措施体系，主要内容如下：</w:t>
            </w:r>
          </w:p>
          <w:p>
            <w:pPr>
              <w:spacing w:line="360" w:lineRule="auto"/>
              <w:ind w:firstLine="480" w:firstLineChars="200"/>
              <w:rPr>
                <w:sz w:val="24"/>
              </w:rPr>
            </w:pPr>
            <w:r>
              <w:rPr>
                <w:rFonts w:hint="eastAsia" w:ascii="宋体" w:hAnsi="宋体" w:cs="宋体"/>
                <w:kern w:val="0"/>
                <w:sz w:val="24"/>
              </w:rPr>
              <w:t>①</w:t>
            </w:r>
            <w:r>
              <w:rPr>
                <w:sz w:val="24"/>
              </w:rPr>
              <w:t>采矿区</w:t>
            </w:r>
          </w:p>
          <w:p>
            <w:pPr>
              <w:spacing w:line="360" w:lineRule="auto"/>
              <w:ind w:firstLine="480" w:firstLineChars="200"/>
              <w:rPr>
                <w:sz w:val="24"/>
              </w:rPr>
            </w:pPr>
            <w:r>
              <w:rPr>
                <w:sz w:val="24"/>
              </w:rPr>
              <w:t>本矿山为已开采矿山，前期剥离工作已经完成，由于表土剥离及矿石采掘，原有地表植被遭到彻底破坏，采矿区区地表裸露，坡度加大，固体松散物质增多，在降雨径流的冲刷下，蓄水保土能力降低，水土流失强度加大。因此水土保持方案主要为覆土绿化：</w:t>
            </w:r>
          </w:p>
          <w:p>
            <w:pPr>
              <w:spacing w:line="360" w:lineRule="auto"/>
              <w:ind w:firstLine="480" w:firstLineChars="200"/>
              <w:rPr>
                <w:sz w:val="24"/>
              </w:rPr>
            </w:pPr>
            <w:r>
              <w:rPr>
                <w:sz w:val="24"/>
              </w:rPr>
              <w:t>采矿场平台在开采过程中设3%的坡度，雨水自流汇集至贮水池；运输道路两侧设排水沟，在雨季安排专人清理维护排水沟；采矿坑底部设贮水池，可容纳矿区8小时的汇水量</w:t>
            </w:r>
            <w:r>
              <w:rPr>
                <w:rFonts w:hint="eastAsia"/>
                <w:sz w:val="24"/>
              </w:rPr>
              <w:t>，同时</w:t>
            </w:r>
            <w:r>
              <w:rPr>
                <w:sz w:val="24"/>
              </w:rPr>
              <w:t>进行机械排水。矿区开采结束后，对开采平台进行清理，先将矿区平整，覆土采用矿区剥离表土。对采矿区进行植树种草，开采平台边坡采用根系较发达的攀缘植物进行绿化。</w:t>
            </w:r>
          </w:p>
          <w:p>
            <w:pPr>
              <w:spacing w:line="360" w:lineRule="auto"/>
              <w:ind w:firstLine="480" w:firstLineChars="200"/>
              <w:rPr>
                <w:sz w:val="24"/>
              </w:rPr>
            </w:pPr>
            <w:r>
              <w:rPr>
                <w:rFonts w:hint="eastAsia" w:ascii="宋体" w:hAnsi="宋体" w:cs="宋体"/>
                <w:sz w:val="24"/>
              </w:rPr>
              <w:t>②</w:t>
            </w:r>
            <w:r>
              <w:rPr>
                <w:sz w:val="24"/>
              </w:rPr>
              <w:t>矿山道路</w:t>
            </w:r>
          </w:p>
          <w:p>
            <w:pPr>
              <w:spacing w:line="360" w:lineRule="auto"/>
              <w:ind w:firstLine="480" w:firstLineChars="200"/>
              <w:rPr>
                <w:sz w:val="24"/>
              </w:rPr>
            </w:pPr>
            <w:r>
              <w:rPr>
                <w:sz w:val="24"/>
              </w:rPr>
              <w:t>采矿结束后，对简易道路进行平整覆土、恢复植被，具体措施为：栽植侧柏，株行距1mx1.5m；覆土种草，覆土30cm，采用剥离表土。</w:t>
            </w:r>
          </w:p>
          <w:p>
            <w:pPr>
              <w:spacing w:line="360" w:lineRule="auto"/>
              <w:ind w:firstLine="480" w:firstLineChars="200"/>
              <w:rPr>
                <w:sz w:val="24"/>
              </w:rPr>
            </w:pPr>
            <w:r>
              <w:rPr>
                <w:sz w:val="24"/>
              </w:rPr>
              <w:t>（4）对生物流通的影响</w:t>
            </w:r>
          </w:p>
          <w:p>
            <w:pPr>
              <w:spacing w:line="360" w:lineRule="auto"/>
              <w:ind w:firstLine="480" w:firstLineChars="200"/>
              <w:rPr>
                <w:sz w:val="24"/>
              </w:rPr>
            </w:pPr>
            <w:r>
              <w:rPr>
                <w:sz w:val="24"/>
              </w:rPr>
              <w:t>本项目运营期将会在较小程度上减少生物流通量，随着开采期的结束，这种影响将会消失。</w:t>
            </w:r>
          </w:p>
          <w:p>
            <w:pPr>
              <w:spacing w:line="360" w:lineRule="auto"/>
              <w:ind w:firstLine="480" w:firstLineChars="200"/>
              <w:rPr>
                <w:sz w:val="24"/>
              </w:rPr>
            </w:pPr>
            <w:r>
              <w:rPr>
                <w:sz w:val="24"/>
              </w:rPr>
              <w:t>（5）对景观的影响</w:t>
            </w:r>
          </w:p>
          <w:p>
            <w:pPr>
              <w:spacing w:line="360" w:lineRule="auto"/>
              <w:ind w:firstLine="480" w:firstLineChars="200"/>
              <w:rPr>
                <w:sz w:val="24"/>
              </w:rPr>
            </w:pPr>
            <w:r>
              <w:rPr>
                <w:sz w:val="24"/>
              </w:rPr>
              <w:t>本项目对景观的影响主要表现为对景观结构的影响和对景观功能的影响两方面。原来的山丘高度逐渐降低，最后变为洼地，植被覆盖由林地、荒地变为裸观结构地，后又被覆土建成人工农田、林地，评价区绿化覆盖率增加。景观功能的影响：项目建成后景观仍以自然景观为主，矿山的开采会带动本区的经济发展，促进区域经济发展。因此，本项目的建设不会导致矿区生态功能的变化，植被覆盖虽然在一定程度上发生性质和数量的变化，但基本功能仍为植被栖息地。</w:t>
            </w:r>
          </w:p>
          <w:p>
            <w:pPr>
              <w:spacing w:line="360" w:lineRule="auto"/>
              <w:ind w:firstLine="480" w:firstLineChars="200"/>
              <w:rPr>
                <w:sz w:val="24"/>
              </w:rPr>
            </w:pPr>
            <w:r>
              <w:rPr>
                <w:sz w:val="24"/>
              </w:rPr>
              <w:t>（6）对生态系统的影响</w:t>
            </w:r>
          </w:p>
          <w:p>
            <w:pPr>
              <w:spacing w:line="360" w:lineRule="auto"/>
              <w:ind w:firstLine="480" w:firstLineChars="200"/>
              <w:rPr>
                <w:sz w:val="24"/>
              </w:rPr>
            </w:pPr>
            <w:r>
              <w:rPr>
                <w:sz w:val="24"/>
              </w:rPr>
              <w:t>矿区开采虽然破坏了原有植被，但是由于矿区植被均为矿区所在区域常见的物种，该区域原有物种组成不会有很大的变化，因此本项目对本地区的原有物种多样性和生态系统的稳定性影响不大。</w:t>
            </w:r>
          </w:p>
          <w:p>
            <w:pPr>
              <w:spacing w:line="360" w:lineRule="auto"/>
              <w:ind w:firstLine="480" w:firstLineChars="200"/>
              <w:rPr>
                <w:sz w:val="24"/>
              </w:rPr>
            </w:pPr>
            <w:r>
              <w:rPr>
                <w:sz w:val="24"/>
              </w:rPr>
              <w:t>（7）对生态环境质量的影响</w:t>
            </w:r>
          </w:p>
          <w:p>
            <w:pPr>
              <w:spacing w:line="360" w:lineRule="auto"/>
              <w:ind w:firstLine="480" w:firstLineChars="200"/>
              <w:rPr>
                <w:sz w:val="24"/>
              </w:rPr>
            </w:pPr>
            <w:r>
              <w:rPr>
                <w:sz w:val="24"/>
              </w:rPr>
              <w:t>采取以上措施后，矿区植被的变化是：矿区内的林地、荒草地等植被逐渐消失，生态恢复绿地从无到有再到大幅增加。评价区景观结构将发生一定变化：一是地貌形态，原来的山丘高度逐渐降低，最后变为洼地；二是矿区内植被覆盖由荒草地和林地等变为裸地，后又被复土建成人工园林和耕地；三是绿化覆盖率增加。实施水土保持措施后，绿地面积大为增加，评价区的水土流失模数明显降低，水土流失量比先前有较大降低。</w:t>
            </w:r>
          </w:p>
          <w:p>
            <w:pPr>
              <w:spacing w:line="360" w:lineRule="auto"/>
              <w:ind w:firstLine="480" w:firstLineChars="200"/>
              <w:rPr>
                <w:sz w:val="24"/>
              </w:rPr>
            </w:pPr>
            <w:r>
              <w:rPr>
                <w:sz w:val="24"/>
              </w:rPr>
              <w:t>矿区采终后，由于矿区开采区进行绿化，植物生物量将比生产运营期(开采期)明显增加。矿区内开采区复垦后，矿区绿化形成的绿地与周围林地等景观连接为一体，改善了当地的生态环境质量。</w:t>
            </w:r>
          </w:p>
          <w:p>
            <w:pPr>
              <w:spacing w:line="360" w:lineRule="auto"/>
              <w:ind w:firstLine="481" w:firstLineChars="200"/>
              <w:rPr>
                <w:b/>
                <w:sz w:val="24"/>
              </w:rPr>
            </w:pPr>
            <w:r>
              <w:rPr>
                <w:b/>
                <w:sz w:val="24"/>
              </w:rPr>
              <w:t>6、环境风险分析</w:t>
            </w:r>
          </w:p>
          <w:p>
            <w:pPr>
              <w:spacing w:line="360" w:lineRule="auto"/>
              <w:ind w:firstLine="480" w:firstLineChars="200"/>
              <w:rPr>
                <w:sz w:val="24"/>
              </w:rPr>
            </w:pPr>
            <w:r>
              <w:rPr>
                <w:sz w:val="24"/>
              </w:rPr>
              <w:t>环境风险是指突发性事故造成的重大环境污染的事件，其特点是危害大、影响范围广、发生概率具有很大的不确定性。环境风险评价的目的是分析和预测项目存在的潜在危险、有害因素，项目建设和运行期间可能发生的突发性事件或事故（一般不包括人为破坏及自然灾害），引起有毒有害和易燃易爆等物质泄漏，所造成的人身安全、环境影响及其损害程度，提出合理可行的防范、应急与减缓措施，以使建设项目事故率、损失和环境影响达到可接受水平。</w:t>
            </w:r>
          </w:p>
          <w:p>
            <w:pPr>
              <w:spacing w:line="360" w:lineRule="auto"/>
              <w:ind w:firstLine="480" w:firstLineChars="200"/>
              <w:rPr>
                <w:sz w:val="24"/>
              </w:rPr>
            </w:pPr>
            <w:r>
              <w:rPr>
                <w:sz w:val="24"/>
              </w:rPr>
              <w:t>本工程石料生产过程中不涉及危险化学品的储存、使用等环节。本项目的原材料和成品均不是有毒、易燃、易爆物。但在突发性的事故状态下，如不采取有效措施，一旦发生粉尘爆炸事故，将危及人群和周围自然环境。为避免和控制事故的发生，减轻风险事故对周围环境的影响，需对本项目运行过程中可能发生的对环境造成影响的事故风险进行分析。</w:t>
            </w:r>
          </w:p>
          <w:p>
            <w:pPr>
              <w:spacing w:line="360" w:lineRule="auto"/>
              <w:ind w:firstLine="480" w:firstLineChars="200"/>
              <w:rPr>
                <w:sz w:val="24"/>
              </w:rPr>
            </w:pPr>
            <w:r>
              <w:rPr>
                <w:sz w:val="24"/>
              </w:rPr>
              <w:t>在生产过程中存在的主要危险有害因素是粉尘伤害，主要是无组织排放石料粉尘等。</w:t>
            </w:r>
          </w:p>
          <w:p>
            <w:pPr>
              <w:spacing w:line="360" w:lineRule="auto"/>
              <w:ind w:firstLine="480" w:firstLineChars="200"/>
              <w:rPr>
                <w:sz w:val="24"/>
              </w:rPr>
            </w:pPr>
            <w:r>
              <w:rPr>
                <w:sz w:val="24"/>
              </w:rPr>
              <w:t xml:space="preserve">粉尘主要有两大类，无机粉尘和有机粉尘，该项目石料粉尘属无机粉尘中的一种。严重的粉尘污染不仅造成大气环境污染，带使电气设备绝缘水平下降，给企业安全生产和职工的身心健康带来极大危害。煤粉尘是人体健康的大敌，其中直径0.5～5µm之间的飘尘对人的危害最大，它可以直接到达肺细胞而沉积，并可能进入血液布满全身。 </w:t>
            </w:r>
            <w:r>
              <w:rPr>
                <w:sz w:val="24"/>
              </w:rPr>
              <w:br w:type="textWrapping"/>
            </w:r>
            <w:r>
              <w:rPr>
                <w:sz w:val="24"/>
              </w:rPr>
              <w:t>　　粉尘粒子表面有各种有毒物质，进入人体后可引起呼吸道、心肺等方面的疾病。长期在粉尘超标的环境中工作，一方面从业人员易患尘矽肺等职来病，同时也会给企业带来了沉重的经济的负担。</w:t>
            </w:r>
          </w:p>
          <w:p>
            <w:pPr>
              <w:spacing w:line="360" w:lineRule="auto"/>
              <w:ind w:firstLine="480" w:firstLineChars="200"/>
              <w:rPr>
                <w:sz w:val="24"/>
              </w:rPr>
            </w:pPr>
            <w:r>
              <w:rPr>
                <w:sz w:val="24"/>
              </w:rPr>
              <w:t>砂石料粉尘同金属粉尘（如铝粉、镁粉）、合成材粉尘（如塑料粉、染料粉）、林业品粉尘（如纸粉、木粉）等可燃粉尘一样，属于爆炸危险品。当可燃粉尘与空气混合的浓度达到一定的值（爆炸临界浓度）时，若遇有火星、电弧或适当的温度，其氧化反应即在瞬间完成，产生的热量和火焰迅速传给相邻的粉尘，又引起周围的粉尘燃烧放热。一般的燃烧火焰传播速度只是在每秒零点几米，而密集的粉尘燃烧时，火焰传播速度可达几十米乃至几百米。粉尘一旦燃烧时，一连串的连锁反应便在瞬间完成，立即释放出巨大在能量，温度迅速上升，空气急剧膨胀，接下来便会发生可怕的爆炸。粉尘爆炸的最大特点是多次爆炸，因初始爆炸会将沉积的粉尘扬起，在新的空间形成更多的爆炸混合物而再次爆炸。粉尘爆炸实质上是一种特殊的燃烧，它是粉尘粒子表面和氧化作用的结果。</w:t>
            </w:r>
          </w:p>
          <w:p>
            <w:pPr>
              <w:spacing w:line="360" w:lineRule="auto"/>
              <w:ind w:firstLine="480" w:firstLineChars="200"/>
              <w:rPr>
                <w:sz w:val="24"/>
              </w:rPr>
            </w:pPr>
            <w:r>
              <w:rPr>
                <w:sz w:val="24"/>
              </w:rPr>
              <w:t>首先要控制粉尘漂浮，控制粉尘漂浮的方法很多，最常见的就是提高空气中的湿度，粉尘吸水后成了较大的颗粒下沉．就可以达到降低空气中粉尘浓度的目的。但要特别注意的是，金属粉尘遇水则反而会加速燃爆，因此切忌用水喷淋。</w:t>
            </w:r>
          </w:p>
          <w:p>
            <w:pPr>
              <w:spacing w:line="360" w:lineRule="auto"/>
              <w:ind w:firstLine="480" w:firstLineChars="200"/>
              <w:rPr>
                <w:sz w:val="24"/>
              </w:rPr>
            </w:pPr>
            <w:r>
              <w:rPr>
                <w:sz w:val="24"/>
              </w:rPr>
              <w:t>其次，一定要杜绝火源，除防止明火外，还要防止电器火花、工具撞击火花，各种情况下出现的摩擦起火，甚至静电起火。</w:t>
            </w:r>
          </w:p>
          <w:p>
            <w:pPr>
              <w:spacing w:line="360" w:lineRule="auto"/>
              <w:ind w:firstLine="480" w:firstLineChars="200"/>
              <w:rPr>
                <w:sz w:val="24"/>
              </w:rPr>
            </w:pPr>
            <w:r>
              <w:rPr>
                <w:sz w:val="24"/>
              </w:rPr>
              <w:t>另外，粉尘之所以对人体能构成危害，是由于其在尘源处产生后会散布到周围的空气中，造成粉尘在空气中到处弥漫。如果作业人员长时间吸入粉尘，能引起以肺部组织纤维化为主的病变、硬化，丧失正常的呼吸功能，导致尘肺病。尘肺病是无法痊愈的职业病，通过治疗只能减少并发症、延缓病情发展，但不能使肺组织的病变消失。</w:t>
            </w:r>
          </w:p>
          <w:p>
            <w:pPr>
              <w:spacing w:line="360" w:lineRule="auto"/>
              <w:ind w:firstLine="480" w:firstLineChars="200"/>
              <w:rPr>
                <w:sz w:val="24"/>
              </w:rPr>
            </w:pPr>
            <w:r>
              <w:rPr>
                <w:sz w:val="24"/>
              </w:rPr>
              <w:t>影响粉尘作业危害程度大小的因素主要有：</w:t>
            </w:r>
          </w:p>
          <w:p>
            <w:pPr>
              <w:spacing w:line="360" w:lineRule="auto"/>
              <w:ind w:firstLine="480" w:firstLineChars="200"/>
              <w:rPr>
                <w:sz w:val="24"/>
              </w:rPr>
            </w:pPr>
            <w:r>
              <w:rPr>
                <w:sz w:val="24"/>
              </w:rPr>
              <w:t>①“作业人员在一个工作日的接尘时间内吸入含有粉尘的空气总体积”。在接触同一种性质的粉尘的作业中，由于人员所处的生产条件不同，劳动强度及接触粉尘作业持续时间不同，则实际吸入到肺部的粉尘量亦不同。吸入量越大，对人的危害就越大。</w:t>
            </w:r>
          </w:p>
          <w:p>
            <w:pPr>
              <w:spacing w:line="360" w:lineRule="auto"/>
              <w:ind w:firstLine="480" w:firstLineChars="200"/>
              <w:rPr>
                <w:sz w:val="24"/>
              </w:rPr>
            </w:pPr>
            <w:r>
              <w:rPr>
                <w:sz w:val="24"/>
              </w:rPr>
              <w:t>②“粉尘浓度超过国家标准的倍数”。作业环境中粉尘超标倍数越大，对作业人员的危害就越大。</w:t>
            </w:r>
          </w:p>
          <w:p>
            <w:pPr>
              <w:spacing w:line="360" w:lineRule="auto"/>
              <w:ind w:firstLine="480" w:firstLineChars="200"/>
              <w:rPr>
                <w:sz w:val="24"/>
              </w:rPr>
            </w:pPr>
            <w:r>
              <w:rPr>
                <w:sz w:val="24"/>
              </w:rPr>
              <w:t>小结（1）本项目具有潜在的事故风险，虽然其风险值处于可接受水平，但企业也不能掉以轻心，应从建设、生产、储运等方面积极采取防护措施。企业必须采取本评价提出的相关风险防范措施，以防止潜在风险事故地发生。（2）为了防范事故和减少危害，需根据企业实际情况制定灾害事故的应急预案。当出现事故时，采取紧急的工程应急措施，以控制事故和减少对环境造成的危害。</w:t>
            </w:r>
          </w:p>
          <w:p>
            <w:pPr>
              <w:numPr>
                <w:ilvl w:val="0"/>
                <w:numId w:val="4"/>
              </w:numPr>
              <w:spacing w:line="360" w:lineRule="auto"/>
              <w:ind w:firstLine="481" w:firstLineChars="200"/>
              <w:rPr>
                <w:b/>
                <w:bCs/>
                <w:sz w:val="24"/>
              </w:rPr>
            </w:pPr>
            <w:r>
              <w:rPr>
                <w:rFonts w:hint="eastAsia"/>
                <w:b/>
                <w:bCs/>
                <w:sz w:val="24"/>
              </w:rPr>
              <w:t>文物保护措施</w:t>
            </w:r>
          </w:p>
          <w:p>
            <w:pPr>
              <w:pStyle w:val="26"/>
              <w:spacing w:before="0" w:beforeAutospacing="0" w:afterLines="0" w:line="500" w:lineRule="exact"/>
              <w:rPr>
                <w:rFonts w:ascii="宋体" w:hAnsi="宋体"/>
              </w:rPr>
            </w:pPr>
            <w:r>
              <w:rPr>
                <w:rFonts w:hint="eastAsia" w:ascii="宋体" w:hAnsi="宋体"/>
              </w:rPr>
              <w:t>项目区南侧为</w:t>
            </w:r>
            <w:r>
              <w:t>水牛山文物保护区</w:t>
            </w:r>
            <w:r>
              <w:rPr>
                <w:rFonts w:hint="eastAsia"/>
              </w:rPr>
              <w:t>，本项目生产</w:t>
            </w:r>
            <w:r>
              <w:rPr>
                <w:rFonts w:hint="eastAsia" w:ascii="宋体" w:hAnsi="宋体"/>
              </w:rPr>
              <w:t>范围不在该文物保护范围内。</w:t>
            </w:r>
          </w:p>
          <w:p>
            <w:pPr>
              <w:pStyle w:val="26"/>
              <w:spacing w:before="0" w:beforeAutospacing="0" w:afterLines="0" w:line="500" w:lineRule="exact"/>
              <w:rPr>
                <w:rFonts w:ascii="宋体" w:hAnsi="宋体"/>
              </w:rPr>
            </w:pPr>
            <w:r>
              <w:rPr>
                <w:rFonts w:hint="eastAsia" w:ascii="宋体" w:hAnsi="宋体"/>
              </w:rPr>
              <w:t>根据《</w:t>
            </w:r>
            <w:r>
              <w:rPr>
                <w:rFonts w:ascii="宋体" w:hAnsi="宋体"/>
              </w:rPr>
              <w:t>中华人民共和国文物保护法</w:t>
            </w:r>
            <w:r>
              <w:rPr>
                <w:rFonts w:hint="eastAsia" w:ascii="宋体" w:hAnsi="宋体"/>
              </w:rPr>
              <w:t>》：“</w:t>
            </w:r>
            <w:r>
              <w:rPr>
                <w:rFonts w:ascii="宋体" w:hAnsi="宋体"/>
              </w:rPr>
              <w:t>需要在文物保护单位的保护范围内进行建设工程作业的，必须保证文物保护单位的安全，</w:t>
            </w:r>
            <w:r>
              <w:rPr>
                <w:rFonts w:hint="eastAsia" w:ascii="宋体" w:hAnsi="宋体"/>
              </w:rPr>
              <w:t>给出文物保护方案，</w:t>
            </w:r>
            <w:r>
              <w:rPr>
                <w:rFonts w:ascii="宋体" w:hAnsi="宋体"/>
              </w:rPr>
              <w:t>并经核定公布该文物保护单位的人民政府批准</w:t>
            </w:r>
            <w:r>
              <w:rPr>
                <w:rFonts w:hint="eastAsia" w:ascii="宋体" w:hAnsi="宋体"/>
              </w:rPr>
              <w:t>。”</w:t>
            </w:r>
          </w:p>
          <w:p>
            <w:pPr>
              <w:pStyle w:val="26"/>
              <w:spacing w:before="0" w:beforeAutospacing="0" w:afterLines="0" w:line="500" w:lineRule="exact"/>
              <w:rPr>
                <w:rFonts w:ascii="宋体" w:hAnsi="宋体"/>
              </w:rPr>
            </w:pPr>
            <w:r>
              <w:rPr>
                <w:rFonts w:hint="eastAsia" w:ascii="宋体" w:hAnsi="宋体"/>
              </w:rPr>
              <w:t>“</w:t>
            </w:r>
            <w:r>
              <w:rPr>
                <w:rFonts w:ascii="宋体" w:hAnsi="宋体"/>
              </w:rPr>
              <w:t>在文物保护单位的建设控制地带内进行建设工程，工程设计方案应当根据文物保护单位的级别，经相应的文物行政部门同意后，报城乡建设规划部门批准。</w:t>
            </w:r>
            <w:r>
              <w:rPr>
                <w:rFonts w:hint="eastAsia" w:ascii="宋体" w:hAnsi="宋体"/>
              </w:rPr>
              <w:t>”</w:t>
            </w:r>
          </w:p>
          <w:p>
            <w:pPr>
              <w:pStyle w:val="26"/>
              <w:spacing w:before="0" w:beforeAutospacing="0" w:afterLines="0" w:line="500" w:lineRule="exact"/>
              <w:rPr>
                <w:rFonts w:ascii="宋体" w:hAnsi="宋体"/>
              </w:rPr>
            </w:pPr>
            <w:r>
              <w:rPr>
                <w:rFonts w:hint="eastAsia" w:ascii="宋体" w:hAnsi="宋体"/>
              </w:rPr>
              <w:t>本项目进行生产前，应完成文物保护单位勘察报告，提出文物保护方案，并经过相关文物管理部门批准后方可进行生产，营运期落实文物保护措施。</w:t>
            </w:r>
          </w:p>
          <w:p>
            <w:pPr>
              <w:pStyle w:val="26"/>
              <w:spacing w:before="0" w:beforeAutospacing="0" w:afterLines="0" w:line="500" w:lineRule="exact"/>
              <w:rPr>
                <w:rFonts w:ascii="宋体" w:hAnsi="宋体"/>
              </w:rPr>
            </w:pPr>
            <w:r>
              <w:rPr>
                <w:rFonts w:hint="eastAsia" w:ascii="宋体" w:hAnsi="宋体"/>
              </w:rPr>
              <w:t>营运期生产过程中，应确保生产场地范围不得超过批准的开采区域；废石堆场、运输道路避开</w:t>
            </w:r>
            <w:r>
              <w:t>水牛山文物保护区</w:t>
            </w:r>
            <w:r>
              <w:rPr>
                <w:rFonts w:hint="eastAsia" w:ascii="宋体" w:hAnsi="宋体"/>
              </w:rPr>
              <w:t>，减少对该保护区影响。</w:t>
            </w:r>
          </w:p>
          <w:p>
            <w:pPr>
              <w:pStyle w:val="26"/>
              <w:spacing w:before="0" w:beforeAutospacing="0" w:afterLines="0" w:line="500" w:lineRule="exact"/>
              <w:rPr>
                <w:rFonts w:ascii="宋体" w:hAnsi="宋体"/>
              </w:rPr>
            </w:pPr>
            <w:r>
              <w:rPr>
                <w:rFonts w:hint="eastAsia" w:ascii="宋体" w:hAnsi="宋体"/>
              </w:rPr>
              <w:t>在项目区南部靠近</w:t>
            </w:r>
            <w:r>
              <w:t>水牛山文物保护区</w:t>
            </w:r>
            <w:r>
              <w:rPr>
                <w:rFonts w:hint="eastAsia"/>
              </w:rPr>
              <w:t>生产时，需</w:t>
            </w:r>
            <w:r>
              <w:rPr>
                <w:rFonts w:hint="eastAsia" w:ascii="宋体" w:hAnsi="宋体"/>
              </w:rPr>
              <w:t>增加人工操作，尽量避免大量使用大型的机械施工；生产场地与保护区之间设置绿化隔离带，设实体挡墙及加高防尘网进行隔离。</w:t>
            </w:r>
          </w:p>
          <w:p>
            <w:pPr>
              <w:pStyle w:val="26"/>
              <w:spacing w:before="0" w:beforeAutospacing="0" w:afterLines="0" w:line="500" w:lineRule="exact"/>
            </w:pPr>
            <w:r>
              <w:rPr>
                <w:rFonts w:hint="eastAsia" w:ascii="宋体" w:hAnsi="宋体"/>
              </w:rPr>
              <w:t>在建设施工过程中，如发现其他古文物、古遗址，应积极采取保护措施，尽快与有关文物部门联系，协商处理，以保护文物古迹。</w:t>
            </w:r>
          </w:p>
          <w:p>
            <w:pPr>
              <w:spacing w:line="360" w:lineRule="auto"/>
              <w:ind w:firstLine="481" w:firstLineChars="200"/>
              <w:rPr>
                <w:b/>
                <w:sz w:val="24"/>
              </w:rPr>
            </w:pPr>
            <w:r>
              <w:rPr>
                <w:rFonts w:hint="eastAsia"/>
                <w:b/>
                <w:sz w:val="24"/>
              </w:rPr>
              <w:t>8</w:t>
            </w:r>
            <w:r>
              <w:rPr>
                <w:b/>
                <w:sz w:val="24"/>
              </w:rPr>
              <w:t>、水土保持</w:t>
            </w:r>
          </w:p>
          <w:p>
            <w:pPr>
              <w:spacing w:line="360" w:lineRule="auto"/>
              <w:ind w:firstLine="480" w:firstLineChars="200"/>
              <w:rPr>
                <w:sz w:val="24"/>
              </w:rPr>
            </w:pPr>
            <w:r>
              <w:rPr>
                <w:sz w:val="24"/>
              </w:rPr>
              <w:t>本项目开采方式为露天开采，一方面，生产过程中矿区生态环境将遭到不同程度的破坏，造成水土流失：另一方面，生产运行过程排弃的岩土，处理不当容易引发地质灾害。为此，本次设计根据不同水土流失防治区的特点和水土流失状况，结合矿区自然环境及工程施工建设、运行特点，确定水土保持方案为: 采取永久和临时措施相结合、工程和生物措施相结合的原则</w:t>
            </w:r>
            <w:r>
              <w:rPr>
                <w:rFonts w:hint="eastAsia"/>
                <w:sz w:val="24"/>
              </w:rPr>
              <w:t>，</w:t>
            </w:r>
            <w:r>
              <w:rPr>
                <w:sz w:val="24"/>
              </w:rPr>
              <w:t>对各类建设和生产场地可能产生的水土流失进行综合防治。</w:t>
            </w:r>
          </w:p>
          <w:p>
            <w:pPr>
              <w:spacing w:line="360" w:lineRule="auto"/>
              <w:ind w:firstLine="480" w:firstLineChars="200"/>
              <w:rPr>
                <w:sz w:val="24"/>
              </w:rPr>
            </w:pPr>
            <w:r>
              <w:rPr>
                <w:sz w:val="24"/>
              </w:rPr>
              <w:t>1）露天采矿区水土保持措施</w:t>
            </w:r>
          </w:p>
          <w:p>
            <w:pPr>
              <w:spacing w:line="360" w:lineRule="auto"/>
              <w:ind w:firstLine="480" w:firstLineChars="200"/>
              <w:rPr>
                <w:sz w:val="24"/>
              </w:rPr>
            </w:pPr>
            <w:r>
              <w:rPr>
                <w:sz w:val="24"/>
              </w:rPr>
              <w:t>本次设计全面规划，一方面通过确定合理开采方式及开采顺序，减少了初期表层覆盖岩土的剥离量，有效减轻了覆盖层开挖产生的水土流失；另一方面，在防排水方面，优化排水方式及途径，以防止滑坡、泥石流等地质灾害的发生。</w:t>
            </w:r>
          </w:p>
          <w:p>
            <w:pPr>
              <w:spacing w:line="360" w:lineRule="auto"/>
              <w:ind w:firstLine="480" w:firstLineChars="200"/>
              <w:rPr>
                <w:sz w:val="24"/>
              </w:rPr>
            </w:pPr>
            <w:r>
              <w:rPr>
                <w:sz w:val="24"/>
              </w:rPr>
              <w:t>2）矿区道路水土保持措施</w:t>
            </w:r>
          </w:p>
          <w:p>
            <w:pPr>
              <w:spacing w:line="360" w:lineRule="auto"/>
              <w:ind w:firstLine="480" w:firstLineChars="200"/>
              <w:rPr>
                <w:sz w:val="24"/>
              </w:rPr>
            </w:pPr>
            <w:r>
              <w:rPr>
                <w:sz w:val="24"/>
              </w:rPr>
              <w:t>对矿区道路沿线路基、路堑边坡不稳定部分、不良工程地质路段等采取挡护加固措施，弃土石运至指定地点集中堆放，有效防止新增水土流失的产生。</w:t>
            </w:r>
          </w:p>
          <w:p>
            <w:pPr>
              <w:spacing w:line="360" w:lineRule="auto"/>
              <w:ind w:firstLine="480" w:firstLineChars="200"/>
              <w:rPr>
                <w:sz w:val="24"/>
              </w:rPr>
            </w:pPr>
            <w:r>
              <w:rPr>
                <w:sz w:val="24"/>
              </w:rPr>
              <w:t>3）其它建筑场地水土保持措施</w:t>
            </w:r>
          </w:p>
          <w:p>
            <w:pPr>
              <w:spacing w:line="360" w:lineRule="auto"/>
              <w:ind w:firstLine="480" w:firstLineChars="200"/>
              <w:rPr>
                <w:sz w:val="24"/>
              </w:rPr>
            </w:pPr>
            <w:r>
              <w:rPr>
                <w:sz w:val="24"/>
              </w:rPr>
              <w:t>矿区各类建筑物及其它生产设施均按有关规定规范进行设计，场地平整尽量做到挖填方平衡。</w:t>
            </w:r>
          </w:p>
          <w:p>
            <w:pPr>
              <w:widowControl/>
              <w:spacing w:line="360" w:lineRule="auto"/>
              <w:ind w:firstLine="480" w:firstLineChars="200"/>
              <w:jc w:val="left"/>
              <w:rPr>
                <w:sz w:val="24"/>
              </w:rPr>
            </w:pPr>
            <w:r>
              <w:rPr>
                <w:sz w:val="24"/>
              </w:rPr>
              <w:t>4）矿山防洪措施</w:t>
            </w:r>
          </w:p>
          <w:p>
            <w:pPr>
              <w:widowControl/>
              <w:spacing w:line="360" w:lineRule="auto"/>
              <w:ind w:firstLine="480" w:firstLineChars="200"/>
              <w:jc w:val="left"/>
              <w:rPr>
                <w:sz w:val="24"/>
              </w:rPr>
            </w:pPr>
            <w:r>
              <w:rPr>
                <w:sz w:val="24"/>
              </w:rPr>
              <w:t>本矿区主要采矿方式为露天采矿，采场充水的主要因素为大气降水。地表水主要为大气降水，中-大雨时可形成地表径流，一般很难形成地表洪流。矿区防治水主要采取以下方式：采矿场平台在开采过程中设坡度自流汇集；运输道路两侧设排水沟，在雨季安排专人清理维护排水沟；在采矿区四周开采境界的上部设截水沟</w:t>
            </w:r>
            <w:r>
              <w:rPr>
                <w:rFonts w:hint="eastAsia"/>
                <w:sz w:val="24"/>
              </w:rPr>
              <w:t>，</w:t>
            </w:r>
            <w:r>
              <w:rPr>
                <w:sz w:val="24"/>
              </w:rPr>
              <w:t>将采矿区顶部积水引入矿区外部山沟自然排走；在堆矿场周围设排水沟，及时将雨水排走，以防堆矿场内积水，影响生产和工作；频率外强降水时，采矿区最下部台阶允许淹没。</w:t>
            </w:r>
          </w:p>
          <w:p>
            <w:pPr>
              <w:spacing w:line="360" w:lineRule="auto"/>
              <w:ind w:firstLine="481" w:firstLineChars="200"/>
              <w:rPr>
                <w:b/>
                <w:sz w:val="24"/>
              </w:rPr>
            </w:pPr>
            <w:r>
              <w:rPr>
                <w:rFonts w:hint="eastAsia"/>
                <w:b/>
                <w:sz w:val="24"/>
              </w:rPr>
              <w:t>9</w:t>
            </w:r>
            <w:r>
              <w:rPr>
                <w:b/>
                <w:sz w:val="24"/>
              </w:rPr>
              <w:t>、土地复垦</w:t>
            </w:r>
          </w:p>
          <w:p>
            <w:pPr>
              <w:spacing w:line="360" w:lineRule="auto"/>
              <w:ind w:firstLine="480" w:firstLineChars="200"/>
              <w:rPr>
                <w:sz w:val="24"/>
              </w:rPr>
            </w:pPr>
            <w:r>
              <w:rPr>
                <w:sz w:val="24"/>
              </w:rPr>
              <w:t>（1）土地使用情况及复垦预测</w:t>
            </w:r>
          </w:p>
          <w:p>
            <w:pPr>
              <w:spacing w:line="360" w:lineRule="auto"/>
              <w:ind w:firstLine="480" w:firstLineChars="200"/>
              <w:rPr>
                <w:sz w:val="24"/>
              </w:rPr>
            </w:pPr>
            <w:r>
              <w:rPr>
                <w:sz w:val="24"/>
              </w:rPr>
              <w:t>本工程建设和生产对土地的使用主要是露天采矿区的开挖，此外，矿山道路及堆矿场等的建设也将占用一定面积的土地。采矿生产采用露天开采，采矿生产过程将改变地形地貌及原土体结构，形成裸露边坡，并在雨季有发生垮塌等水土流失的可能。</w:t>
            </w:r>
          </w:p>
          <w:p>
            <w:pPr>
              <w:spacing w:line="360" w:lineRule="auto"/>
              <w:ind w:firstLine="480" w:firstLineChars="200"/>
              <w:rPr>
                <w:sz w:val="24"/>
              </w:rPr>
            </w:pPr>
            <w:r>
              <w:rPr>
                <w:sz w:val="24"/>
              </w:rPr>
              <w:t>矿山道路及其它堆矿场等对土地的使用与前述的几种不同，它们主要是转换了原有土地的使用形式，对土地的影响程度相对较小，同时，通过厂区绿化还可部分恢复植</w:t>
            </w:r>
            <w:r>
              <w:rPr>
                <w:sz w:val="24"/>
              </w:rPr>
              <w:br w:type="textWrapping"/>
            </w:r>
            <w:r>
              <w:rPr>
                <w:sz w:val="24"/>
              </w:rPr>
              <w:t>被。</w:t>
            </w:r>
          </w:p>
          <w:p>
            <w:pPr>
              <w:spacing w:line="360" w:lineRule="auto"/>
              <w:ind w:firstLine="480" w:firstLineChars="200"/>
              <w:rPr>
                <w:sz w:val="24"/>
              </w:rPr>
            </w:pPr>
            <w:r>
              <w:rPr>
                <w:sz w:val="24"/>
              </w:rPr>
              <w:t>（2）土地复垦工艺</w:t>
            </w:r>
          </w:p>
          <w:p>
            <w:pPr>
              <w:spacing w:line="360" w:lineRule="auto"/>
              <w:ind w:firstLine="480" w:firstLineChars="200"/>
              <w:rPr>
                <w:sz w:val="24"/>
              </w:rPr>
            </w:pPr>
            <w:r>
              <w:rPr>
                <w:sz w:val="24"/>
              </w:rPr>
              <w:t>①复垦预备性措施</w:t>
            </w:r>
          </w:p>
          <w:p>
            <w:pPr>
              <w:spacing w:line="360" w:lineRule="auto"/>
              <w:ind w:firstLine="480" w:firstLineChars="200"/>
              <w:rPr>
                <w:sz w:val="24"/>
              </w:rPr>
            </w:pPr>
            <w:r>
              <w:rPr>
                <w:sz w:val="24"/>
              </w:rPr>
              <w:t>在进行最终安全平台的清理时，利用前装机对台阶进行浅沟夹层岩土预留，以利于采后的地形地貌恢复。</w:t>
            </w:r>
          </w:p>
          <w:p>
            <w:pPr>
              <w:spacing w:line="360" w:lineRule="auto"/>
              <w:ind w:firstLine="480" w:firstLineChars="200"/>
              <w:rPr>
                <w:sz w:val="24"/>
              </w:rPr>
            </w:pPr>
            <w:r>
              <w:rPr>
                <w:sz w:val="24"/>
              </w:rPr>
              <w:t>②土地复垦措施</w:t>
            </w:r>
          </w:p>
          <w:p>
            <w:pPr>
              <w:spacing w:line="360" w:lineRule="auto"/>
              <w:ind w:firstLine="480" w:firstLineChars="200"/>
              <w:rPr>
                <w:sz w:val="24"/>
              </w:rPr>
            </w:pPr>
            <w:r>
              <w:rPr>
                <w:sz w:val="24"/>
              </w:rPr>
              <w:t>道路和场地的边坡选择植草护坡。主要以恢复地形地貌及防止水土流失为主。</w:t>
            </w:r>
          </w:p>
          <w:p>
            <w:pPr>
              <w:spacing w:line="360" w:lineRule="auto"/>
              <w:ind w:firstLine="480" w:firstLineChars="200"/>
              <w:rPr>
                <w:sz w:val="24"/>
              </w:rPr>
            </w:pPr>
            <w:r>
              <w:rPr>
                <w:sz w:val="24"/>
              </w:rPr>
              <w:t>③土地复垦的目标</w:t>
            </w:r>
          </w:p>
          <w:p>
            <w:pPr>
              <w:spacing w:line="360" w:lineRule="auto"/>
              <w:ind w:firstLine="480" w:firstLineChars="200"/>
              <w:rPr>
                <w:sz w:val="24"/>
              </w:rPr>
            </w:pPr>
            <w:r>
              <w:rPr>
                <w:sz w:val="24"/>
              </w:rPr>
              <w:t>根据《土地复垦技术标准》，明确复垦后的土地及其道路等配套工程设施所应达到的标准。覆土厚度为自然沉实土壤0.5m；覆土后场地平整，地面坡度一般不超过5度；覆土土壤PH 值范围，一般为5.5~8.5，含盐量不大于0.3%；排水设施满足十年一遇排水要求，蓄水池容量需满足复垦区内旱地每亩2m</w:t>
            </w:r>
            <w:r>
              <w:rPr>
                <w:sz w:val="24"/>
                <w:vertAlign w:val="superscript"/>
              </w:rPr>
              <w:t>3</w:t>
            </w:r>
            <w:r>
              <w:rPr>
                <w:sz w:val="24"/>
              </w:rPr>
              <w:t>的抗旱要求。复垦为林地：覆土厚度0.3m；边坡缓坡在35 度以下可以用于一般林木种植。</w:t>
            </w:r>
          </w:p>
          <w:p>
            <w:pPr>
              <w:spacing w:line="360" w:lineRule="auto"/>
              <w:ind w:firstLine="481" w:firstLineChars="200"/>
              <w:rPr>
                <w:b/>
                <w:sz w:val="24"/>
              </w:rPr>
            </w:pPr>
            <w:r>
              <w:rPr>
                <w:rFonts w:hint="eastAsia"/>
                <w:b/>
                <w:sz w:val="24"/>
              </w:rPr>
              <w:t>10</w:t>
            </w:r>
            <w:r>
              <w:rPr>
                <w:b/>
                <w:sz w:val="24"/>
              </w:rPr>
              <w:t>、服务期满后</w:t>
            </w:r>
          </w:p>
          <w:p>
            <w:pPr>
              <w:spacing w:line="360" w:lineRule="auto"/>
              <w:ind w:firstLine="480" w:firstLineChars="200"/>
              <w:rPr>
                <w:sz w:val="24"/>
              </w:rPr>
            </w:pPr>
            <w:r>
              <w:rPr>
                <w:sz w:val="24"/>
              </w:rPr>
              <w:t>本矿山产生的污染物随服务期的结束而结束，采矿区占地造成的生态问题，服务期满后立即实施场地平整、土地整治措施，对矿区覆土造田，恢复生态，增加区域内的耕地面积等措施进行弥补。建设单位应积极配合街头镇政府关于矿区土地复垦的工作。闭坑后应对采坑进行土地复垦，矿山闭坑后根据所处的不同区域、现状和土地可能利用的方向，结合土地利用规划，确定或预设其治理后的功能。按《土地复垦技术标准》规定的相关标准进行复垦后，闭坑时发生地质灾害的可能性较小。</w:t>
            </w:r>
          </w:p>
          <w:p>
            <w:pPr>
              <w:spacing w:line="360" w:lineRule="auto"/>
              <w:ind w:firstLine="480" w:firstLineChars="200"/>
              <w:rPr>
                <w:sz w:val="24"/>
              </w:rPr>
            </w:pPr>
            <w:r>
              <w:rPr>
                <w:sz w:val="24"/>
              </w:rPr>
              <w:t>项目闭坑后，应做好如下环境保护措施：</w:t>
            </w:r>
          </w:p>
          <w:p>
            <w:pPr>
              <w:spacing w:line="360" w:lineRule="auto"/>
              <w:ind w:firstLine="480" w:firstLineChars="200"/>
              <w:rPr>
                <w:sz w:val="24"/>
              </w:rPr>
            </w:pPr>
            <w:r>
              <w:rPr>
                <w:sz w:val="24"/>
              </w:rPr>
              <w:t>①立即清理场地内的散落材料，各种材料应分别堆放，能处理利用的应尽量处理利</w:t>
            </w:r>
            <w:r>
              <w:rPr>
                <w:sz w:val="24"/>
              </w:rPr>
              <w:br w:type="textWrapping"/>
            </w:r>
            <w:r>
              <w:rPr>
                <w:sz w:val="24"/>
              </w:rPr>
              <w:t>用，不能处理利用的堆放时应注意压实，防止水土流失。</w:t>
            </w:r>
          </w:p>
          <w:p>
            <w:pPr>
              <w:spacing w:line="360" w:lineRule="auto"/>
              <w:ind w:firstLine="480" w:firstLineChars="200"/>
              <w:rPr>
                <w:sz w:val="24"/>
              </w:rPr>
            </w:pPr>
            <w:r>
              <w:rPr>
                <w:sz w:val="24"/>
              </w:rPr>
              <w:t>②严格执行矿山闭矿期的审批制度。</w:t>
            </w:r>
          </w:p>
          <w:p>
            <w:pPr>
              <w:spacing w:line="360" w:lineRule="auto"/>
              <w:ind w:firstLine="480" w:firstLineChars="200"/>
              <w:rPr>
                <w:sz w:val="24"/>
              </w:rPr>
            </w:pPr>
            <w:r>
              <w:rPr>
                <w:sz w:val="24"/>
              </w:rPr>
              <w:t>③通过种植树林、植物等植被方式对闭矿后的原料堆场进行复垦，但应按照植被次生演替的基本序列进行植被恢复。并且，所选择的植物应不含人、禽可用果实的植物为宜，避免重金属随人、禽食物链转移，可尽量使用本地草种和植物，即可迅速改善生态环境还具有地方特色同时也和周边的景观保持一致。</w:t>
            </w:r>
          </w:p>
          <w:p>
            <w:pPr>
              <w:spacing w:line="360" w:lineRule="auto"/>
              <w:ind w:firstLine="480" w:firstLineChars="200"/>
              <w:rPr>
                <w:sz w:val="24"/>
              </w:rPr>
            </w:pPr>
            <w:r>
              <w:rPr>
                <w:sz w:val="24"/>
              </w:rPr>
              <w:t>④对矿区范围进行密切监视，一旦发现裂缝、滑坡、泥石流，立即采取相应的措施</w:t>
            </w:r>
            <w:r>
              <w:rPr>
                <w:sz w:val="24"/>
              </w:rPr>
              <w:br w:type="textWrapping"/>
            </w:r>
            <w:r>
              <w:rPr>
                <w:sz w:val="24"/>
              </w:rPr>
              <w:t>减小发生的可能性，加强对植被的恢复，提高矿区范围的生态环境质量。</w:t>
            </w:r>
          </w:p>
          <w:p>
            <w:pPr>
              <w:spacing w:line="360" w:lineRule="auto"/>
              <w:ind w:firstLine="480" w:firstLineChars="200"/>
              <w:rPr>
                <w:sz w:val="24"/>
              </w:rPr>
            </w:pPr>
            <w:r>
              <w:rPr>
                <w:sz w:val="24"/>
              </w:rPr>
              <w:t>⑤建设方必须提出矿山闭坑报告及有关采掘工程、补充安全隐患、土地复垦利用、环境保护的资料，并按照国家规定报请审查批准。在采取了生态保护措施后，采坑闭坑对生态环境的影响减少，影响程度在可接受范围内。</w:t>
            </w:r>
          </w:p>
          <w:p>
            <w:pPr>
              <w:spacing w:line="360" w:lineRule="auto"/>
              <w:ind w:firstLine="480" w:firstLineChars="200"/>
              <w:rPr>
                <w:sz w:val="24"/>
              </w:rPr>
            </w:pPr>
            <w:r>
              <w:rPr>
                <w:sz w:val="24"/>
              </w:rPr>
              <w:t>⑥其他工程内容按照“土地复垦方案”中提出的要求进行具体实施。</w:t>
            </w:r>
          </w:p>
          <w:p>
            <w:pPr>
              <w:spacing w:line="360" w:lineRule="auto"/>
              <w:rPr>
                <w:b/>
                <w:sz w:val="24"/>
              </w:rPr>
            </w:pPr>
          </w:p>
          <w:p>
            <w:pPr>
              <w:spacing w:line="360" w:lineRule="auto"/>
              <w:rPr>
                <w:b/>
                <w:sz w:val="24"/>
              </w:rPr>
            </w:pPr>
          </w:p>
          <w:p>
            <w:pPr>
              <w:spacing w:line="360" w:lineRule="auto"/>
              <w:rPr>
                <w:b/>
                <w:sz w:val="24"/>
              </w:rPr>
            </w:pPr>
          </w:p>
          <w:p>
            <w:pPr>
              <w:spacing w:line="360" w:lineRule="auto"/>
              <w:rPr>
                <w:b/>
                <w:sz w:val="24"/>
              </w:rPr>
            </w:pPr>
          </w:p>
          <w:p/>
          <w:p/>
          <w:p/>
          <w:p/>
          <w:p/>
          <w:p/>
          <w:p/>
          <w:p/>
          <w:p/>
          <w:p/>
          <w:p/>
          <w:p/>
          <w:p/>
          <w:p/>
          <w:p/>
          <w:p/>
          <w:p/>
          <w:p/>
          <w:p/>
          <w:p/>
          <w:p/>
          <w:p/>
          <w:p/>
          <w:p/>
          <w:p/>
          <w:p/>
          <w:p/>
          <w:p/>
          <w:p/>
          <w:p/>
          <w:p/>
          <w:p/>
          <w:p/>
        </w:tc>
      </w:tr>
    </w:tbl>
    <w:p>
      <w:pPr>
        <w:spacing w:line="480" w:lineRule="auto"/>
        <w:outlineLvl w:val="0"/>
        <w:rPr>
          <w:b/>
          <w:bCs/>
          <w:sz w:val="32"/>
          <w:szCs w:val="28"/>
        </w:rPr>
      </w:pPr>
      <w:r>
        <w:rPr>
          <w:b/>
          <w:bCs/>
          <w:sz w:val="32"/>
          <w:szCs w:val="28"/>
        </w:rPr>
        <w:t>八、建设项目采取的防治措施及治理效果</w:t>
      </w:r>
    </w:p>
    <w:tbl>
      <w:tblPr>
        <w:tblStyle w:val="15"/>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940"/>
        <w:gridCol w:w="1179"/>
        <w:gridCol w:w="3046"/>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781" w:type="dxa"/>
            <w:tcBorders>
              <w:top w:val="single" w:color="auto" w:sz="12" w:space="0"/>
              <w:left w:val="single" w:color="auto" w:sz="12" w:space="0"/>
              <w:bottom w:val="single" w:color="auto" w:sz="4" w:space="0"/>
              <w:right w:val="single" w:color="auto" w:sz="4" w:space="0"/>
              <w:tl2br w:val="single" w:color="auto" w:sz="4" w:space="0"/>
            </w:tcBorders>
            <w:vAlign w:val="center"/>
          </w:tcPr>
          <w:p>
            <w:pPr>
              <w:jc w:val="center"/>
              <w:rPr>
                <w:szCs w:val="21"/>
              </w:rPr>
            </w:pPr>
            <w:r>
              <w:rPr>
                <w:szCs w:val="21"/>
              </w:rPr>
              <w:t>内容</w:t>
            </w:r>
          </w:p>
          <w:p>
            <w:pPr>
              <w:jc w:val="center"/>
              <w:rPr>
                <w:szCs w:val="21"/>
              </w:rPr>
            </w:pPr>
            <w:r>
              <w:rPr>
                <w:szCs w:val="21"/>
              </w:rPr>
              <w:t>类型</w:t>
            </w:r>
          </w:p>
        </w:tc>
        <w:tc>
          <w:tcPr>
            <w:tcW w:w="1940" w:type="dxa"/>
            <w:tcBorders>
              <w:top w:val="single" w:color="auto" w:sz="12" w:space="0"/>
              <w:left w:val="single" w:color="auto" w:sz="4" w:space="0"/>
              <w:bottom w:val="single" w:color="auto" w:sz="4" w:space="0"/>
              <w:right w:val="single" w:color="auto" w:sz="4" w:space="0"/>
            </w:tcBorders>
            <w:vAlign w:val="center"/>
          </w:tcPr>
          <w:p>
            <w:pPr>
              <w:jc w:val="center"/>
              <w:rPr>
                <w:szCs w:val="21"/>
              </w:rPr>
            </w:pPr>
            <w:r>
              <w:rPr>
                <w:szCs w:val="21"/>
              </w:rPr>
              <w:t>排放源</w:t>
            </w:r>
          </w:p>
          <w:p>
            <w:pPr>
              <w:jc w:val="center"/>
              <w:rPr>
                <w:szCs w:val="21"/>
              </w:rPr>
            </w:pPr>
            <w:r>
              <w:rPr>
                <w:szCs w:val="21"/>
              </w:rPr>
              <w:t>（编号）</w:t>
            </w:r>
          </w:p>
        </w:tc>
        <w:tc>
          <w:tcPr>
            <w:tcW w:w="1179" w:type="dxa"/>
            <w:tcBorders>
              <w:top w:val="single" w:color="auto" w:sz="12" w:space="0"/>
              <w:left w:val="single" w:color="auto" w:sz="4" w:space="0"/>
              <w:bottom w:val="single" w:color="auto" w:sz="4" w:space="0"/>
              <w:right w:val="single" w:color="auto" w:sz="4" w:space="0"/>
            </w:tcBorders>
            <w:vAlign w:val="center"/>
          </w:tcPr>
          <w:p>
            <w:pPr>
              <w:jc w:val="center"/>
              <w:rPr>
                <w:szCs w:val="21"/>
              </w:rPr>
            </w:pPr>
            <w:r>
              <w:rPr>
                <w:szCs w:val="21"/>
              </w:rPr>
              <w:t>污染物</w:t>
            </w:r>
          </w:p>
          <w:p>
            <w:pPr>
              <w:jc w:val="center"/>
              <w:rPr>
                <w:szCs w:val="21"/>
              </w:rPr>
            </w:pPr>
            <w:r>
              <w:rPr>
                <w:szCs w:val="21"/>
              </w:rPr>
              <w:t>名  称</w:t>
            </w:r>
          </w:p>
        </w:tc>
        <w:tc>
          <w:tcPr>
            <w:tcW w:w="3046" w:type="dxa"/>
            <w:tcBorders>
              <w:top w:val="single" w:color="auto" w:sz="12" w:space="0"/>
              <w:left w:val="single" w:color="auto" w:sz="4" w:space="0"/>
              <w:bottom w:val="single" w:color="auto" w:sz="4" w:space="0"/>
              <w:right w:val="single" w:color="auto" w:sz="4" w:space="0"/>
            </w:tcBorders>
            <w:vAlign w:val="center"/>
          </w:tcPr>
          <w:p>
            <w:pPr>
              <w:jc w:val="center"/>
              <w:rPr>
                <w:szCs w:val="21"/>
              </w:rPr>
            </w:pPr>
            <w:r>
              <w:rPr>
                <w:szCs w:val="21"/>
              </w:rPr>
              <w:t>防治措施</w:t>
            </w:r>
          </w:p>
        </w:tc>
        <w:tc>
          <w:tcPr>
            <w:tcW w:w="2268" w:type="dxa"/>
            <w:tcBorders>
              <w:top w:val="single" w:color="auto" w:sz="12" w:space="0"/>
              <w:left w:val="single" w:color="auto" w:sz="4" w:space="0"/>
              <w:bottom w:val="single" w:color="auto" w:sz="4" w:space="0"/>
              <w:right w:val="single" w:color="auto" w:sz="12" w:space="0"/>
            </w:tcBorders>
            <w:vAlign w:val="center"/>
          </w:tcPr>
          <w:p>
            <w:pPr>
              <w:jc w:val="center"/>
              <w:rPr>
                <w:szCs w:val="21"/>
              </w:rPr>
            </w:pPr>
            <w:r>
              <w:rPr>
                <w:szCs w:val="21"/>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781" w:type="dxa"/>
            <w:vMerge w:val="restart"/>
            <w:tcBorders>
              <w:left w:val="single" w:color="auto" w:sz="12" w:space="0"/>
              <w:right w:val="single" w:color="auto" w:sz="4" w:space="0"/>
            </w:tcBorders>
            <w:vAlign w:val="center"/>
          </w:tcPr>
          <w:p>
            <w:pPr>
              <w:jc w:val="center"/>
              <w:rPr>
                <w:szCs w:val="21"/>
              </w:rPr>
            </w:pPr>
            <w:r>
              <w:rPr>
                <w:szCs w:val="21"/>
              </w:rPr>
              <w:t>水</w:t>
            </w:r>
          </w:p>
          <w:p>
            <w:pPr>
              <w:jc w:val="center"/>
              <w:rPr>
                <w:szCs w:val="21"/>
              </w:rPr>
            </w:pPr>
            <w:r>
              <w:rPr>
                <w:szCs w:val="21"/>
              </w:rPr>
              <w:t>污</w:t>
            </w:r>
          </w:p>
          <w:p>
            <w:pPr>
              <w:jc w:val="center"/>
              <w:rPr>
                <w:szCs w:val="21"/>
              </w:rPr>
            </w:pPr>
            <w:r>
              <w:rPr>
                <w:szCs w:val="21"/>
              </w:rPr>
              <w:t>染</w:t>
            </w:r>
          </w:p>
          <w:p>
            <w:pPr>
              <w:jc w:val="center"/>
              <w:rPr>
                <w:szCs w:val="21"/>
              </w:rPr>
            </w:pPr>
            <w:r>
              <w:rPr>
                <w:szCs w:val="21"/>
              </w:rPr>
              <w:t>物</w:t>
            </w:r>
          </w:p>
        </w:tc>
        <w:tc>
          <w:tcPr>
            <w:tcW w:w="1940" w:type="dxa"/>
            <w:tcBorders>
              <w:top w:val="single" w:color="auto" w:sz="4" w:space="0"/>
              <w:left w:val="single" w:color="auto" w:sz="4" w:space="0"/>
              <w:right w:val="single" w:color="auto" w:sz="4" w:space="0"/>
            </w:tcBorders>
            <w:vAlign w:val="center"/>
          </w:tcPr>
          <w:p>
            <w:pPr>
              <w:jc w:val="center"/>
              <w:rPr>
                <w:szCs w:val="21"/>
              </w:rPr>
            </w:pPr>
            <w:r>
              <w:rPr>
                <w:szCs w:val="21"/>
              </w:rPr>
              <w:t>生产废水</w:t>
            </w:r>
          </w:p>
        </w:tc>
        <w:tc>
          <w:tcPr>
            <w:tcW w:w="1179" w:type="dxa"/>
            <w:tcBorders>
              <w:top w:val="single" w:color="auto" w:sz="4" w:space="0"/>
              <w:left w:val="single" w:color="auto" w:sz="4" w:space="0"/>
              <w:right w:val="single" w:color="auto" w:sz="4" w:space="0"/>
            </w:tcBorders>
            <w:vAlign w:val="center"/>
          </w:tcPr>
          <w:p>
            <w:pPr>
              <w:jc w:val="center"/>
              <w:rPr>
                <w:szCs w:val="21"/>
              </w:rPr>
            </w:pPr>
            <w:r>
              <w:rPr>
                <w:szCs w:val="21"/>
              </w:rPr>
              <w:t>SS</w:t>
            </w:r>
          </w:p>
        </w:tc>
        <w:tc>
          <w:tcPr>
            <w:tcW w:w="3046" w:type="dxa"/>
            <w:tcBorders>
              <w:top w:val="single" w:color="auto" w:sz="4" w:space="0"/>
              <w:left w:val="single" w:color="auto" w:sz="4" w:space="0"/>
              <w:right w:val="single" w:color="auto" w:sz="4" w:space="0"/>
            </w:tcBorders>
            <w:vAlign w:val="center"/>
          </w:tcPr>
          <w:p>
            <w:pPr>
              <w:jc w:val="center"/>
              <w:rPr>
                <w:szCs w:val="21"/>
              </w:rPr>
            </w:pPr>
            <w:r>
              <w:rPr>
                <w:szCs w:val="21"/>
              </w:rPr>
              <w:t>经沉淀池收集沉淀处理后</w:t>
            </w:r>
            <w:r>
              <w:rPr>
                <w:rFonts w:hint="eastAsia"/>
                <w:szCs w:val="21"/>
              </w:rPr>
              <w:t>全部</w:t>
            </w:r>
            <w:r>
              <w:rPr>
                <w:szCs w:val="21"/>
              </w:rPr>
              <w:t>回用，不外排。</w:t>
            </w:r>
          </w:p>
        </w:tc>
        <w:tc>
          <w:tcPr>
            <w:tcW w:w="2268" w:type="dxa"/>
            <w:vMerge w:val="restart"/>
            <w:tcBorders>
              <w:top w:val="single" w:color="auto" w:sz="4" w:space="0"/>
              <w:left w:val="single" w:color="auto" w:sz="4" w:space="0"/>
              <w:right w:val="single" w:color="auto" w:sz="12" w:space="0"/>
            </w:tcBorders>
            <w:vAlign w:val="center"/>
          </w:tcPr>
          <w:p>
            <w:pPr>
              <w:jc w:val="center"/>
              <w:rPr>
                <w:szCs w:val="21"/>
              </w:rPr>
            </w:pPr>
            <w:r>
              <w:rPr>
                <w:rFonts w:hint="eastAsia"/>
                <w:szCs w:val="21"/>
              </w:rPr>
              <w:t>没有废水外排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781" w:type="dxa"/>
            <w:vMerge w:val="continue"/>
            <w:tcBorders>
              <w:left w:val="single" w:color="auto" w:sz="12" w:space="0"/>
              <w:right w:val="single" w:color="auto" w:sz="4" w:space="0"/>
            </w:tcBorders>
            <w:vAlign w:val="center"/>
          </w:tcPr>
          <w:p>
            <w:pPr>
              <w:jc w:val="center"/>
              <w:rPr>
                <w:szCs w:val="21"/>
              </w:rPr>
            </w:pPr>
          </w:p>
        </w:tc>
        <w:tc>
          <w:tcPr>
            <w:tcW w:w="1940" w:type="dxa"/>
            <w:tcBorders>
              <w:top w:val="single" w:color="auto" w:sz="4" w:space="0"/>
              <w:left w:val="single" w:color="auto" w:sz="4" w:space="0"/>
              <w:right w:val="single" w:color="auto" w:sz="4" w:space="0"/>
            </w:tcBorders>
            <w:vAlign w:val="center"/>
          </w:tcPr>
          <w:p>
            <w:pPr>
              <w:jc w:val="center"/>
              <w:rPr>
                <w:szCs w:val="21"/>
              </w:rPr>
            </w:pPr>
            <w:r>
              <w:rPr>
                <w:szCs w:val="21"/>
              </w:rPr>
              <w:t xml:space="preserve">生活污水 </w:t>
            </w:r>
          </w:p>
        </w:tc>
        <w:tc>
          <w:tcPr>
            <w:tcW w:w="1179" w:type="dxa"/>
            <w:tcBorders>
              <w:top w:val="single" w:color="auto" w:sz="4" w:space="0"/>
              <w:left w:val="single" w:color="auto" w:sz="4" w:space="0"/>
              <w:right w:val="single" w:color="auto" w:sz="4" w:space="0"/>
            </w:tcBorders>
            <w:vAlign w:val="center"/>
          </w:tcPr>
          <w:p>
            <w:pPr>
              <w:jc w:val="center"/>
              <w:rPr>
                <w:szCs w:val="21"/>
              </w:rPr>
            </w:pPr>
            <w:r>
              <w:rPr>
                <w:szCs w:val="21"/>
              </w:rPr>
              <w:t>COD</w:t>
            </w:r>
            <w:r>
              <w:rPr>
                <w:szCs w:val="21"/>
                <w:vertAlign w:val="subscript"/>
              </w:rPr>
              <w:t>Cr</w:t>
            </w:r>
          </w:p>
          <w:p>
            <w:pPr>
              <w:jc w:val="center"/>
              <w:rPr>
                <w:szCs w:val="21"/>
              </w:rPr>
            </w:pPr>
            <w:r>
              <w:rPr>
                <w:szCs w:val="21"/>
              </w:rPr>
              <w:t>NH</w:t>
            </w:r>
            <w:r>
              <w:rPr>
                <w:szCs w:val="21"/>
                <w:vertAlign w:val="subscript"/>
              </w:rPr>
              <w:t>3</w:t>
            </w:r>
            <w:r>
              <w:rPr>
                <w:szCs w:val="21"/>
              </w:rPr>
              <w:t>-N</w:t>
            </w:r>
          </w:p>
          <w:p>
            <w:pPr>
              <w:jc w:val="center"/>
              <w:rPr>
                <w:szCs w:val="21"/>
              </w:rPr>
            </w:pPr>
            <w:r>
              <w:rPr>
                <w:szCs w:val="21"/>
              </w:rPr>
              <w:t>SS</w:t>
            </w:r>
          </w:p>
        </w:tc>
        <w:tc>
          <w:tcPr>
            <w:tcW w:w="3046" w:type="dxa"/>
            <w:tcBorders>
              <w:top w:val="single" w:color="auto" w:sz="4" w:space="0"/>
              <w:left w:val="single" w:color="auto" w:sz="4" w:space="0"/>
              <w:right w:val="single" w:color="auto" w:sz="4" w:space="0"/>
            </w:tcBorders>
            <w:vAlign w:val="center"/>
          </w:tcPr>
          <w:p>
            <w:pPr>
              <w:jc w:val="center"/>
              <w:rPr>
                <w:szCs w:val="21"/>
              </w:rPr>
            </w:pPr>
            <w:r>
              <w:rPr>
                <w:rFonts w:hint="eastAsia"/>
                <w:szCs w:val="21"/>
              </w:rPr>
              <w:t>经化粪池收集后委托环卫部门清运</w:t>
            </w:r>
            <w:r>
              <w:rPr>
                <w:szCs w:val="21"/>
              </w:rPr>
              <w:t>，不外排。</w:t>
            </w:r>
          </w:p>
        </w:tc>
        <w:tc>
          <w:tcPr>
            <w:tcW w:w="2268" w:type="dxa"/>
            <w:vMerge w:val="continue"/>
            <w:tcBorders>
              <w:left w:val="single" w:color="auto" w:sz="4" w:space="0"/>
              <w:right w:val="single" w:color="auto" w:sz="12"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1" w:type="dxa"/>
            <w:vMerge w:val="restart"/>
            <w:tcBorders>
              <w:left w:val="single" w:color="auto" w:sz="12" w:space="0"/>
              <w:right w:val="single" w:color="auto" w:sz="4" w:space="0"/>
            </w:tcBorders>
            <w:vAlign w:val="center"/>
          </w:tcPr>
          <w:p>
            <w:pPr>
              <w:jc w:val="center"/>
              <w:rPr>
                <w:szCs w:val="21"/>
              </w:rPr>
            </w:pPr>
            <w:r>
              <w:rPr>
                <w:szCs w:val="21"/>
              </w:rPr>
              <w:t>大</w:t>
            </w:r>
          </w:p>
          <w:p>
            <w:pPr>
              <w:jc w:val="center"/>
              <w:rPr>
                <w:szCs w:val="21"/>
              </w:rPr>
            </w:pPr>
            <w:r>
              <w:rPr>
                <w:szCs w:val="21"/>
              </w:rPr>
              <w:t>气</w:t>
            </w:r>
          </w:p>
          <w:p>
            <w:pPr>
              <w:jc w:val="center"/>
              <w:rPr>
                <w:szCs w:val="21"/>
              </w:rPr>
            </w:pPr>
            <w:r>
              <w:rPr>
                <w:szCs w:val="21"/>
              </w:rPr>
              <w:t>污</w:t>
            </w:r>
          </w:p>
          <w:p>
            <w:pPr>
              <w:jc w:val="center"/>
              <w:rPr>
                <w:szCs w:val="21"/>
              </w:rPr>
            </w:pPr>
            <w:r>
              <w:rPr>
                <w:szCs w:val="21"/>
              </w:rPr>
              <w:t>染</w:t>
            </w:r>
          </w:p>
          <w:p>
            <w:pPr>
              <w:jc w:val="center"/>
              <w:rPr>
                <w:szCs w:val="21"/>
              </w:rPr>
            </w:pPr>
            <w:r>
              <w:rPr>
                <w:szCs w:val="21"/>
              </w:rPr>
              <w:t>物</w:t>
            </w:r>
          </w:p>
        </w:tc>
        <w:tc>
          <w:tcPr>
            <w:tcW w:w="1940" w:type="dxa"/>
            <w:tcBorders>
              <w:top w:val="single" w:color="auto" w:sz="4" w:space="0"/>
              <w:left w:val="single" w:color="auto" w:sz="4" w:space="0"/>
              <w:right w:val="single" w:color="auto" w:sz="4" w:space="0"/>
            </w:tcBorders>
            <w:vAlign w:val="center"/>
          </w:tcPr>
          <w:p>
            <w:pPr>
              <w:pStyle w:val="20"/>
              <w:ind w:firstLine="0" w:firstLineChars="0"/>
              <w:jc w:val="center"/>
              <w:rPr>
                <w:rFonts w:ascii="Times New Roman" w:hAnsi="Times New Roman" w:cs="Times New Roman"/>
                <w:sz w:val="21"/>
                <w:szCs w:val="21"/>
              </w:rPr>
            </w:pPr>
            <w:r>
              <w:rPr>
                <w:rFonts w:ascii="Times New Roman" w:hAnsi="Times New Roman" w:cs="Times New Roman"/>
                <w:sz w:val="21"/>
                <w:szCs w:val="21"/>
              </w:rPr>
              <w:t>切割粉尘</w:t>
            </w:r>
          </w:p>
        </w:tc>
        <w:tc>
          <w:tcPr>
            <w:tcW w:w="1179" w:type="dxa"/>
            <w:vMerge w:val="restart"/>
            <w:tcBorders>
              <w:top w:val="single" w:color="auto" w:sz="4" w:space="0"/>
              <w:left w:val="single" w:color="auto" w:sz="4" w:space="0"/>
              <w:right w:val="single" w:color="auto" w:sz="4" w:space="0"/>
            </w:tcBorders>
            <w:vAlign w:val="center"/>
          </w:tcPr>
          <w:p>
            <w:pPr>
              <w:jc w:val="center"/>
              <w:rPr>
                <w:szCs w:val="21"/>
              </w:rPr>
            </w:pPr>
            <w:r>
              <w:rPr>
                <w:szCs w:val="21"/>
              </w:rPr>
              <w:t>粉尘</w:t>
            </w:r>
          </w:p>
        </w:tc>
        <w:tc>
          <w:tcPr>
            <w:tcW w:w="3046" w:type="dxa"/>
            <w:vMerge w:val="restart"/>
            <w:tcBorders>
              <w:top w:val="single" w:color="auto" w:sz="4" w:space="0"/>
              <w:left w:val="single" w:color="auto" w:sz="4" w:space="0"/>
              <w:right w:val="single" w:color="auto" w:sz="4" w:space="0"/>
            </w:tcBorders>
            <w:vAlign w:val="center"/>
          </w:tcPr>
          <w:p>
            <w:pPr>
              <w:jc w:val="left"/>
              <w:rPr>
                <w:kern w:val="0"/>
              </w:rPr>
            </w:pPr>
            <w:r>
              <w:rPr>
                <w:rFonts w:hint="eastAsia"/>
                <w:szCs w:val="21"/>
              </w:rPr>
              <w:t>切割、钻孔采用湿法作业，生产时设置水喷淋设施降尘</w:t>
            </w:r>
          </w:p>
        </w:tc>
        <w:tc>
          <w:tcPr>
            <w:tcW w:w="2268" w:type="dxa"/>
            <w:vMerge w:val="restart"/>
            <w:tcBorders>
              <w:top w:val="single" w:color="auto" w:sz="4" w:space="0"/>
              <w:left w:val="single" w:color="auto" w:sz="4" w:space="0"/>
              <w:right w:val="single" w:color="auto" w:sz="12" w:space="0"/>
            </w:tcBorders>
            <w:vAlign w:val="center"/>
          </w:tcPr>
          <w:p>
            <w:pPr>
              <w:jc w:val="center"/>
              <w:rPr>
                <w:szCs w:val="21"/>
              </w:rPr>
            </w:pPr>
            <w:r>
              <w:rPr>
                <w:szCs w:val="21"/>
              </w:rPr>
              <w:t>达到</w:t>
            </w:r>
            <w:r>
              <w:rPr>
                <w:rFonts w:hint="eastAsia"/>
              </w:rPr>
              <w:t>《山东省建材工业大气污染物排放标准》（DB 37/ 2373—2018）表3无组织排放限值</w:t>
            </w:r>
            <w:r>
              <w:rPr>
                <w:szCs w:val="21"/>
              </w:rPr>
              <w:t>（1.0mg/m</w:t>
            </w:r>
            <w:r>
              <w:rPr>
                <w:szCs w:val="21"/>
                <w:vertAlign w:val="superscript"/>
              </w:rPr>
              <w:t>3</w:t>
            </w:r>
            <w:r>
              <w:rPr>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1" w:type="dxa"/>
            <w:vMerge w:val="continue"/>
            <w:tcBorders>
              <w:left w:val="single" w:color="auto" w:sz="12" w:space="0"/>
              <w:right w:val="single" w:color="auto" w:sz="4" w:space="0"/>
            </w:tcBorders>
            <w:vAlign w:val="center"/>
          </w:tcPr>
          <w:p>
            <w:pPr>
              <w:jc w:val="center"/>
              <w:rPr>
                <w:szCs w:val="21"/>
              </w:rPr>
            </w:pPr>
          </w:p>
        </w:tc>
        <w:tc>
          <w:tcPr>
            <w:tcW w:w="1940" w:type="dxa"/>
            <w:tcBorders>
              <w:top w:val="single" w:color="auto" w:sz="4" w:space="0"/>
              <w:left w:val="single" w:color="auto" w:sz="4" w:space="0"/>
              <w:right w:val="single" w:color="auto" w:sz="4" w:space="0"/>
            </w:tcBorders>
            <w:vAlign w:val="center"/>
          </w:tcPr>
          <w:p>
            <w:pPr>
              <w:pStyle w:val="20"/>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水平钻穿孔扬尘</w:t>
            </w:r>
          </w:p>
        </w:tc>
        <w:tc>
          <w:tcPr>
            <w:tcW w:w="1179" w:type="dxa"/>
            <w:vMerge w:val="continue"/>
            <w:tcBorders>
              <w:left w:val="single" w:color="auto" w:sz="4" w:space="0"/>
              <w:right w:val="single" w:color="auto" w:sz="4" w:space="0"/>
            </w:tcBorders>
            <w:vAlign w:val="center"/>
          </w:tcPr>
          <w:p>
            <w:pPr>
              <w:jc w:val="center"/>
              <w:rPr>
                <w:szCs w:val="21"/>
              </w:rPr>
            </w:pPr>
          </w:p>
        </w:tc>
        <w:tc>
          <w:tcPr>
            <w:tcW w:w="3046" w:type="dxa"/>
            <w:vMerge w:val="continue"/>
            <w:tcBorders>
              <w:left w:val="single" w:color="auto" w:sz="4" w:space="0"/>
              <w:right w:val="single" w:color="auto" w:sz="4" w:space="0"/>
            </w:tcBorders>
            <w:vAlign w:val="center"/>
          </w:tcPr>
          <w:p>
            <w:pPr>
              <w:jc w:val="center"/>
              <w:rPr>
                <w:szCs w:val="21"/>
              </w:rPr>
            </w:pPr>
          </w:p>
        </w:tc>
        <w:tc>
          <w:tcPr>
            <w:tcW w:w="2268" w:type="dxa"/>
            <w:vMerge w:val="continue"/>
            <w:tcBorders>
              <w:top w:val="single" w:color="auto" w:sz="4" w:space="0"/>
              <w:left w:val="single" w:color="auto" w:sz="4" w:space="0"/>
              <w:right w:val="single" w:color="auto" w:sz="12"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1" w:type="dxa"/>
            <w:vMerge w:val="continue"/>
            <w:tcBorders>
              <w:left w:val="single" w:color="auto" w:sz="12" w:space="0"/>
              <w:right w:val="single" w:color="auto" w:sz="4" w:space="0"/>
            </w:tcBorders>
            <w:vAlign w:val="center"/>
          </w:tcPr>
          <w:p>
            <w:pPr>
              <w:jc w:val="center"/>
              <w:rPr>
                <w:szCs w:val="21"/>
              </w:rPr>
            </w:pPr>
          </w:p>
        </w:tc>
        <w:tc>
          <w:tcPr>
            <w:tcW w:w="1940" w:type="dxa"/>
            <w:tcBorders>
              <w:top w:val="single" w:color="auto" w:sz="4" w:space="0"/>
              <w:left w:val="single" w:color="auto" w:sz="4" w:space="0"/>
              <w:right w:val="single" w:color="auto" w:sz="4" w:space="0"/>
            </w:tcBorders>
            <w:vAlign w:val="center"/>
          </w:tcPr>
          <w:p>
            <w:pPr>
              <w:pStyle w:val="20"/>
              <w:ind w:firstLine="0" w:firstLineChars="0"/>
              <w:jc w:val="center"/>
              <w:rPr>
                <w:rFonts w:ascii="Times New Roman" w:hAnsi="Times New Roman" w:cs="Times New Roman"/>
                <w:sz w:val="21"/>
                <w:szCs w:val="21"/>
              </w:rPr>
            </w:pPr>
            <w:r>
              <w:rPr>
                <w:rFonts w:ascii="Times New Roman" w:hAnsi="Times New Roman" w:cs="Times New Roman"/>
                <w:sz w:val="21"/>
                <w:szCs w:val="21"/>
              </w:rPr>
              <w:t>装卸粉尘</w:t>
            </w:r>
          </w:p>
        </w:tc>
        <w:tc>
          <w:tcPr>
            <w:tcW w:w="1179" w:type="dxa"/>
            <w:vMerge w:val="continue"/>
            <w:tcBorders>
              <w:left w:val="single" w:color="auto" w:sz="4" w:space="0"/>
              <w:right w:val="single" w:color="auto" w:sz="4" w:space="0"/>
            </w:tcBorders>
            <w:vAlign w:val="center"/>
          </w:tcPr>
          <w:p>
            <w:pPr>
              <w:jc w:val="center"/>
              <w:rPr>
                <w:szCs w:val="21"/>
              </w:rPr>
            </w:pPr>
          </w:p>
        </w:tc>
        <w:tc>
          <w:tcPr>
            <w:tcW w:w="3046" w:type="dxa"/>
            <w:vMerge w:val="restart"/>
            <w:tcBorders>
              <w:left w:val="single" w:color="auto" w:sz="4" w:space="0"/>
              <w:right w:val="single" w:color="auto" w:sz="4" w:space="0"/>
            </w:tcBorders>
            <w:vAlign w:val="center"/>
          </w:tcPr>
          <w:p>
            <w:pPr>
              <w:jc w:val="left"/>
              <w:rPr>
                <w:kern w:val="0"/>
              </w:rPr>
            </w:pPr>
            <w:r>
              <w:t>对堆场采用覆盖处理并定期喷水保持表面水分抑尘，</w:t>
            </w:r>
            <w:r>
              <w:rPr>
                <w:rFonts w:hint="eastAsia"/>
              </w:rPr>
              <w:t>对厂区内外道路全面硬化并定期清扫、喷洒水抑尘，</w:t>
            </w:r>
            <w:r>
              <w:t>并对进出厂车辆冲洗</w:t>
            </w:r>
            <w:r>
              <w:rPr>
                <w:rFonts w:hint="eastAsia"/>
              </w:rPr>
              <w:t>，在装卸车环节增设大型雾炮抑尘，道路两侧及堆场四周设置防风抑尘网</w:t>
            </w:r>
          </w:p>
        </w:tc>
        <w:tc>
          <w:tcPr>
            <w:tcW w:w="2268" w:type="dxa"/>
            <w:vMerge w:val="continue"/>
            <w:tcBorders>
              <w:left w:val="single" w:color="auto" w:sz="4" w:space="0"/>
              <w:right w:val="single" w:color="auto" w:sz="12"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1" w:type="dxa"/>
            <w:vMerge w:val="continue"/>
            <w:tcBorders>
              <w:left w:val="single" w:color="auto" w:sz="12" w:space="0"/>
              <w:right w:val="single" w:color="auto" w:sz="4" w:space="0"/>
            </w:tcBorders>
            <w:vAlign w:val="center"/>
          </w:tcPr>
          <w:p>
            <w:pPr>
              <w:jc w:val="center"/>
              <w:rPr>
                <w:szCs w:val="21"/>
              </w:rPr>
            </w:pPr>
          </w:p>
        </w:tc>
        <w:tc>
          <w:tcPr>
            <w:tcW w:w="1940" w:type="dxa"/>
            <w:tcBorders>
              <w:top w:val="single" w:color="auto" w:sz="4" w:space="0"/>
              <w:left w:val="single" w:color="auto" w:sz="4" w:space="0"/>
              <w:right w:val="single" w:color="auto" w:sz="4" w:space="0"/>
            </w:tcBorders>
            <w:vAlign w:val="center"/>
          </w:tcPr>
          <w:p>
            <w:pPr>
              <w:pStyle w:val="20"/>
              <w:ind w:firstLine="0" w:firstLineChars="0"/>
              <w:jc w:val="center"/>
              <w:rPr>
                <w:rFonts w:ascii="Times New Roman" w:hAnsi="Times New Roman" w:cs="Times New Roman"/>
                <w:sz w:val="21"/>
                <w:szCs w:val="21"/>
              </w:rPr>
            </w:pPr>
            <w:r>
              <w:rPr>
                <w:rFonts w:ascii="Times New Roman" w:hAnsi="Times New Roman" w:cs="Times New Roman"/>
                <w:sz w:val="21"/>
                <w:szCs w:val="21"/>
              </w:rPr>
              <w:t>运输车辆及堆场</w:t>
            </w:r>
          </w:p>
        </w:tc>
        <w:tc>
          <w:tcPr>
            <w:tcW w:w="1179" w:type="dxa"/>
            <w:vMerge w:val="continue"/>
            <w:tcBorders>
              <w:left w:val="single" w:color="auto" w:sz="4" w:space="0"/>
              <w:right w:val="single" w:color="auto" w:sz="4" w:space="0"/>
            </w:tcBorders>
            <w:vAlign w:val="center"/>
          </w:tcPr>
          <w:p>
            <w:pPr>
              <w:jc w:val="center"/>
              <w:rPr>
                <w:szCs w:val="21"/>
              </w:rPr>
            </w:pPr>
          </w:p>
        </w:tc>
        <w:tc>
          <w:tcPr>
            <w:tcW w:w="3046" w:type="dxa"/>
            <w:vMerge w:val="continue"/>
            <w:tcBorders>
              <w:left w:val="single" w:color="auto" w:sz="4" w:space="0"/>
              <w:right w:val="single" w:color="auto" w:sz="4" w:space="0"/>
            </w:tcBorders>
            <w:vAlign w:val="center"/>
          </w:tcPr>
          <w:p>
            <w:pPr>
              <w:jc w:val="center"/>
              <w:rPr>
                <w:szCs w:val="21"/>
              </w:rPr>
            </w:pPr>
          </w:p>
        </w:tc>
        <w:tc>
          <w:tcPr>
            <w:tcW w:w="2268" w:type="dxa"/>
            <w:vMerge w:val="continue"/>
            <w:tcBorders>
              <w:left w:val="single" w:color="auto" w:sz="4" w:space="0"/>
              <w:right w:val="single" w:color="auto" w:sz="12"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781" w:type="dxa"/>
            <w:tcBorders>
              <w:top w:val="single" w:color="auto" w:sz="4" w:space="0"/>
              <w:left w:val="single" w:color="auto" w:sz="12" w:space="0"/>
              <w:right w:val="single" w:color="auto" w:sz="4" w:space="0"/>
            </w:tcBorders>
            <w:vAlign w:val="center"/>
          </w:tcPr>
          <w:p>
            <w:pPr>
              <w:jc w:val="center"/>
              <w:rPr>
                <w:szCs w:val="21"/>
              </w:rPr>
            </w:pPr>
            <w:r>
              <w:rPr>
                <w:szCs w:val="21"/>
              </w:rPr>
              <w:t>噪</w:t>
            </w:r>
          </w:p>
          <w:p>
            <w:pPr>
              <w:jc w:val="center"/>
              <w:rPr>
                <w:szCs w:val="21"/>
              </w:rPr>
            </w:pPr>
            <w:r>
              <w:rPr>
                <w:szCs w:val="21"/>
              </w:rPr>
              <w:t>声</w:t>
            </w:r>
          </w:p>
        </w:tc>
        <w:tc>
          <w:tcPr>
            <w:tcW w:w="1940" w:type="dxa"/>
            <w:tcBorders>
              <w:top w:val="single" w:color="auto" w:sz="4" w:space="0"/>
              <w:left w:val="single" w:color="auto" w:sz="4" w:space="0"/>
              <w:right w:val="single" w:color="auto" w:sz="4" w:space="0"/>
            </w:tcBorders>
            <w:vAlign w:val="center"/>
          </w:tcPr>
          <w:p>
            <w:pPr>
              <w:jc w:val="center"/>
              <w:rPr>
                <w:szCs w:val="21"/>
              </w:rPr>
            </w:pPr>
            <w:r>
              <w:rPr>
                <w:szCs w:val="21"/>
              </w:rPr>
              <w:t>圆盘锯、水平钻、空压机等设备</w:t>
            </w:r>
          </w:p>
        </w:tc>
        <w:tc>
          <w:tcPr>
            <w:tcW w:w="1179" w:type="dxa"/>
            <w:tcBorders>
              <w:top w:val="single" w:color="auto" w:sz="4" w:space="0"/>
              <w:left w:val="single" w:color="auto" w:sz="4" w:space="0"/>
              <w:right w:val="single" w:color="auto" w:sz="4" w:space="0"/>
            </w:tcBorders>
            <w:vAlign w:val="center"/>
          </w:tcPr>
          <w:p>
            <w:pPr>
              <w:jc w:val="center"/>
              <w:rPr>
                <w:szCs w:val="21"/>
              </w:rPr>
            </w:pPr>
            <w:r>
              <w:rPr>
                <w:szCs w:val="21"/>
              </w:rPr>
              <w:t>设备噪声</w:t>
            </w:r>
          </w:p>
        </w:tc>
        <w:tc>
          <w:tcPr>
            <w:tcW w:w="3046" w:type="dxa"/>
            <w:tcBorders>
              <w:top w:val="single" w:color="auto" w:sz="4" w:space="0"/>
              <w:left w:val="single" w:color="auto" w:sz="4" w:space="0"/>
              <w:right w:val="single" w:color="auto" w:sz="4" w:space="0"/>
            </w:tcBorders>
            <w:vAlign w:val="center"/>
          </w:tcPr>
          <w:p>
            <w:pPr>
              <w:jc w:val="center"/>
              <w:rPr>
                <w:szCs w:val="21"/>
              </w:rPr>
            </w:pPr>
            <w:r>
              <w:rPr>
                <w:szCs w:val="21"/>
              </w:rPr>
              <w:t>合理布局；尽量选用低噪声设备；加强绿化、距离衰减等</w:t>
            </w:r>
          </w:p>
        </w:tc>
        <w:tc>
          <w:tcPr>
            <w:tcW w:w="2268" w:type="dxa"/>
            <w:tcBorders>
              <w:top w:val="single" w:color="auto" w:sz="4" w:space="0"/>
              <w:left w:val="single" w:color="auto" w:sz="4" w:space="0"/>
              <w:right w:val="single" w:color="auto" w:sz="12" w:space="0"/>
            </w:tcBorders>
            <w:vAlign w:val="center"/>
          </w:tcPr>
          <w:p>
            <w:pPr>
              <w:jc w:val="center"/>
              <w:rPr>
                <w:szCs w:val="21"/>
              </w:rPr>
            </w:pPr>
            <w:r>
              <w:rPr>
                <w:szCs w:val="21"/>
              </w:rPr>
              <w:t>达到《工业企业厂界环境噪声排放标准》（GB12348-2008）2类标准要求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781" w:type="dxa"/>
            <w:vMerge w:val="restart"/>
            <w:tcBorders>
              <w:top w:val="single" w:color="auto" w:sz="4" w:space="0"/>
              <w:left w:val="single" w:color="auto" w:sz="12" w:space="0"/>
              <w:right w:val="single" w:color="auto" w:sz="4" w:space="0"/>
            </w:tcBorders>
            <w:vAlign w:val="center"/>
          </w:tcPr>
          <w:p>
            <w:pPr>
              <w:jc w:val="center"/>
              <w:rPr>
                <w:szCs w:val="21"/>
              </w:rPr>
            </w:pPr>
            <w:r>
              <w:rPr>
                <w:szCs w:val="21"/>
              </w:rPr>
              <w:t>固</w:t>
            </w:r>
          </w:p>
          <w:p>
            <w:pPr>
              <w:jc w:val="center"/>
              <w:rPr>
                <w:szCs w:val="21"/>
              </w:rPr>
            </w:pPr>
            <w:r>
              <w:rPr>
                <w:szCs w:val="21"/>
              </w:rPr>
              <w:t>废</w:t>
            </w:r>
          </w:p>
        </w:tc>
        <w:tc>
          <w:tcPr>
            <w:tcW w:w="1940"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石材废渣</w:t>
            </w:r>
          </w:p>
        </w:tc>
        <w:tc>
          <w:tcPr>
            <w:tcW w:w="117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废渣</w:t>
            </w:r>
          </w:p>
        </w:tc>
        <w:tc>
          <w:tcPr>
            <w:tcW w:w="3046" w:type="dxa"/>
            <w:tcBorders>
              <w:top w:val="single" w:color="auto" w:sz="4" w:space="0"/>
              <w:left w:val="single" w:color="auto" w:sz="4" w:space="0"/>
              <w:right w:val="single" w:color="auto" w:sz="4" w:space="0"/>
            </w:tcBorders>
            <w:vAlign w:val="center"/>
          </w:tcPr>
          <w:p>
            <w:pPr>
              <w:jc w:val="center"/>
              <w:rPr>
                <w:szCs w:val="21"/>
              </w:rPr>
            </w:pPr>
            <w:r>
              <w:rPr>
                <w:rFonts w:hint="eastAsia"/>
                <w:szCs w:val="21"/>
              </w:rPr>
              <w:t>外售，剩余</w:t>
            </w:r>
            <w:r>
              <w:rPr>
                <w:szCs w:val="21"/>
              </w:rPr>
              <w:t>用于开采矿区填坑，</w:t>
            </w:r>
          </w:p>
          <w:p>
            <w:pPr>
              <w:jc w:val="center"/>
              <w:rPr>
                <w:szCs w:val="21"/>
              </w:rPr>
            </w:pPr>
            <w:r>
              <w:rPr>
                <w:szCs w:val="21"/>
              </w:rPr>
              <w:t>不外排</w:t>
            </w:r>
          </w:p>
        </w:tc>
        <w:tc>
          <w:tcPr>
            <w:tcW w:w="2268" w:type="dxa"/>
            <w:vMerge w:val="restart"/>
            <w:tcBorders>
              <w:top w:val="single" w:color="auto" w:sz="4" w:space="0"/>
              <w:left w:val="single" w:color="auto" w:sz="4" w:space="0"/>
              <w:right w:val="single" w:color="auto" w:sz="12" w:space="0"/>
            </w:tcBorders>
            <w:vAlign w:val="center"/>
          </w:tcPr>
          <w:p>
            <w:pPr>
              <w:jc w:val="center"/>
              <w:rPr>
                <w:szCs w:val="21"/>
              </w:rPr>
            </w:pPr>
            <w:r>
              <w:rPr>
                <w:szCs w:val="21"/>
              </w:rPr>
              <w:t>不会产生长期贮存，对周围环境无明显的不利影响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781" w:type="dxa"/>
            <w:vMerge w:val="continue"/>
            <w:tcBorders>
              <w:left w:val="single" w:color="auto" w:sz="12" w:space="0"/>
              <w:right w:val="single" w:color="auto" w:sz="4" w:space="0"/>
            </w:tcBorders>
            <w:vAlign w:val="center"/>
          </w:tcPr>
          <w:p>
            <w:pPr>
              <w:jc w:val="center"/>
              <w:rPr>
                <w:szCs w:val="21"/>
              </w:rPr>
            </w:pPr>
          </w:p>
        </w:tc>
        <w:tc>
          <w:tcPr>
            <w:tcW w:w="1940"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沉淀池</w:t>
            </w:r>
          </w:p>
        </w:tc>
        <w:tc>
          <w:tcPr>
            <w:tcW w:w="1179"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沉淀物</w:t>
            </w:r>
          </w:p>
        </w:tc>
        <w:tc>
          <w:tcPr>
            <w:tcW w:w="3046" w:type="dxa"/>
            <w:vMerge w:val="restart"/>
            <w:tcBorders>
              <w:left w:val="single" w:color="auto" w:sz="4" w:space="0"/>
              <w:right w:val="single" w:color="auto" w:sz="4" w:space="0"/>
            </w:tcBorders>
            <w:vAlign w:val="center"/>
          </w:tcPr>
          <w:p>
            <w:pPr>
              <w:jc w:val="center"/>
              <w:rPr>
                <w:szCs w:val="21"/>
              </w:rPr>
            </w:pPr>
            <w:r>
              <w:rPr>
                <w:szCs w:val="21"/>
              </w:rPr>
              <w:t>经收集用于开采矿区填坑，</w:t>
            </w:r>
          </w:p>
          <w:p>
            <w:pPr>
              <w:jc w:val="center"/>
              <w:rPr>
                <w:szCs w:val="21"/>
              </w:rPr>
            </w:pPr>
            <w:r>
              <w:rPr>
                <w:szCs w:val="21"/>
              </w:rPr>
              <w:t>不外排</w:t>
            </w:r>
          </w:p>
        </w:tc>
        <w:tc>
          <w:tcPr>
            <w:tcW w:w="2268" w:type="dxa"/>
            <w:vMerge w:val="continue"/>
            <w:tcBorders>
              <w:left w:val="single" w:color="auto" w:sz="4" w:space="0"/>
              <w:right w:val="single" w:color="auto" w:sz="12"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1" w:type="dxa"/>
            <w:vMerge w:val="continue"/>
            <w:tcBorders>
              <w:left w:val="single" w:color="auto" w:sz="12" w:space="0"/>
              <w:right w:val="single" w:color="auto" w:sz="4" w:space="0"/>
            </w:tcBorders>
            <w:vAlign w:val="center"/>
          </w:tcPr>
          <w:p>
            <w:pPr>
              <w:jc w:val="center"/>
              <w:rPr>
                <w:szCs w:val="21"/>
              </w:rPr>
            </w:pPr>
          </w:p>
        </w:tc>
        <w:tc>
          <w:tcPr>
            <w:tcW w:w="1940" w:type="dxa"/>
            <w:tcBorders>
              <w:top w:val="single" w:color="auto" w:sz="4" w:space="0"/>
              <w:left w:val="single" w:color="auto" w:sz="4" w:space="0"/>
              <w:right w:val="single" w:color="auto" w:sz="8" w:space="0"/>
            </w:tcBorders>
            <w:vAlign w:val="center"/>
          </w:tcPr>
          <w:p>
            <w:pPr>
              <w:jc w:val="center"/>
              <w:rPr>
                <w:szCs w:val="21"/>
              </w:rPr>
            </w:pPr>
            <w:r>
              <w:rPr>
                <w:szCs w:val="21"/>
              </w:rPr>
              <w:t>切割</w:t>
            </w:r>
          </w:p>
        </w:tc>
        <w:tc>
          <w:tcPr>
            <w:tcW w:w="1179" w:type="dxa"/>
            <w:tcBorders>
              <w:top w:val="single" w:color="auto" w:sz="4" w:space="0"/>
              <w:left w:val="single" w:color="auto" w:sz="8" w:space="0"/>
              <w:right w:val="single" w:color="auto" w:sz="4" w:space="0"/>
            </w:tcBorders>
            <w:vAlign w:val="center"/>
          </w:tcPr>
          <w:p>
            <w:pPr>
              <w:jc w:val="center"/>
              <w:rPr>
                <w:szCs w:val="21"/>
              </w:rPr>
            </w:pPr>
            <w:r>
              <w:rPr>
                <w:szCs w:val="21"/>
              </w:rPr>
              <w:t>落地尘</w:t>
            </w:r>
          </w:p>
        </w:tc>
        <w:tc>
          <w:tcPr>
            <w:tcW w:w="3046" w:type="dxa"/>
            <w:vMerge w:val="continue"/>
            <w:tcBorders>
              <w:left w:val="single" w:color="auto" w:sz="4" w:space="0"/>
              <w:right w:val="single" w:color="auto" w:sz="4" w:space="0"/>
            </w:tcBorders>
            <w:vAlign w:val="center"/>
          </w:tcPr>
          <w:p>
            <w:pPr>
              <w:jc w:val="center"/>
              <w:rPr>
                <w:szCs w:val="21"/>
              </w:rPr>
            </w:pPr>
          </w:p>
        </w:tc>
        <w:tc>
          <w:tcPr>
            <w:tcW w:w="2268" w:type="dxa"/>
            <w:vMerge w:val="continue"/>
            <w:tcBorders>
              <w:left w:val="single" w:color="auto" w:sz="4" w:space="0"/>
              <w:right w:val="single" w:color="auto" w:sz="12"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81" w:type="dxa"/>
            <w:vMerge w:val="continue"/>
            <w:tcBorders>
              <w:left w:val="single" w:color="auto" w:sz="12" w:space="0"/>
              <w:right w:val="single" w:color="auto" w:sz="4" w:space="0"/>
            </w:tcBorders>
            <w:vAlign w:val="center"/>
          </w:tcPr>
          <w:p>
            <w:pPr>
              <w:jc w:val="center"/>
              <w:rPr>
                <w:szCs w:val="21"/>
              </w:rPr>
            </w:pPr>
          </w:p>
        </w:tc>
        <w:tc>
          <w:tcPr>
            <w:tcW w:w="1940" w:type="dxa"/>
            <w:tcBorders>
              <w:top w:val="single" w:color="auto" w:sz="4" w:space="0"/>
              <w:left w:val="single" w:color="auto" w:sz="4" w:space="0"/>
              <w:right w:val="single" w:color="auto" w:sz="8" w:space="0"/>
            </w:tcBorders>
            <w:vAlign w:val="center"/>
          </w:tcPr>
          <w:p>
            <w:pPr>
              <w:jc w:val="center"/>
              <w:rPr>
                <w:szCs w:val="21"/>
              </w:rPr>
            </w:pPr>
            <w:r>
              <w:rPr>
                <w:szCs w:val="21"/>
              </w:rPr>
              <w:t>办公区</w:t>
            </w:r>
          </w:p>
        </w:tc>
        <w:tc>
          <w:tcPr>
            <w:tcW w:w="1179" w:type="dxa"/>
            <w:tcBorders>
              <w:top w:val="single" w:color="auto" w:sz="4" w:space="0"/>
              <w:left w:val="single" w:color="auto" w:sz="8" w:space="0"/>
              <w:right w:val="single" w:color="auto" w:sz="4" w:space="0"/>
            </w:tcBorders>
            <w:vAlign w:val="center"/>
          </w:tcPr>
          <w:p>
            <w:pPr>
              <w:jc w:val="center"/>
              <w:rPr>
                <w:szCs w:val="21"/>
              </w:rPr>
            </w:pPr>
            <w:r>
              <w:rPr>
                <w:szCs w:val="21"/>
              </w:rPr>
              <w:t>生活垃圾</w:t>
            </w:r>
          </w:p>
        </w:tc>
        <w:tc>
          <w:tcPr>
            <w:tcW w:w="3046" w:type="dxa"/>
            <w:tcBorders>
              <w:top w:val="single" w:color="auto" w:sz="4" w:space="0"/>
              <w:left w:val="single" w:color="auto" w:sz="4" w:space="0"/>
              <w:right w:val="single" w:color="auto" w:sz="4" w:space="0"/>
            </w:tcBorders>
            <w:vAlign w:val="center"/>
          </w:tcPr>
          <w:p>
            <w:pPr>
              <w:jc w:val="center"/>
              <w:rPr>
                <w:szCs w:val="21"/>
              </w:rPr>
            </w:pPr>
            <w:r>
              <w:rPr>
                <w:rFonts w:hint="eastAsia"/>
                <w:szCs w:val="21"/>
              </w:rPr>
              <w:t>委托环卫部门处理</w:t>
            </w:r>
          </w:p>
        </w:tc>
        <w:tc>
          <w:tcPr>
            <w:tcW w:w="2268" w:type="dxa"/>
            <w:vMerge w:val="continue"/>
            <w:tcBorders>
              <w:left w:val="single" w:color="auto" w:sz="4" w:space="0"/>
              <w:right w:val="single" w:color="auto" w:sz="12"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81" w:type="dxa"/>
            <w:vMerge w:val="continue"/>
            <w:tcBorders>
              <w:left w:val="single" w:color="auto" w:sz="12" w:space="0"/>
              <w:right w:val="single" w:color="auto" w:sz="4" w:space="0"/>
            </w:tcBorders>
            <w:vAlign w:val="center"/>
          </w:tcPr>
          <w:p>
            <w:pPr>
              <w:jc w:val="center"/>
              <w:rPr>
                <w:szCs w:val="21"/>
              </w:rPr>
            </w:pPr>
          </w:p>
        </w:tc>
        <w:tc>
          <w:tcPr>
            <w:tcW w:w="1940" w:type="dxa"/>
            <w:tcBorders>
              <w:top w:val="single" w:color="auto" w:sz="4" w:space="0"/>
              <w:left w:val="single" w:color="auto" w:sz="4" w:space="0"/>
              <w:right w:val="single" w:color="auto" w:sz="8" w:space="0"/>
            </w:tcBorders>
            <w:vAlign w:val="center"/>
          </w:tcPr>
          <w:p>
            <w:pPr>
              <w:jc w:val="center"/>
              <w:rPr>
                <w:szCs w:val="21"/>
              </w:rPr>
            </w:pPr>
            <w:r>
              <w:rPr>
                <w:rFonts w:hint="eastAsia"/>
                <w:szCs w:val="21"/>
              </w:rPr>
              <w:t>设备检修</w:t>
            </w:r>
          </w:p>
        </w:tc>
        <w:tc>
          <w:tcPr>
            <w:tcW w:w="1179" w:type="dxa"/>
            <w:tcBorders>
              <w:top w:val="single" w:color="auto" w:sz="4" w:space="0"/>
              <w:left w:val="single" w:color="auto" w:sz="8" w:space="0"/>
              <w:right w:val="single" w:color="auto" w:sz="4" w:space="0"/>
            </w:tcBorders>
            <w:vAlign w:val="center"/>
          </w:tcPr>
          <w:p>
            <w:pPr>
              <w:jc w:val="center"/>
              <w:rPr>
                <w:szCs w:val="21"/>
              </w:rPr>
            </w:pPr>
            <w:r>
              <w:rPr>
                <w:rFonts w:hint="eastAsia"/>
                <w:szCs w:val="21"/>
              </w:rPr>
              <w:t>废润滑油、废机油</w:t>
            </w:r>
          </w:p>
        </w:tc>
        <w:tc>
          <w:tcPr>
            <w:tcW w:w="3046" w:type="dxa"/>
            <w:tcBorders>
              <w:top w:val="single" w:color="auto" w:sz="4" w:space="0"/>
              <w:left w:val="single" w:color="auto" w:sz="4" w:space="0"/>
              <w:right w:val="single" w:color="auto" w:sz="4" w:space="0"/>
            </w:tcBorders>
            <w:vAlign w:val="center"/>
          </w:tcPr>
          <w:p>
            <w:pPr>
              <w:jc w:val="center"/>
              <w:rPr>
                <w:szCs w:val="21"/>
              </w:rPr>
            </w:pPr>
            <w:r>
              <w:rPr>
                <w:rFonts w:hint="eastAsia"/>
                <w:szCs w:val="21"/>
              </w:rPr>
              <w:t>委托有资质单位处理</w:t>
            </w:r>
          </w:p>
        </w:tc>
        <w:tc>
          <w:tcPr>
            <w:tcW w:w="2268" w:type="dxa"/>
            <w:vMerge w:val="continue"/>
            <w:tcBorders>
              <w:left w:val="single" w:color="auto" w:sz="4" w:space="0"/>
              <w:right w:val="single" w:color="auto" w:sz="12" w:space="0"/>
            </w:tcBorders>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3" w:hRule="atLeast"/>
          <w:jc w:val="center"/>
        </w:trPr>
        <w:tc>
          <w:tcPr>
            <w:tcW w:w="9214" w:type="dxa"/>
            <w:gridSpan w:val="5"/>
            <w:tcBorders>
              <w:top w:val="single" w:color="auto" w:sz="4" w:space="0"/>
              <w:left w:val="single" w:color="auto" w:sz="12" w:space="0"/>
              <w:bottom w:val="single" w:color="auto" w:sz="12" w:space="0"/>
              <w:right w:val="single" w:color="auto" w:sz="12" w:space="0"/>
            </w:tcBorders>
            <w:vAlign w:val="center"/>
          </w:tcPr>
          <w:p>
            <w:pPr>
              <w:spacing w:line="360" w:lineRule="auto"/>
              <w:rPr>
                <w:b/>
                <w:szCs w:val="21"/>
              </w:rPr>
            </w:pPr>
            <w:r>
              <w:rPr>
                <w:b/>
                <w:szCs w:val="21"/>
              </w:rPr>
              <w:t>生态保护措施及预期效果：</w:t>
            </w:r>
          </w:p>
          <w:p>
            <w:pPr>
              <w:ind w:firstLine="420" w:firstLineChars="200"/>
              <w:rPr>
                <w:szCs w:val="21"/>
              </w:rPr>
            </w:pPr>
            <w:r>
              <w:rPr>
                <w:szCs w:val="21"/>
              </w:rPr>
              <w:t>矿区植被的变化是</w:t>
            </w:r>
            <w:r>
              <w:rPr>
                <w:rFonts w:hint="eastAsia"/>
                <w:szCs w:val="21"/>
              </w:rPr>
              <w:t>：</w:t>
            </w:r>
            <w:r>
              <w:rPr>
                <w:szCs w:val="21"/>
              </w:rPr>
              <w:t>矿区内的林地、荒草地等植被逐渐消失，生态恢复绿地从无到有再到大幅增加。评价区景观结构将发生一定变化:一是地貌形态，原来的山丘高度逐渐降低，最后变为洼地;二是矿区内植被覆盖由荒草地、林地等变为裸地，后又被覆土耕地和林地; 三是绿化覆盖率增加。实施水土保持措施后，绿地面积大为增加，评价区的水土流失模数明显降低，水土流失量比先前有较大降低。矿区采终后，由于矿区开采区进行绿化、复垦，植物生物量将比生产运营期(开采期) 明显增加。矿区内开采区复垦后，将形成林地和耕地，矿区绿化形成的绿地与周围林地等景观连接为一体，改善了当地的生态环境质量。</w:t>
            </w:r>
          </w:p>
          <w:p>
            <w:pPr>
              <w:rPr>
                <w:szCs w:val="21"/>
              </w:rPr>
            </w:pPr>
          </w:p>
          <w:p>
            <w:pPr>
              <w:rPr>
                <w:szCs w:val="21"/>
              </w:rPr>
            </w:pPr>
          </w:p>
        </w:tc>
      </w:tr>
    </w:tbl>
    <w:p>
      <w:pPr>
        <w:spacing w:line="480" w:lineRule="auto"/>
        <w:outlineLvl w:val="0"/>
        <w:rPr>
          <w:rFonts w:ascii="宋体" w:hAnsi="宋体"/>
          <w:b/>
          <w:bCs/>
          <w:sz w:val="32"/>
          <w:szCs w:val="28"/>
        </w:rPr>
      </w:pPr>
      <w:r>
        <w:rPr>
          <w:rFonts w:ascii="宋体" w:hAnsi="宋体"/>
          <w:b/>
          <w:bCs/>
          <w:sz w:val="32"/>
          <w:szCs w:val="28"/>
        </w:rPr>
        <w:t>九</w:t>
      </w:r>
      <w:r>
        <w:rPr>
          <w:rFonts w:hint="eastAsia" w:ascii="宋体" w:hAnsi="宋体"/>
          <w:b/>
          <w:bCs/>
          <w:sz w:val="32"/>
          <w:szCs w:val="28"/>
        </w:rPr>
        <w:t>、</w:t>
      </w:r>
      <w:r>
        <w:rPr>
          <w:rFonts w:ascii="宋体" w:hAnsi="宋体"/>
          <w:b/>
          <w:bCs/>
          <w:sz w:val="32"/>
          <w:szCs w:val="28"/>
        </w:rPr>
        <w:t>结论与建议</w:t>
      </w:r>
    </w:p>
    <w:tbl>
      <w:tblPr>
        <w:tblStyle w:val="15"/>
        <w:tblW w:w="946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414"/>
        <w:gridCol w:w="5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50" w:type="dxa"/>
          <w:trHeight w:val="111" w:hRule="atLeast"/>
          <w:jc w:val="center"/>
        </w:trPr>
        <w:tc>
          <w:tcPr>
            <w:tcW w:w="9414" w:type="dxa"/>
            <w:tcBorders>
              <w:top w:val="single" w:color="auto" w:sz="12" w:space="0"/>
              <w:left w:val="single" w:color="auto" w:sz="12" w:space="0"/>
              <w:right w:val="single" w:color="auto" w:sz="12" w:space="0"/>
            </w:tcBorders>
            <w:noWrap/>
          </w:tcPr>
          <w:p>
            <w:pPr>
              <w:spacing w:line="480" w:lineRule="exact"/>
              <w:rPr>
                <w:b/>
                <w:sz w:val="24"/>
              </w:rPr>
            </w:pPr>
            <w:r>
              <w:rPr>
                <w:b/>
                <w:sz w:val="24"/>
              </w:rPr>
              <w:t>一、通过环境影响分析可以得出以下结论：</w:t>
            </w:r>
          </w:p>
          <w:p>
            <w:pPr>
              <w:spacing w:line="360" w:lineRule="auto"/>
              <w:ind w:firstLine="481" w:firstLineChars="200"/>
              <w:rPr>
                <w:b/>
                <w:sz w:val="24"/>
              </w:rPr>
            </w:pPr>
            <w:r>
              <w:rPr>
                <w:b/>
                <w:sz w:val="24"/>
              </w:rPr>
              <w:t>1、项目概况</w:t>
            </w:r>
          </w:p>
          <w:p>
            <w:pPr>
              <w:spacing w:line="360" w:lineRule="auto"/>
              <w:ind w:firstLine="480" w:firstLineChars="200"/>
              <w:rPr>
                <w:sz w:val="24"/>
              </w:rPr>
            </w:pPr>
            <w:r>
              <w:rPr>
                <w:rFonts w:hint="eastAsia"/>
                <w:sz w:val="24"/>
              </w:rPr>
              <w:t>汶上县闳兴矿业有限公司投资4600万元在</w:t>
            </w:r>
            <w:r>
              <w:rPr>
                <w:sz w:val="24"/>
              </w:rPr>
              <w:t>汶上县城东北约</w:t>
            </w:r>
            <w:r>
              <w:rPr>
                <w:rFonts w:hint="eastAsia"/>
                <w:sz w:val="24"/>
              </w:rPr>
              <w:t>14</w:t>
            </w:r>
            <w:r>
              <w:rPr>
                <w:sz w:val="24"/>
              </w:rPr>
              <w:t>km，白石镇</w:t>
            </w:r>
            <w:r>
              <w:rPr>
                <w:rFonts w:hint="eastAsia"/>
                <w:sz w:val="24"/>
              </w:rPr>
              <w:t>东</w:t>
            </w:r>
            <w:r>
              <w:rPr>
                <w:sz w:val="24"/>
              </w:rPr>
              <w:t>南约2km处建设汶上县</w:t>
            </w:r>
            <w:r>
              <w:rPr>
                <w:rFonts w:hint="eastAsia"/>
                <w:sz w:val="24"/>
              </w:rPr>
              <w:t>东老塘</w:t>
            </w:r>
            <w:r>
              <w:rPr>
                <w:sz w:val="24"/>
              </w:rPr>
              <w:t>矿区建筑用花岗岩矿开采项目</w:t>
            </w:r>
            <w:r>
              <w:rPr>
                <w:rFonts w:hint="eastAsia"/>
                <w:sz w:val="24"/>
              </w:rPr>
              <w:t>。汶上县自然资源和规划局已对</w:t>
            </w:r>
            <w:r>
              <w:rPr>
                <w:sz w:val="24"/>
              </w:rPr>
              <w:t>汶上县</w:t>
            </w:r>
            <w:r>
              <w:rPr>
                <w:rFonts w:hint="eastAsia"/>
                <w:sz w:val="24"/>
              </w:rPr>
              <w:t>东老塘</w:t>
            </w:r>
            <w:r>
              <w:rPr>
                <w:sz w:val="24"/>
              </w:rPr>
              <w:t>矿区建筑用花岗岩矿</w:t>
            </w:r>
            <w:r>
              <w:rPr>
                <w:rFonts w:hint="eastAsia"/>
                <w:sz w:val="24"/>
              </w:rPr>
              <w:t>矿区范围进行批复。</w:t>
            </w:r>
          </w:p>
          <w:p>
            <w:pPr>
              <w:spacing w:line="360" w:lineRule="auto"/>
              <w:ind w:firstLine="480" w:firstLineChars="200"/>
              <w:rPr>
                <w:sz w:val="24"/>
                <w:highlight w:val="yellow"/>
              </w:rPr>
            </w:pPr>
            <w:r>
              <w:rPr>
                <w:rFonts w:hint="eastAsia"/>
                <w:sz w:val="24"/>
              </w:rPr>
              <w:t>经划定东老塘</w:t>
            </w:r>
            <w:r>
              <w:rPr>
                <w:sz w:val="24"/>
              </w:rPr>
              <w:t>矿区范围分</w:t>
            </w:r>
            <w:r>
              <w:rPr>
                <w:rFonts w:hint="eastAsia"/>
                <w:sz w:val="24"/>
              </w:rPr>
              <w:t>为4</w:t>
            </w:r>
            <w:r>
              <w:rPr>
                <w:sz w:val="24"/>
              </w:rPr>
              <w:t>个区块，其中第一区块由</w:t>
            </w:r>
            <w:r>
              <w:rPr>
                <w:rFonts w:hint="eastAsia"/>
                <w:sz w:val="24"/>
              </w:rPr>
              <w:t>7</w:t>
            </w:r>
            <w:r>
              <w:rPr>
                <w:sz w:val="24"/>
              </w:rPr>
              <w:t>个拐点坐标圈定；矿区面积为0.05km</w:t>
            </w:r>
            <w:r>
              <w:rPr>
                <w:sz w:val="24"/>
                <w:vertAlign w:val="superscript"/>
              </w:rPr>
              <w:t xml:space="preserve">2 </w:t>
            </w:r>
            <w:r>
              <w:rPr>
                <w:rFonts w:hint="eastAsia"/>
                <w:sz w:val="24"/>
              </w:rPr>
              <w:t>，</w:t>
            </w:r>
            <w:r>
              <w:rPr>
                <w:sz w:val="24"/>
              </w:rPr>
              <w:t>开采标高：+75.62m～+16.0m。第二区块由</w:t>
            </w:r>
            <w:r>
              <w:rPr>
                <w:rFonts w:hint="eastAsia"/>
                <w:sz w:val="24"/>
              </w:rPr>
              <w:t>12</w:t>
            </w:r>
            <w:r>
              <w:rPr>
                <w:sz w:val="24"/>
              </w:rPr>
              <w:t>个拐点坐标圈定；矿区面积为0.405km</w:t>
            </w:r>
            <w:r>
              <w:rPr>
                <w:sz w:val="24"/>
                <w:vertAlign w:val="superscript"/>
              </w:rPr>
              <w:t>2</w:t>
            </w:r>
            <w:r>
              <w:rPr>
                <w:sz w:val="24"/>
              </w:rPr>
              <w:t>；开采标高为+75.62m～+20.0m。第</w:t>
            </w:r>
            <w:r>
              <w:rPr>
                <w:rFonts w:hint="eastAsia"/>
                <w:sz w:val="24"/>
              </w:rPr>
              <w:t>三</w:t>
            </w:r>
            <w:r>
              <w:rPr>
                <w:sz w:val="24"/>
              </w:rPr>
              <w:t>区块由</w:t>
            </w:r>
            <w:r>
              <w:rPr>
                <w:rFonts w:hint="eastAsia"/>
                <w:sz w:val="24"/>
              </w:rPr>
              <w:t>14</w:t>
            </w:r>
            <w:r>
              <w:rPr>
                <w:sz w:val="24"/>
              </w:rPr>
              <w:t>个拐点坐标圈定；矿区面积为0.113km</w:t>
            </w:r>
            <w:r>
              <w:rPr>
                <w:sz w:val="24"/>
                <w:vertAlign w:val="superscript"/>
              </w:rPr>
              <w:t xml:space="preserve">2 </w:t>
            </w:r>
            <w:r>
              <w:rPr>
                <w:rFonts w:hint="eastAsia"/>
                <w:sz w:val="24"/>
              </w:rPr>
              <w:t>，</w:t>
            </w:r>
            <w:r>
              <w:rPr>
                <w:sz w:val="24"/>
              </w:rPr>
              <w:t>开采标高：+63.47m～+20.0m。第</w:t>
            </w:r>
            <w:r>
              <w:rPr>
                <w:rFonts w:hint="eastAsia"/>
                <w:sz w:val="24"/>
              </w:rPr>
              <w:t>四</w:t>
            </w:r>
            <w:r>
              <w:rPr>
                <w:sz w:val="24"/>
              </w:rPr>
              <w:t>区块由</w:t>
            </w:r>
            <w:r>
              <w:rPr>
                <w:rFonts w:hint="eastAsia"/>
                <w:sz w:val="24"/>
              </w:rPr>
              <w:t>15</w:t>
            </w:r>
            <w:r>
              <w:rPr>
                <w:sz w:val="24"/>
              </w:rPr>
              <w:t>个拐点坐标圈定；矿区面积为0.</w:t>
            </w:r>
            <w:r>
              <w:rPr>
                <w:rFonts w:hint="eastAsia"/>
                <w:sz w:val="24"/>
              </w:rPr>
              <w:t>213</w:t>
            </w:r>
            <w:r>
              <w:rPr>
                <w:sz w:val="24"/>
              </w:rPr>
              <w:t>km</w:t>
            </w:r>
            <w:r>
              <w:rPr>
                <w:sz w:val="24"/>
                <w:vertAlign w:val="superscript"/>
              </w:rPr>
              <w:t>2</w:t>
            </w:r>
            <w:r>
              <w:rPr>
                <w:sz w:val="24"/>
              </w:rPr>
              <w:t>；开采标高为+76.27m～+45.0m。开采矿种为建筑用花岗岩；开采方式为露天凹陷式开采</w:t>
            </w:r>
            <w:r>
              <w:rPr>
                <w:rFonts w:hint="eastAsia"/>
                <w:sz w:val="24"/>
              </w:rPr>
              <w:t>。</w:t>
            </w:r>
          </w:p>
          <w:p>
            <w:pPr>
              <w:spacing w:line="360" w:lineRule="auto"/>
              <w:ind w:firstLine="481" w:firstLineChars="200"/>
              <w:rPr>
                <w:b/>
                <w:sz w:val="24"/>
              </w:rPr>
            </w:pPr>
            <w:r>
              <w:rPr>
                <w:b/>
                <w:sz w:val="24"/>
              </w:rPr>
              <w:t>2、符合国家产业政策的要求</w:t>
            </w:r>
          </w:p>
          <w:p>
            <w:pPr>
              <w:spacing w:line="360" w:lineRule="auto"/>
              <w:ind w:firstLine="480" w:firstLineChars="200"/>
              <w:rPr>
                <w:sz w:val="24"/>
              </w:rPr>
            </w:pPr>
            <w:r>
              <w:rPr>
                <w:sz w:val="24"/>
              </w:rPr>
              <w:t>根据国家发改委《产业结构调整指导目录(2011年本)》(2013修正)，</w:t>
            </w:r>
            <w:r>
              <w:rPr>
                <w:rFonts w:hint="eastAsia"/>
                <w:sz w:val="24"/>
              </w:rPr>
              <w:t>石材矿山平台平整、切割、分离、吊装、运输等工序均为机械化作业，符合《产业结构调整指导目录》（2011年本）（修正），第十二类第10条：机械化石材矿山开采</w:t>
            </w:r>
            <w:r>
              <w:rPr>
                <w:sz w:val="24"/>
              </w:rPr>
              <w:t>，属于</w:t>
            </w:r>
            <w:r>
              <w:rPr>
                <w:rFonts w:hint="eastAsia"/>
                <w:sz w:val="24"/>
              </w:rPr>
              <w:t>鼓励</w:t>
            </w:r>
            <w:r>
              <w:rPr>
                <w:sz w:val="24"/>
              </w:rPr>
              <w:t>类项目，符合国家产业政策要求。</w:t>
            </w:r>
          </w:p>
          <w:p>
            <w:pPr>
              <w:spacing w:line="360" w:lineRule="auto"/>
              <w:ind w:firstLine="481" w:firstLineChars="200"/>
              <w:rPr>
                <w:b/>
                <w:sz w:val="24"/>
              </w:rPr>
            </w:pPr>
            <w:r>
              <w:rPr>
                <w:b/>
                <w:sz w:val="24"/>
              </w:rPr>
              <w:t>3、项目规划符合性及选址合理性分析</w:t>
            </w:r>
          </w:p>
          <w:p>
            <w:pPr>
              <w:widowControl/>
              <w:spacing w:line="360" w:lineRule="auto"/>
              <w:ind w:firstLine="480" w:firstLineChars="200"/>
              <w:jc w:val="left"/>
              <w:rPr>
                <w:kern w:val="0"/>
                <w:sz w:val="24"/>
              </w:rPr>
            </w:pPr>
            <w:r>
              <w:rPr>
                <w:kern w:val="0"/>
                <w:sz w:val="24"/>
              </w:rPr>
              <w:t xml:space="preserve"> (1)</w:t>
            </w:r>
            <w:r>
              <w:rPr>
                <w:rFonts w:hint="eastAsia"/>
                <w:kern w:val="0"/>
                <w:sz w:val="24"/>
              </w:rPr>
              <w:t>本项目不在</w:t>
            </w:r>
            <w:r>
              <w:rPr>
                <w:kern w:val="0"/>
                <w:sz w:val="24"/>
              </w:rPr>
              <w:t>《矿山生态环境保护与污染防治技术政策》规定</w:t>
            </w:r>
            <w:r>
              <w:rPr>
                <w:rFonts w:hint="eastAsia"/>
                <w:kern w:val="0"/>
                <w:sz w:val="24"/>
              </w:rPr>
              <w:t>的</w:t>
            </w:r>
            <w:r>
              <w:rPr>
                <w:kern w:val="0"/>
                <w:sz w:val="24"/>
              </w:rPr>
              <w:t>禁止采矿区域内</w:t>
            </w:r>
            <w:r>
              <w:rPr>
                <w:rFonts w:hint="eastAsia"/>
                <w:kern w:val="0"/>
                <w:sz w:val="24"/>
              </w:rPr>
              <w:t>，</w:t>
            </w:r>
            <w:r>
              <w:rPr>
                <w:kern w:val="0"/>
                <w:sz w:val="24"/>
              </w:rPr>
              <w:t>符合政策要求。</w:t>
            </w:r>
          </w:p>
          <w:p>
            <w:pPr>
              <w:widowControl/>
              <w:spacing w:line="360" w:lineRule="auto"/>
              <w:ind w:firstLine="480" w:firstLineChars="200"/>
              <w:jc w:val="left"/>
              <w:rPr>
                <w:kern w:val="0"/>
                <w:sz w:val="24"/>
              </w:rPr>
            </w:pPr>
            <w:r>
              <w:rPr>
                <w:kern w:val="0"/>
                <w:sz w:val="24"/>
              </w:rPr>
              <w:t>(2) </w:t>
            </w:r>
            <w:r>
              <w:rPr>
                <w:rFonts w:hint="eastAsia"/>
                <w:kern w:val="0"/>
                <w:sz w:val="24"/>
              </w:rPr>
              <w:t>根据</w:t>
            </w:r>
            <w:r>
              <w:rPr>
                <w:kern w:val="0"/>
                <w:sz w:val="24"/>
              </w:rPr>
              <w:t>《关于调整部分矿种矿山生产建设规模标准的通知》(国土资发[2004]208 号)</w:t>
            </w:r>
            <w:r>
              <w:rPr>
                <w:rFonts w:hint="eastAsia"/>
                <w:kern w:val="0"/>
                <w:sz w:val="24"/>
              </w:rPr>
              <w:t>，</w:t>
            </w:r>
            <w:r>
              <w:rPr>
                <w:kern w:val="0"/>
                <w:sz w:val="24"/>
              </w:rPr>
              <w:t>本矿区属大型矿山。</w:t>
            </w:r>
          </w:p>
          <w:p>
            <w:pPr>
              <w:widowControl/>
              <w:spacing w:line="360" w:lineRule="auto"/>
              <w:ind w:firstLine="480" w:firstLineChars="200"/>
              <w:jc w:val="left"/>
              <w:rPr>
                <w:kern w:val="0"/>
                <w:sz w:val="24"/>
              </w:rPr>
            </w:pPr>
            <w:r>
              <w:rPr>
                <w:kern w:val="0"/>
                <w:sz w:val="24"/>
              </w:rPr>
              <w:t>(3)</w:t>
            </w:r>
            <w:r>
              <w:rPr>
                <w:rFonts w:hint="eastAsia"/>
                <w:kern w:val="0"/>
                <w:sz w:val="24"/>
              </w:rPr>
              <w:t>根据</w:t>
            </w:r>
            <w:r>
              <w:rPr>
                <w:kern w:val="0"/>
                <w:sz w:val="24"/>
              </w:rPr>
              <w:t>《山东省实施&lt;中华人民共和国大气污染防治法&gt;办法》</w:t>
            </w:r>
            <w:r>
              <w:rPr>
                <w:rFonts w:hint="eastAsia"/>
                <w:kern w:val="0"/>
                <w:sz w:val="24"/>
              </w:rPr>
              <w:t>，项目</w:t>
            </w:r>
            <w:r>
              <w:rPr>
                <w:kern w:val="0"/>
                <w:sz w:val="24"/>
              </w:rPr>
              <w:t>不在省道两侧的直视范围内，选址符合规定。</w:t>
            </w:r>
          </w:p>
          <w:p>
            <w:pPr>
              <w:spacing w:line="360" w:lineRule="auto"/>
              <w:ind w:firstLine="481" w:firstLineChars="200"/>
              <w:rPr>
                <w:b/>
                <w:sz w:val="24"/>
              </w:rPr>
            </w:pPr>
            <w:r>
              <w:rPr>
                <w:b/>
                <w:sz w:val="24"/>
              </w:rPr>
              <w:t>4、土地使用的合法性分析</w:t>
            </w:r>
          </w:p>
          <w:p>
            <w:pPr>
              <w:spacing w:line="360" w:lineRule="auto"/>
              <w:ind w:firstLine="480" w:firstLineChars="200"/>
              <w:rPr>
                <w:sz w:val="24"/>
              </w:rPr>
            </w:pPr>
            <w:r>
              <w:rPr>
                <w:sz w:val="24"/>
              </w:rPr>
              <w:t>本项目不属于国土资发《限制用地项目目录》(2012年本)和《禁止用地项目目录》(2012年本)限批、禁批的范围。</w:t>
            </w:r>
          </w:p>
          <w:p>
            <w:pPr>
              <w:spacing w:line="360" w:lineRule="auto"/>
              <w:ind w:firstLine="481" w:firstLineChars="200"/>
              <w:rPr>
                <w:b/>
                <w:sz w:val="24"/>
              </w:rPr>
            </w:pPr>
            <w:r>
              <w:rPr>
                <w:b/>
                <w:sz w:val="24"/>
              </w:rPr>
              <w:t>5、厂区周围环境质量现状</w:t>
            </w:r>
          </w:p>
          <w:p>
            <w:pPr>
              <w:spacing w:line="360" w:lineRule="auto"/>
              <w:ind w:firstLine="436" w:firstLineChars="182"/>
              <w:rPr>
                <w:sz w:val="24"/>
              </w:rPr>
            </w:pPr>
            <w:r>
              <w:rPr>
                <w:sz w:val="24"/>
              </w:rPr>
              <w:t>（1）环境空气</w:t>
            </w:r>
          </w:p>
          <w:p>
            <w:pPr>
              <w:spacing w:line="360" w:lineRule="auto"/>
              <w:ind w:firstLine="480" w:firstLineChars="200"/>
              <w:rPr>
                <w:sz w:val="24"/>
              </w:rPr>
            </w:pPr>
            <w:r>
              <w:rPr>
                <w:rFonts w:hint="eastAsia" w:eastAsia="新宋体"/>
                <w:sz w:val="24"/>
              </w:rPr>
              <w:t>汶上县</w:t>
            </w:r>
            <w:r>
              <w:rPr>
                <w:sz w:val="24"/>
                <w:szCs w:val="22"/>
              </w:rPr>
              <w:t>SO</w:t>
            </w:r>
            <w:r>
              <w:rPr>
                <w:sz w:val="24"/>
                <w:szCs w:val="22"/>
                <w:vertAlign w:val="subscript"/>
              </w:rPr>
              <w:t>2</w:t>
            </w:r>
            <w:r>
              <w:rPr>
                <w:sz w:val="24"/>
                <w:szCs w:val="22"/>
              </w:rPr>
              <w:t>、NO</w:t>
            </w:r>
            <w:r>
              <w:rPr>
                <w:sz w:val="24"/>
                <w:szCs w:val="22"/>
                <w:vertAlign w:val="subscript"/>
              </w:rPr>
              <w:t>2</w:t>
            </w:r>
            <w:r>
              <w:rPr>
                <w:sz w:val="24"/>
                <w:szCs w:val="22"/>
              </w:rPr>
              <w:t>、PM</w:t>
            </w:r>
            <w:r>
              <w:rPr>
                <w:sz w:val="24"/>
                <w:szCs w:val="22"/>
                <w:vertAlign w:val="subscript"/>
              </w:rPr>
              <w:t>10</w:t>
            </w:r>
            <w:r>
              <w:rPr>
                <w:sz w:val="24"/>
                <w:szCs w:val="22"/>
              </w:rPr>
              <w:t>均</w:t>
            </w:r>
            <w:r>
              <w:rPr>
                <w:rFonts w:hint="eastAsia"/>
                <w:sz w:val="24"/>
                <w:szCs w:val="22"/>
              </w:rPr>
              <w:t>不</w:t>
            </w:r>
            <w:r>
              <w:rPr>
                <w:sz w:val="24"/>
                <w:szCs w:val="22"/>
              </w:rPr>
              <w:t>超标，</w:t>
            </w:r>
            <w:r>
              <w:rPr>
                <w:rFonts w:hint="eastAsia"/>
                <w:sz w:val="24"/>
                <w:szCs w:val="22"/>
              </w:rPr>
              <w:t>PM</w:t>
            </w:r>
            <w:r>
              <w:rPr>
                <w:rFonts w:hint="eastAsia"/>
                <w:sz w:val="24"/>
                <w:szCs w:val="22"/>
                <w:vertAlign w:val="subscript"/>
              </w:rPr>
              <w:t>2.5</w:t>
            </w:r>
            <w:r>
              <w:rPr>
                <w:rFonts w:hint="eastAsia"/>
                <w:sz w:val="24"/>
                <w:szCs w:val="22"/>
              </w:rPr>
              <w:t>略有超标。根据《生态环境部通报重点区域2018年10月-2019年1月环境空气质量有关情况》，区域环境空气质量正逐步改善</w:t>
            </w:r>
            <w:r>
              <w:rPr>
                <w:sz w:val="24"/>
                <w:szCs w:val="22"/>
              </w:rPr>
              <w:t>。</w:t>
            </w:r>
          </w:p>
          <w:p>
            <w:pPr>
              <w:spacing w:line="360" w:lineRule="auto"/>
              <w:ind w:firstLine="480" w:firstLineChars="200"/>
              <w:rPr>
                <w:sz w:val="24"/>
              </w:rPr>
            </w:pPr>
            <w:r>
              <w:rPr>
                <w:sz w:val="24"/>
              </w:rPr>
              <w:t>（2）水环境</w:t>
            </w:r>
          </w:p>
          <w:p>
            <w:pPr>
              <w:spacing w:line="360" w:lineRule="auto"/>
              <w:ind w:firstLine="480" w:firstLineChars="200"/>
              <w:rPr>
                <w:sz w:val="24"/>
              </w:rPr>
            </w:pPr>
            <w:r>
              <w:rPr>
                <w:sz w:val="24"/>
              </w:rPr>
              <w:t>项目所在地水环境质量功能区属</w:t>
            </w:r>
            <w:r>
              <w:rPr>
                <w:rFonts w:hint="eastAsia" w:ascii="宋体" w:hAnsi="宋体" w:cs="宋体"/>
                <w:sz w:val="24"/>
              </w:rPr>
              <w:t>Ⅲ</w:t>
            </w:r>
            <w:r>
              <w:rPr>
                <w:sz w:val="24"/>
              </w:rPr>
              <w:t>类区，</w:t>
            </w:r>
            <w:r>
              <w:rPr>
                <w:spacing w:val="8"/>
                <w:kern w:val="0"/>
                <w:sz w:val="24"/>
              </w:rPr>
              <w:t>满足</w:t>
            </w:r>
            <w:r>
              <w:rPr>
                <w:spacing w:val="8"/>
                <w:sz w:val="24"/>
              </w:rPr>
              <w:t>《地表水环境质量标准》（GB3838-2002）</w:t>
            </w:r>
            <w:r>
              <w:rPr>
                <w:rFonts w:hint="eastAsia" w:ascii="宋体" w:hAnsi="宋体" w:cs="宋体"/>
                <w:sz w:val="24"/>
              </w:rPr>
              <w:t>Ⅲ</w:t>
            </w:r>
            <w:r>
              <w:rPr>
                <w:spacing w:val="8"/>
                <w:sz w:val="24"/>
              </w:rPr>
              <w:t>类水质要求，</w:t>
            </w:r>
            <w:r>
              <w:rPr>
                <w:sz w:val="24"/>
              </w:rPr>
              <w:t>所在地地下水环境质量较好，达到《地下水质量标准》（GB/T14848－</w:t>
            </w:r>
            <w:r>
              <w:rPr>
                <w:rFonts w:hint="eastAsia"/>
                <w:sz w:val="24"/>
              </w:rPr>
              <w:t>2017</w:t>
            </w:r>
            <w:r>
              <w:rPr>
                <w:sz w:val="24"/>
              </w:rPr>
              <w:t>）</w:t>
            </w:r>
            <w:r>
              <w:rPr>
                <w:rFonts w:hint="eastAsia" w:ascii="宋体" w:hAnsi="宋体" w:cs="宋体"/>
                <w:sz w:val="24"/>
              </w:rPr>
              <w:t>Ⅲ</w:t>
            </w:r>
            <w:r>
              <w:rPr>
                <w:sz w:val="24"/>
              </w:rPr>
              <w:t>类标准。</w:t>
            </w:r>
          </w:p>
          <w:p>
            <w:pPr>
              <w:spacing w:line="360" w:lineRule="auto"/>
              <w:ind w:firstLine="436" w:firstLineChars="182"/>
              <w:rPr>
                <w:sz w:val="24"/>
              </w:rPr>
            </w:pPr>
            <w:r>
              <w:rPr>
                <w:sz w:val="24"/>
              </w:rPr>
              <w:t xml:space="preserve">（3）声环境 </w:t>
            </w:r>
          </w:p>
          <w:p>
            <w:pPr>
              <w:spacing w:line="360" w:lineRule="auto"/>
              <w:ind w:firstLine="480"/>
              <w:rPr>
                <w:sz w:val="24"/>
              </w:rPr>
            </w:pPr>
            <w:r>
              <w:rPr>
                <w:sz w:val="24"/>
              </w:rPr>
              <w:t>本项目所在地处于2类区，项目所在地周围声环境昼间和夜间均符合国家《声环境质量标准》（GB3096-2008）中的2类标准，声环境质量较好。</w:t>
            </w:r>
          </w:p>
          <w:p>
            <w:pPr>
              <w:spacing w:line="360" w:lineRule="auto"/>
              <w:ind w:firstLine="481" w:firstLineChars="200"/>
              <w:rPr>
                <w:b/>
                <w:sz w:val="24"/>
              </w:rPr>
            </w:pPr>
            <w:r>
              <w:rPr>
                <w:b/>
                <w:sz w:val="24"/>
              </w:rPr>
              <w:t>6、营运期污染物排放情况及影响结论</w:t>
            </w:r>
          </w:p>
          <w:p>
            <w:pPr>
              <w:pStyle w:val="10"/>
              <w:spacing w:line="360" w:lineRule="auto"/>
              <w:ind w:left="0" w:firstLine="481" w:firstLineChars="200"/>
              <w:jc w:val="left"/>
              <w:rPr>
                <w:rFonts w:ascii="Times New Roman"/>
                <w:b/>
                <w:sz w:val="24"/>
                <w:szCs w:val="24"/>
              </w:rPr>
            </w:pPr>
            <w:r>
              <w:rPr>
                <w:rFonts w:ascii="Times New Roman"/>
                <w:b/>
                <w:sz w:val="24"/>
                <w:szCs w:val="24"/>
              </w:rPr>
              <w:t>大气环境影响分析结论</w:t>
            </w:r>
          </w:p>
          <w:p>
            <w:pPr>
              <w:pStyle w:val="8"/>
              <w:spacing w:line="360" w:lineRule="auto"/>
              <w:ind w:left="0" w:leftChars="0" w:firstLine="480" w:firstLineChars="200"/>
              <w:rPr>
                <w:bCs/>
                <w:sz w:val="24"/>
              </w:rPr>
            </w:pPr>
            <w:r>
              <w:rPr>
                <w:bCs/>
                <w:sz w:val="24"/>
              </w:rPr>
              <w:t>本项目生产过程中产生的废气主要为粉尘。</w:t>
            </w:r>
          </w:p>
          <w:p>
            <w:pPr>
              <w:tabs>
                <w:tab w:val="left" w:pos="840"/>
              </w:tabs>
              <w:spacing w:line="360" w:lineRule="auto"/>
              <w:ind w:firstLine="480" w:firstLineChars="200"/>
              <w:rPr>
                <w:sz w:val="24"/>
              </w:rPr>
            </w:pPr>
            <w:r>
              <w:rPr>
                <w:sz w:val="24"/>
              </w:rPr>
              <w:t>本项目</w:t>
            </w:r>
            <w:r>
              <w:rPr>
                <w:rFonts w:hint="eastAsia"/>
                <w:sz w:val="24"/>
              </w:rPr>
              <w:t>采用湿法作业，</w:t>
            </w:r>
            <w:r>
              <w:rPr>
                <w:kern w:val="0"/>
                <w:sz w:val="24"/>
              </w:rPr>
              <w:t>在切割</w:t>
            </w:r>
            <w:r>
              <w:rPr>
                <w:rFonts w:hint="eastAsia"/>
                <w:kern w:val="0"/>
                <w:sz w:val="24"/>
              </w:rPr>
              <w:t>、钻孔</w:t>
            </w:r>
            <w:r>
              <w:rPr>
                <w:kern w:val="0"/>
                <w:sz w:val="24"/>
              </w:rPr>
              <w:t>时进行水喷淋降尘处理，</w:t>
            </w:r>
            <w:r>
              <w:rPr>
                <w:rFonts w:hint="eastAsia"/>
                <w:sz w:val="24"/>
              </w:rPr>
              <w:t>在装卸车环节增设大型雾炮抑尘，道路两侧及堆场四周设置防风抑尘网</w:t>
            </w:r>
            <w:r>
              <w:rPr>
                <w:sz w:val="24"/>
              </w:rPr>
              <w:t>，</w:t>
            </w:r>
            <w:r>
              <w:rPr>
                <w:rFonts w:hint="eastAsia"/>
                <w:sz w:val="24"/>
              </w:rPr>
              <w:t>厂区内外道路进行硬化并清扫</w:t>
            </w:r>
            <w:r>
              <w:rPr>
                <w:kern w:val="0"/>
                <w:sz w:val="24"/>
              </w:rPr>
              <w:t>，</w:t>
            </w:r>
            <w:r>
              <w:rPr>
                <w:rFonts w:hint="eastAsia"/>
                <w:kern w:val="0"/>
                <w:sz w:val="24"/>
              </w:rPr>
              <w:t>堆场进行覆盖</w:t>
            </w:r>
            <w:r>
              <w:rPr>
                <w:rFonts w:hint="eastAsia"/>
                <w:sz w:val="24"/>
              </w:rPr>
              <w:t>，</w:t>
            </w:r>
            <w:r>
              <w:rPr>
                <w:rFonts w:hint="eastAsia"/>
                <w:kern w:val="0"/>
                <w:sz w:val="24"/>
              </w:rPr>
              <w:t>道路及堆场</w:t>
            </w:r>
            <w:r>
              <w:rPr>
                <w:kern w:val="0"/>
                <w:sz w:val="24"/>
              </w:rPr>
              <w:t>定期洒水抑制扬尘</w:t>
            </w:r>
            <w:r>
              <w:rPr>
                <w:rFonts w:hint="eastAsia"/>
                <w:kern w:val="0"/>
                <w:sz w:val="24"/>
              </w:rPr>
              <w:t>，进出车辆进行清洗，营运期</w:t>
            </w:r>
            <w:r>
              <w:rPr>
                <w:kern w:val="0"/>
                <w:sz w:val="24"/>
              </w:rPr>
              <w:t>扬尘产生量较小。</w:t>
            </w:r>
            <w:r>
              <w:rPr>
                <w:rFonts w:hint="eastAsia"/>
                <w:sz w:val="24"/>
              </w:rPr>
              <w:t>无组织组织排放粉尘</w:t>
            </w:r>
            <w:r>
              <w:rPr>
                <w:rFonts w:hAnsi="宋体"/>
                <w:sz w:val="24"/>
              </w:rPr>
              <w:t>最大落地浓度为</w:t>
            </w:r>
            <w:r>
              <w:rPr>
                <w:rFonts w:hint="eastAsia"/>
                <w:sz w:val="24"/>
              </w:rPr>
              <w:t>0.079</w:t>
            </w:r>
            <w:r>
              <w:rPr>
                <w:sz w:val="24"/>
              </w:rPr>
              <w:t>mg/m</w:t>
            </w:r>
            <w:r>
              <w:rPr>
                <w:sz w:val="24"/>
                <w:vertAlign w:val="superscript"/>
              </w:rPr>
              <w:t>3</w:t>
            </w:r>
            <w:r>
              <w:rPr>
                <w:rFonts w:hint="eastAsia"/>
                <w:sz w:val="24"/>
              </w:rPr>
              <w:t>，占标率8.83%</w:t>
            </w:r>
            <w:r>
              <w:rPr>
                <w:rFonts w:hint="eastAsia"/>
                <w:bCs/>
                <w:sz w:val="24"/>
              </w:rPr>
              <w:t>，满足</w:t>
            </w:r>
            <w:r>
              <w:rPr>
                <w:rFonts w:hint="eastAsia"/>
                <w:sz w:val="24"/>
              </w:rPr>
              <w:t>《山东省建材工业大气污染物排放标准》（DB 37 /2373—2018）表3无组织排放限值</w:t>
            </w:r>
            <w:r>
              <w:rPr>
                <w:sz w:val="24"/>
              </w:rPr>
              <w:t>（1.0mg/m</w:t>
            </w:r>
            <w:r>
              <w:rPr>
                <w:sz w:val="24"/>
                <w:vertAlign w:val="superscript"/>
              </w:rPr>
              <w:t>3</w:t>
            </w:r>
            <w:r>
              <w:rPr>
                <w:sz w:val="24"/>
              </w:rPr>
              <w:t>）</w:t>
            </w:r>
            <w:r>
              <w:rPr>
                <w:rFonts w:hint="eastAsia"/>
                <w:sz w:val="24"/>
              </w:rPr>
              <w:t>要求，</w:t>
            </w:r>
            <w:r>
              <w:rPr>
                <w:rFonts w:hint="eastAsia" w:hAnsi="宋体"/>
                <w:sz w:val="24"/>
              </w:rPr>
              <w:t>对周边环境影</w:t>
            </w:r>
            <w:r>
              <w:rPr>
                <w:rFonts w:hint="eastAsia"/>
                <w:sz w:val="24"/>
              </w:rPr>
              <w:t>响较小。</w:t>
            </w:r>
          </w:p>
          <w:p>
            <w:pPr>
              <w:spacing w:line="360" w:lineRule="auto"/>
              <w:ind w:firstLine="481" w:firstLineChars="200"/>
              <w:rPr>
                <w:bCs/>
                <w:sz w:val="24"/>
              </w:rPr>
            </w:pPr>
            <w:r>
              <w:rPr>
                <w:b/>
                <w:bCs/>
                <w:sz w:val="24"/>
              </w:rPr>
              <w:t>水环境影响分析</w:t>
            </w:r>
            <w:r>
              <w:rPr>
                <w:rFonts w:hint="eastAsia"/>
                <w:b/>
                <w:bCs/>
                <w:sz w:val="24"/>
              </w:rPr>
              <w:t>结论</w:t>
            </w:r>
          </w:p>
          <w:p>
            <w:pPr>
              <w:spacing w:line="360" w:lineRule="auto"/>
              <w:ind w:firstLine="480" w:firstLineChars="200"/>
              <w:jc w:val="left"/>
              <w:rPr>
                <w:sz w:val="24"/>
              </w:rPr>
            </w:pPr>
            <w:r>
              <w:rPr>
                <w:sz w:val="24"/>
              </w:rPr>
              <w:t>项目运营期</w:t>
            </w:r>
            <w:r>
              <w:rPr>
                <w:rFonts w:hint="eastAsia"/>
                <w:sz w:val="24"/>
              </w:rPr>
              <w:t>生产</w:t>
            </w:r>
            <w:r>
              <w:rPr>
                <w:sz w:val="24"/>
              </w:rPr>
              <w:t>废水</w:t>
            </w:r>
            <w:r>
              <w:rPr>
                <w:rFonts w:hint="eastAsia"/>
                <w:sz w:val="24"/>
              </w:rPr>
              <w:t>经沉淀池三级沉降后回用于石材开采及厂区地面喷洒</w:t>
            </w:r>
            <w:r>
              <w:rPr>
                <w:sz w:val="24"/>
              </w:rPr>
              <w:t>。生活污水经化粪池处理后定期由附近农户外运堆肥，对周围水环境影响很小。</w:t>
            </w:r>
          </w:p>
          <w:p>
            <w:pPr>
              <w:spacing w:line="360" w:lineRule="auto"/>
              <w:ind w:firstLine="481" w:firstLineChars="200"/>
              <w:jc w:val="left"/>
              <w:rPr>
                <w:sz w:val="24"/>
              </w:rPr>
            </w:pPr>
            <w:r>
              <w:rPr>
                <w:b/>
                <w:bCs/>
                <w:sz w:val="24"/>
              </w:rPr>
              <w:t>噪声环境影响分析</w:t>
            </w:r>
            <w:r>
              <w:rPr>
                <w:rFonts w:hint="eastAsia"/>
                <w:b/>
                <w:bCs/>
                <w:sz w:val="24"/>
              </w:rPr>
              <w:t>结论</w:t>
            </w:r>
          </w:p>
          <w:p>
            <w:pPr>
              <w:pStyle w:val="6"/>
              <w:spacing w:line="360" w:lineRule="auto"/>
              <w:ind w:firstLine="480" w:firstLineChars="200"/>
              <w:jc w:val="both"/>
              <w:rPr>
                <w:sz w:val="24"/>
              </w:rPr>
            </w:pPr>
            <w:r>
              <w:rPr>
                <w:sz w:val="24"/>
              </w:rPr>
              <w:t>本项目营运期产生噪声主要为</w:t>
            </w:r>
            <w:r>
              <w:rPr>
                <w:rFonts w:hint="eastAsia"/>
                <w:sz w:val="24"/>
              </w:rPr>
              <w:t>生产设备</w:t>
            </w:r>
            <w:r>
              <w:rPr>
                <w:sz w:val="24"/>
              </w:rPr>
              <w:t>运转时产生的噪音，这些设备在运转时产生的噪声值在</w:t>
            </w:r>
            <w:r>
              <w:rPr>
                <w:rFonts w:hint="eastAsia"/>
                <w:sz w:val="24"/>
              </w:rPr>
              <w:t>75</w:t>
            </w:r>
            <w:r>
              <w:rPr>
                <w:sz w:val="24"/>
              </w:rPr>
              <w:t>～</w:t>
            </w:r>
            <w:r>
              <w:rPr>
                <w:rFonts w:hint="eastAsia"/>
                <w:sz w:val="24"/>
              </w:rPr>
              <w:t>9</w:t>
            </w:r>
            <w:r>
              <w:rPr>
                <w:sz w:val="24"/>
              </w:rPr>
              <w:t>0dB(A)左右。项目营运中各噪声源不在同一时间内工作，且为间歇性的，噪声设备应安装隔声、减震设施，项目噪声经距离衰减、建筑隔声，</w:t>
            </w:r>
            <w:r>
              <w:rPr>
                <w:rFonts w:hint="eastAsia"/>
                <w:sz w:val="24"/>
              </w:rPr>
              <w:t>经预测</w:t>
            </w:r>
            <w:r>
              <w:rPr>
                <w:sz w:val="24"/>
              </w:rPr>
              <w:t>厂界外噪声可降至6</w:t>
            </w:r>
            <w:r>
              <w:rPr>
                <w:rFonts w:hint="eastAsia"/>
                <w:sz w:val="24"/>
              </w:rPr>
              <w:t>0</w:t>
            </w:r>
            <w:r>
              <w:rPr>
                <w:sz w:val="24"/>
              </w:rPr>
              <w:t>dB（A）以下，且项目夜间不生产，因此厂界噪声能够满足《工业企业厂界环境噪声排放标准》（GB12348-2008）中</w:t>
            </w:r>
            <w:r>
              <w:rPr>
                <w:rFonts w:hint="eastAsia"/>
                <w:sz w:val="24"/>
              </w:rPr>
              <w:t>2</w:t>
            </w:r>
            <w:r>
              <w:rPr>
                <w:sz w:val="24"/>
              </w:rPr>
              <w:t>类标准要求</w:t>
            </w:r>
            <w:r>
              <w:rPr>
                <w:rFonts w:hint="eastAsia"/>
                <w:sz w:val="24"/>
              </w:rPr>
              <w:t>，</w:t>
            </w:r>
            <w:r>
              <w:rPr>
                <w:sz w:val="24"/>
              </w:rPr>
              <w:t>对</w:t>
            </w:r>
            <w:r>
              <w:rPr>
                <w:rFonts w:hint="eastAsia"/>
                <w:sz w:val="24"/>
              </w:rPr>
              <w:t>周围环境</w:t>
            </w:r>
            <w:r>
              <w:rPr>
                <w:sz w:val="24"/>
              </w:rPr>
              <w:t>影响较小。</w:t>
            </w:r>
          </w:p>
          <w:p>
            <w:pPr>
              <w:spacing w:line="360" w:lineRule="auto"/>
              <w:ind w:firstLine="472" w:firstLineChars="196"/>
              <w:rPr>
                <w:b/>
                <w:bCs/>
                <w:sz w:val="24"/>
              </w:rPr>
            </w:pPr>
            <w:r>
              <w:rPr>
                <w:b/>
                <w:bCs/>
                <w:sz w:val="24"/>
              </w:rPr>
              <w:t>固体废物影响分析</w:t>
            </w:r>
            <w:r>
              <w:rPr>
                <w:rFonts w:hint="eastAsia"/>
                <w:b/>
                <w:bCs/>
                <w:sz w:val="24"/>
              </w:rPr>
              <w:t>结论</w:t>
            </w:r>
          </w:p>
          <w:p>
            <w:pPr>
              <w:spacing w:line="360" w:lineRule="auto"/>
              <w:ind w:firstLine="480" w:firstLineChars="200"/>
              <w:rPr>
                <w:sz w:val="24"/>
              </w:rPr>
            </w:pPr>
            <w:r>
              <w:rPr>
                <w:bCs/>
                <w:sz w:val="24"/>
              </w:rPr>
              <w:t>洗车沉渣</w:t>
            </w:r>
            <w:r>
              <w:rPr>
                <w:rFonts w:hint="eastAsia"/>
                <w:bCs/>
                <w:sz w:val="24"/>
              </w:rPr>
              <w:t>、</w:t>
            </w:r>
            <w:r>
              <w:rPr>
                <w:bCs/>
                <w:sz w:val="24"/>
              </w:rPr>
              <w:t>石料切割产生的落地尘经收集作为矿山开采区回填使用，不外排；石料开采废</w:t>
            </w:r>
            <w:r>
              <w:rPr>
                <w:rFonts w:hint="eastAsia"/>
                <w:bCs/>
                <w:sz w:val="24"/>
              </w:rPr>
              <w:t>石</w:t>
            </w:r>
            <w:r>
              <w:rPr>
                <w:rFonts w:hint="eastAsia"/>
                <w:sz w:val="24"/>
              </w:rPr>
              <w:t>首先选择外售</w:t>
            </w:r>
            <w:r>
              <w:rPr>
                <w:sz w:val="24"/>
              </w:rPr>
              <w:t>做蘑菇石、台阶石、路牙石等建筑石料，也可以经破碎处理后做成建筑石子，用于建筑混凝土和公路、铁路建设</w:t>
            </w:r>
            <w:r>
              <w:rPr>
                <w:rFonts w:hint="eastAsia"/>
                <w:sz w:val="24"/>
              </w:rPr>
              <w:t>，</w:t>
            </w:r>
            <w:r>
              <w:rPr>
                <w:sz w:val="24"/>
              </w:rPr>
              <w:t>剩余废石均用于矿区附近废采坑的回填，用于矿山地质环境治理工作</w:t>
            </w:r>
            <w:r>
              <w:rPr>
                <w:bCs/>
                <w:sz w:val="24"/>
              </w:rPr>
              <w:t>，不外排。厂区人员生活垃圾经集中收集委托环卫部门定期清运处理。</w:t>
            </w:r>
            <w:r>
              <w:rPr>
                <w:rFonts w:hint="eastAsia"/>
                <w:bCs/>
                <w:sz w:val="24"/>
              </w:rPr>
              <w:t>一般</w:t>
            </w:r>
            <w:r>
              <w:rPr>
                <w:sz w:val="24"/>
              </w:rPr>
              <w:t>固体废物的处置满足《一般工业固体废物贮存、处置场污染控制标准》（GB18599-2001）</w:t>
            </w:r>
            <w:r>
              <w:rPr>
                <w:bCs/>
                <w:sz w:val="24"/>
              </w:rPr>
              <w:t>及修改单要求</w:t>
            </w:r>
            <w:r>
              <w:rPr>
                <w:sz w:val="24"/>
              </w:rPr>
              <w:t>。</w:t>
            </w:r>
          </w:p>
          <w:p>
            <w:pPr>
              <w:spacing w:line="360" w:lineRule="auto"/>
              <w:ind w:firstLine="480" w:firstLineChars="200"/>
              <w:rPr>
                <w:rFonts w:hAnsi="宋体"/>
                <w:bCs/>
                <w:sz w:val="24"/>
              </w:rPr>
            </w:pPr>
            <w:r>
              <w:rPr>
                <w:sz w:val="24"/>
              </w:rPr>
              <w:t>本项目</w:t>
            </w:r>
            <w:r>
              <w:rPr>
                <w:rFonts w:hint="eastAsia"/>
                <w:sz w:val="24"/>
              </w:rPr>
              <w:t>设置1处危险废物暂存间，</w:t>
            </w:r>
            <w:r>
              <w:rPr>
                <w:rFonts w:hint="eastAsia" w:ascii="宋体" w:hAnsi="宋体" w:cs="宋体"/>
                <w:sz w:val="24"/>
              </w:rPr>
              <w:t>废润滑油、废机油</w:t>
            </w:r>
            <w:r>
              <w:rPr>
                <w:rFonts w:hint="eastAsia"/>
                <w:sz w:val="24"/>
              </w:rPr>
              <w:t>单独收集后</w:t>
            </w:r>
            <w:r>
              <w:rPr>
                <w:sz w:val="24"/>
              </w:rPr>
              <w:t>交由资质单位处理</w:t>
            </w:r>
            <w:r>
              <w:rPr>
                <w:rFonts w:hint="eastAsia" w:ascii="宋体" w:hAnsi="宋体" w:cs="宋体"/>
                <w:sz w:val="24"/>
              </w:rPr>
              <w:t>，</w:t>
            </w:r>
            <w:r>
              <w:rPr>
                <w:rFonts w:hint="eastAsia"/>
                <w:sz w:val="24"/>
              </w:rPr>
              <w:t>危险废物处置符合</w:t>
            </w:r>
            <w:r>
              <w:rPr>
                <w:rFonts w:hAnsi="宋体"/>
                <w:bCs/>
                <w:sz w:val="24"/>
              </w:rPr>
              <w:t>《危险废物贮存污染控制标准》（</w:t>
            </w:r>
            <w:r>
              <w:rPr>
                <w:bCs/>
                <w:sz w:val="24"/>
              </w:rPr>
              <w:t>GB18597-2001</w:t>
            </w:r>
            <w:r>
              <w:rPr>
                <w:rFonts w:hAnsi="宋体"/>
                <w:bCs/>
                <w:sz w:val="24"/>
              </w:rPr>
              <w:t>）及修改单要求</w:t>
            </w:r>
            <w:r>
              <w:rPr>
                <w:rFonts w:hint="eastAsia" w:hAnsi="宋体"/>
                <w:bCs/>
                <w:sz w:val="24"/>
              </w:rPr>
              <w:t>。</w:t>
            </w:r>
          </w:p>
          <w:p>
            <w:pPr>
              <w:spacing w:line="360" w:lineRule="auto"/>
              <w:ind w:firstLine="481" w:firstLineChars="200"/>
              <w:rPr>
                <w:b/>
                <w:sz w:val="24"/>
              </w:rPr>
            </w:pPr>
            <w:r>
              <w:rPr>
                <w:b/>
                <w:sz w:val="24"/>
              </w:rPr>
              <w:t>环境风险分析</w:t>
            </w:r>
          </w:p>
          <w:p>
            <w:pPr>
              <w:spacing w:line="360" w:lineRule="auto"/>
              <w:ind w:firstLine="480" w:firstLineChars="200"/>
              <w:rPr>
                <w:sz w:val="24"/>
              </w:rPr>
            </w:pPr>
            <w:r>
              <w:rPr>
                <w:sz w:val="24"/>
              </w:rPr>
              <w:t>项目风险主要是原料库可能发生的</w:t>
            </w:r>
            <w:r>
              <w:rPr>
                <w:rFonts w:hAnsi="宋体"/>
                <w:sz w:val="24"/>
              </w:rPr>
              <w:t>粉尘伤害</w:t>
            </w:r>
            <w:r>
              <w:rPr>
                <w:sz w:val="24"/>
              </w:rPr>
              <w:t>环境风险，但发生的概率很小。本项目应按有关消防和安全的规范要求进行设计和建设，并在运营中严格采取前面提及的防范措施，确保安全生产。</w:t>
            </w:r>
          </w:p>
          <w:p>
            <w:pPr>
              <w:spacing w:line="360" w:lineRule="auto"/>
              <w:ind w:firstLine="481" w:firstLineChars="200"/>
              <w:rPr>
                <w:b/>
                <w:sz w:val="24"/>
              </w:rPr>
            </w:pPr>
            <w:r>
              <w:rPr>
                <w:b/>
                <w:sz w:val="24"/>
              </w:rPr>
              <w:t>7、项目环保措施与要求</w:t>
            </w:r>
          </w:p>
          <w:p>
            <w:pPr>
              <w:spacing w:line="480" w:lineRule="exact"/>
              <w:ind w:firstLine="480" w:firstLineChars="200"/>
              <w:rPr>
                <w:bCs/>
                <w:kern w:val="0"/>
                <w:sz w:val="24"/>
              </w:rPr>
            </w:pPr>
            <w:r>
              <w:rPr>
                <w:bCs/>
                <w:kern w:val="0"/>
                <w:sz w:val="24"/>
              </w:rPr>
              <w:t>拟建项目环保措施见下表：</w:t>
            </w:r>
          </w:p>
          <w:p>
            <w:pPr>
              <w:ind w:firstLine="481" w:firstLineChars="200"/>
              <w:jc w:val="center"/>
              <w:rPr>
                <w:b/>
                <w:bCs/>
                <w:kern w:val="0"/>
                <w:sz w:val="24"/>
              </w:rPr>
            </w:pPr>
            <w:r>
              <w:rPr>
                <w:b/>
                <w:bCs/>
                <w:kern w:val="0"/>
                <w:sz w:val="24"/>
              </w:rPr>
              <w:t>表9-1  拟建项目环保措施一览表</w:t>
            </w:r>
          </w:p>
          <w:tbl>
            <w:tblPr>
              <w:tblStyle w:val="15"/>
              <w:tblW w:w="8747"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1114"/>
              <w:gridCol w:w="641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20" w:type="dxa"/>
                  <w:tcBorders>
                    <w:top w:val="single" w:color="auto" w:sz="12" w:space="0"/>
                    <w:left w:val="single" w:color="auto" w:sz="12" w:space="0"/>
                    <w:bottom w:val="single" w:color="auto" w:sz="4" w:space="0"/>
                  </w:tcBorders>
                  <w:vAlign w:val="center"/>
                </w:tcPr>
                <w:p>
                  <w:pPr>
                    <w:jc w:val="center"/>
                    <w:rPr>
                      <w:b/>
                      <w:bCs/>
                      <w:kern w:val="0"/>
                      <w:szCs w:val="21"/>
                    </w:rPr>
                  </w:pPr>
                  <w:r>
                    <w:rPr>
                      <w:b/>
                      <w:bCs/>
                      <w:kern w:val="0"/>
                      <w:szCs w:val="21"/>
                    </w:rPr>
                    <w:t>实施阶段</w:t>
                  </w:r>
                </w:p>
              </w:tc>
              <w:tc>
                <w:tcPr>
                  <w:tcW w:w="1114" w:type="dxa"/>
                  <w:vAlign w:val="center"/>
                </w:tcPr>
                <w:p>
                  <w:pPr>
                    <w:jc w:val="center"/>
                    <w:rPr>
                      <w:b/>
                      <w:bCs/>
                      <w:kern w:val="0"/>
                      <w:szCs w:val="21"/>
                    </w:rPr>
                  </w:pPr>
                  <w:r>
                    <w:rPr>
                      <w:b/>
                      <w:bCs/>
                      <w:kern w:val="0"/>
                      <w:szCs w:val="21"/>
                    </w:rPr>
                    <w:t>影响因素</w:t>
                  </w:r>
                </w:p>
              </w:tc>
              <w:tc>
                <w:tcPr>
                  <w:tcW w:w="6413" w:type="dxa"/>
                  <w:tcBorders>
                    <w:top w:val="single" w:color="auto" w:sz="12" w:space="0"/>
                    <w:bottom w:val="single" w:color="auto" w:sz="4" w:space="0"/>
                    <w:right w:val="single" w:color="auto" w:sz="12" w:space="0"/>
                  </w:tcBorders>
                  <w:vAlign w:val="center"/>
                </w:tcPr>
                <w:p>
                  <w:pPr>
                    <w:jc w:val="center"/>
                    <w:rPr>
                      <w:b/>
                      <w:bCs/>
                      <w:kern w:val="0"/>
                      <w:szCs w:val="21"/>
                    </w:rPr>
                  </w:pPr>
                  <w:r>
                    <w:rPr>
                      <w:b/>
                      <w:bCs/>
                      <w:kern w:val="0"/>
                      <w:szCs w:val="21"/>
                    </w:rPr>
                    <w:t>措施</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0" w:type="dxa"/>
                  <w:vMerge w:val="restart"/>
                  <w:tcBorders>
                    <w:top w:val="single" w:color="auto" w:sz="4" w:space="0"/>
                    <w:left w:val="single" w:color="auto" w:sz="12" w:space="0"/>
                    <w:bottom w:val="single" w:color="auto" w:sz="12" w:space="0"/>
                  </w:tcBorders>
                  <w:vAlign w:val="center"/>
                </w:tcPr>
                <w:p>
                  <w:pPr>
                    <w:jc w:val="center"/>
                    <w:rPr>
                      <w:bCs/>
                      <w:kern w:val="0"/>
                      <w:szCs w:val="21"/>
                    </w:rPr>
                  </w:pPr>
                  <w:r>
                    <w:rPr>
                      <w:bCs/>
                      <w:kern w:val="0"/>
                      <w:szCs w:val="21"/>
                    </w:rPr>
                    <w:t>运</w:t>
                  </w:r>
                </w:p>
                <w:p>
                  <w:pPr>
                    <w:jc w:val="center"/>
                    <w:rPr>
                      <w:bCs/>
                      <w:kern w:val="0"/>
                      <w:szCs w:val="21"/>
                    </w:rPr>
                  </w:pPr>
                  <w:r>
                    <w:rPr>
                      <w:bCs/>
                      <w:kern w:val="0"/>
                      <w:szCs w:val="21"/>
                    </w:rPr>
                    <w:t>营</w:t>
                  </w:r>
                </w:p>
                <w:p>
                  <w:pPr>
                    <w:jc w:val="center"/>
                    <w:rPr>
                      <w:bCs/>
                      <w:kern w:val="0"/>
                      <w:szCs w:val="21"/>
                    </w:rPr>
                  </w:pPr>
                  <w:r>
                    <w:rPr>
                      <w:bCs/>
                      <w:kern w:val="0"/>
                      <w:szCs w:val="21"/>
                    </w:rPr>
                    <w:t>阶</w:t>
                  </w:r>
                </w:p>
                <w:p>
                  <w:pPr>
                    <w:jc w:val="center"/>
                    <w:rPr>
                      <w:bCs/>
                      <w:kern w:val="0"/>
                      <w:szCs w:val="21"/>
                    </w:rPr>
                  </w:pPr>
                  <w:r>
                    <w:rPr>
                      <w:bCs/>
                      <w:kern w:val="0"/>
                      <w:szCs w:val="21"/>
                    </w:rPr>
                    <w:t>段</w:t>
                  </w:r>
                </w:p>
              </w:tc>
              <w:tc>
                <w:tcPr>
                  <w:tcW w:w="1114" w:type="dxa"/>
                  <w:vMerge w:val="restart"/>
                  <w:vAlign w:val="center"/>
                </w:tcPr>
                <w:p>
                  <w:pPr>
                    <w:jc w:val="center"/>
                    <w:rPr>
                      <w:bCs/>
                      <w:kern w:val="0"/>
                      <w:szCs w:val="21"/>
                    </w:rPr>
                  </w:pPr>
                  <w:r>
                    <w:rPr>
                      <w:bCs/>
                      <w:kern w:val="0"/>
                      <w:szCs w:val="21"/>
                    </w:rPr>
                    <w:t>废气</w:t>
                  </w:r>
                </w:p>
              </w:tc>
              <w:tc>
                <w:tcPr>
                  <w:tcW w:w="6413" w:type="dxa"/>
                  <w:tcBorders>
                    <w:top w:val="single" w:color="auto" w:sz="4" w:space="0"/>
                    <w:bottom w:val="single" w:color="auto" w:sz="4" w:space="0"/>
                    <w:right w:val="single" w:color="auto" w:sz="12" w:space="0"/>
                  </w:tcBorders>
                  <w:vAlign w:val="center"/>
                </w:tcPr>
                <w:p>
                  <w:pPr>
                    <w:jc w:val="left"/>
                    <w:rPr>
                      <w:kern w:val="0"/>
                      <w:szCs w:val="21"/>
                    </w:rPr>
                  </w:pPr>
                  <w:r>
                    <w:rPr>
                      <w:rFonts w:hint="eastAsia"/>
                      <w:szCs w:val="21"/>
                    </w:rPr>
                    <w:t>切割、钻孔采用湿法作业，生产时设置水喷淋设施降尘</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0" w:type="dxa"/>
                  <w:vMerge w:val="continue"/>
                  <w:tcBorders>
                    <w:top w:val="single" w:color="auto" w:sz="4" w:space="0"/>
                    <w:left w:val="single" w:color="auto" w:sz="12" w:space="0"/>
                    <w:bottom w:val="single" w:color="auto" w:sz="12" w:space="0"/>
                  </w:tcBorders>
                  <w:vAlign w:val="center"/>
                </w:tcPr>
                <w:p>
                  <w:pPr>
                    <w:jc w:val="center"/>
                    <w:rPr>
                      <w:bCs/>
                      <w:kern w:val="0"/>
                      <w:szCs w:val="21"/>
                    </w:rPr>
                  </w:pPr>
                </w:p>
              </w:tc>
              <w:tc>
                <w:tcPr>
                  <w:tcW w:w="1114" w:type="dxa"/>
                  <w:vMerge w:val="continue"/>
                  <w:vAlign w:val="center"/>
                </w:tcPr>
                <w:p>
                  <w:pPr>
                    <w:jc w:val="center"/>
                    <w:rPr>
                      <w:bCs/>
                      <w:kern w:val="0"/>
                      <w:szCs w:val="21"/>
                    </w:rPr>
                  </w:pPr>
                </w:p>
              </w:tc>
              <w:tc>
                <w:tcPr>
                  <w:tcW w:w="6413" w:type="dxa"/>
                  <w:tcBorders>
                    <w:top w:val="single" w:color="auto" w:sz="4" w:space="0"/>
                    <w:bottom w:val="single" w:color="auto" w:sz="4" w:space="0"/>
                    <w:right w:val="single" w:color="auto" w:sz="12" w:space="0"/>
                  </w:tcBorders>
                  <w:vAlign w:val="center"/>
                </w:tcPr>
                <w:p>
                  <w:pPr>
                    <w:jc w:val="left"/>
                    <w:rPr>
                      <w:szCs w:val="21"/>
                    </w:rPr>
                  </w:pPr>
                  <w:r>
                    <w:rPr>
                      <w:szCs w:val="21"/>
                    </w:rPr>
                    <w:t>对堆场采用覆盖处理并定期喷水保持表面水分抑尘</w:t>
                  </w:r>
                  <w:r>
                    <w:rPr>
                      <w:rFonts w:hint="eastAsia"/>
                      <w:szCs w:val="21"/>
                    </w:rPr>
                    <w:t>，四周设置防风抑尘网；</w:t>
                  </w:r>
                </w:p>
                <w:p>
                  <w:pPr>
                    <w:jc w:val="left"/>
                    <w:rPr>
                      <w:szCs w:val="21"/>
                    </w:rPr>
                  </w:pPr>
                  <w:r>
                    <w:rPr>
                      <w:rFonts w:hint="eastAsia"/>
                      <w:szCs w:val="21"/>
                    </w:rPr>
                    <w:t>对厂区内外道路全面硬化并定期清扫、喷洒水抑尘，</w:t>
                  </w:r>
                  <w:r>
                    <w:rPr>
                      <w:szCs w:val="21"/>
                    </w:rPr>
                    <w:t>并对进出厂车辆冲洗</w:t>
                  </w:r>
                  <w:r>
                    <w:rPr>
                      <w:rFonts w:hint="eastAsia"/>
                      <w:szCs w:val="21"/>
                    </w:rPr>
                    <w:t>，道路两侧设置防风抑尘网；</w:t>
                  </w:r>
                </w:p>
                <w:p>
                  <w:pPr>
                    <w:jc w:val="left"/>
                    <w:rPr>
                      <w:szCs w:val="21"/>
                    </w:rPr>
                  </w:pPr>
                  <w:r>
                    <w:rPr>
                      <w:rFonts w:hint="eastAsia"/>
                      <w:szCs w:val="21"/>
                    </w:rPr>
                    <w:t>在装卸车环节增设大型雾炮抑尘。</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0" w:type="dxa"/>
                  <w:vMerge w:val="continue"/>
                  <w:tcBorders>
                    <w:top w:val="single" w:color="auto" w:sz="4" w:space="0"/>
                    <w:left w:val="single" w:color="auto" w:sz="12" w:space="0"/>
                    <w:bottom w:val="single" w:color="auto" w:sz="12" w:space="0"/>
                  </w:tcBorders>
                  <w:vAlign w:val="center"/>
                </w:tcPr>
                <w:p>
                  <w:pPr>
                    <w:jc w:val="center"/>
                    <w:rPr>
                      <w:bCs/>
                      <w:kern w:val="0"/>
                      <w:szCs w:val="21"/>
                    </w:rPr>
                  </w:pPr>
                </w:p>
              </w:tc>
              <w:tc>
                <w:tcPr>
                  <w:tcW w:w="1114" w:type="dxa"/>
                  <w:vAlign w:val="center"/>
                </w:tcPr>
                <w:p>
                  <w:pPr>
                    <w:jc w:val="center"/>
                    <w:rPr>
                      <w:bCs/>
                      <w:kern w:val="0"/>
                      <w:szCs w:val="21"/>
                    </w:rPr>
                  </w:pPr>
                  <w:r>
                    <w:rPr>
                      <w:bCs/>
                      <w:kern w:val="0"/>
                      <w:szCs w:val="21"/>
                    </w:rPr>
                    <w:t>废水</w:t>
                  </w:r>
                </w:p>
              </w:tc>
              <w:tc>
                <w:tcPr>
                  <w:tcW w:w="6413" w:type="dxa"/>
                  <w:tcBorders>
                    <w:top w:val="single" w:color="auto" w:sz="4" w:space="0"/>
                    <w:bottom w:val="single" w:color="auto" w:sz="4" w:space="0"/>
                    <w:right w:val="single" w:color="auto" w:sz="12" w:space="0"/>
                  </w:tcBorders>
                  <w:vAlign w:val="center"/>
                </w:tcPr>
                <w:p>
                  <w:pPr>
                    <w:jc w:val="left"/>
                    <w:rPr>
                      <w:szCs w:val="21"/>
                    </w:rPr>
                  </w:pPr>
                  <w:r>
                    <w:rPr>
                      <w:bCs/>
                      <w:szCs w:val="21"/>
                    </w:rPr>
                    <w:t>生活污水经化粪池</w:t>
                  </w:r>
                  <w:r>
                    <w:rPr>
                      <w:rFonts w:hint="eastAsia"/>
                      <w:bCs/>
                      <w:szCs w:val="21"/>
                    </w:rPr>
                    <w:t>收集后委托环卫部门清运</w:t>
                  </w:r>
                  <w:r>
                    <w:rPr>
                      <w:bCs/>
                      <w:szCs w:val="21"/>
                    </w:rPr>
                    <w:t>；车辆冲洗水经三级沉降处理后循环使用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0" w:type="dxa"/>
                  <w:vMerge w:val="continue"/>
                  <w:tcBorders>
                    <w:top w:val="single" w:color="auto" w:sz="4" w:space="0"/>
                    <w:left w:val="single" w:color="auto" w:sz="12" w:space="0"/>
                    <w:bottom w:val="single" w:color="auto" w:sz="12" w:space="0"/>
                  </w:tcBorders>
                  <w:vAlign w:val="center"/>
                </w:tcPr>
                <w:p>
                  <w:pPr>
                    <w:jc w:val="center"/>
                    <w:rPr>
                      <w:bCs/>
                      <w:kern w:val="0"/>
                      <w:szCs w:val="21"/>
                    </w:rPr>
                  </w:pPr>
                </w:p>
              </w:tc>
              <w:tc>
                <w:tcPr>
                  <w:tcW w:w="1114" w:type="dxa"/>
                  <w:vMerge w:val="restart"/>
                  <w:vAlign w:val="center"/>
                </w:tcPr>
                <w:p>
                  <w:pPr>
                    <w:jc w:val="center"/>
                    <w:rPr>
                      <w:bCs/>
                      <w:kern w:val="0"/>
                      <w:szCs w:val="21"/>
                    </w:rPr>
                  </w:pPr>
                  <w:r>
                    <w:rPr>
                      <w:bCs/>
                      <w:kern w:val="0"/>
                      <w:szCs w:val="21"/>
                    </w:rPr>
                    <w:t>固废</w:t>
                  </w:r>
                </w:p>
              </w:tc>
              <w:tc>
                <w:tcPr>
                  <w:tcW w:w="6413" w:type="dxa"/>
                  <w:tcBorders>
                    <w:top w:val="single" w:color="auto" w:sz="4" w:space="0"/>
                    <w:bottom w:val="single" w:color="auto" w:sz="4" w:space="0"/>
                    <w:right w:val="single" w:color="auto" w:sz="12" w:space="0"/>
                  </w:tcBorders>
                  <w:vAlign w:val="center"/>
                </w:tcPr>
                <w:p>
                  <w:pPr>
                    <w:jc w:val="left"/>
                    <w:rPr>
                      <w:bCs/>
                      <w:kern w:val="0"/>
                      <w:szCs w:val="21"/>
                    </w:rPr>
                  </w:pPr>
                  <w:r>
                    <w:rPr>
                      <w:szCs w:val="21"/>
                    </w:rPr>
                    <w:t>落地尘、洗车台沉渣回填矿区</w:t>
                  </w:r>
                  <w:r>
                    <w:rPr>
                      <w:rFonts w:hint="eastAsia"/>
                      <w:szCs w:val="21"/>
                    </w:rPr>
                    <w:t>；石料开采废石外售综合利用，剩余用于</w:t>
                  </w:r>
                  <w:r>
                    <w:rPr>
                      <w:szCs w:val="21"/>
                    </w:rPr>
                    <w:t>回填矿区</w:t>
                  </w:r>
                  <w:r>
                    <w:rPr>
                      <w:rFonts w:hint="eastAsia"/>
                      <w:szCs w:val="21"/>
                    </w:rPr>
                    <w:t>；</w:t>
                  </w:r>
                  <w:r>
                    <w:rPr>
                      <w:szCs w:val="21"/>
                    </w:rPr>
                    <w:t>生活垃圾由环卫部门清运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0" w:type="dxa"/>
                  <w:vMerge w:val="continue"/>
                  <w:tcBorders>
                    <w:top w:val="single" w:color="auto" w:sz="4" w:space="0"/>
                    <w:left w:val="single" w:color="auto" w:sz="12" w:space="0"/>
                    <w:bottom w:val="single" w:color="auto" w:sz="12" w:space="0"/>
                  </w:tcBorders>
                  <w:vAlign w:val="center"/>
                </w:tcPr>
                <w:p>
                  <w:pPr>
                    <w:jc w:val="center"/>
                    <w:rPr>
                      <w:bCs/>
                      <w:kern w:val="0"/>
                      <w:szCs w:val="21"/>
                    </w:rPr>
                  </w:pPr>
                </w:p>
              </w:tc>
              <w:tc>
                <w:tcPr>
                  <w:tcW w:w="1114" w:type="dxa"/>
                  <w:vMerge w:val="continue"/>
                  <w:vAlign w:val="center"/>
                </w:tcPr>
                <w:p>
                  <w:pPr>
                    <w:jc w:val="center"/>
                    <w:rPr>
                      <w:bCs/>
                      <w:kern w:val="0"/>
                      <w:szCs w:val="21"/>
                    </w:rPr>
                  </w:pPr>
                </w:p>
              </w:tc>
              <w:tc>
                <w:tcPr>
                  <w:tcW w:w="6413" w:type="dxa"/>
                  <w:tcBorders>
                    <w:top w:val="single" w:color="auto" w:sz="4" w:space="0"/>
                    <w:bottom w:val="single" w:color="auto" w:sz="4" w:space="0"/>
                    <w:right w:val="single" w:color="auto" w:sz="12" w:space="0"/>
                  </w:tcBorders>
                  <w:vAlign w:val="center"/>
                </w:tcPr>
                <w:p>
                  <w:pPr>
                    <w:jc w:val="left"/>
                    <w:rPr>
                      <w:szCs w:val="21"/>
                    </w:rPr>
                  </w:pPr>
                  <w:r>
                    <w:rPr>
                      <w:rFonts w:hint="eastAsia"/>
                      <w:szCs w:val="21"/>
                    </w:rPr>
                    <w:t>设置1处危险废物暂存间，</w:t>
                  </w:r>
                  <w:r>
                    <w:rPr>
                      <w:rFonts w:hint="eastAsia" w:ascii="宋体" w:hAnsi="宋体" w:cs="宋体"/>
                      <w:szCs w:val="21"/>
                    </w:rPr>
                    <w:t>废润滑油、废机油</w:t>
                  </w:r>
                  <w:r>
                    <w:rPr>
                      <w:rFonts w:hint="eastAsia"/>
                      <w:szCs w:val="21"/>
                    </w:rPr>
                    <w:t>单独收集后</w:t>
                  </w:r>
                  <w:r>
                    <w:rPr>
                      <w:szCs w:val="21"/>
                    </w:rPr>
                    <w:t>交由资质单位处理</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0" w:type="dxa"/>
                  <w:vMerge w:val="continue"/>
                  <w:tcBorders>
                    <w:top w:val="single" w:color="auto" w:sz="4" w:space="0"/>
                    <w:left w:val="single" w:color="auto" w:sz="12" w:space="0"/>
                    <w:bottom w:val="single" w:color="auto" w:sz="12" w:space="0"/>
                  </w:tcBorders>
                  <w:vAlign w:val="center"/>
                </w:tcPr>
                <w:p>
                  <w:pPr>
                    <w:jc w:val="center"/>
                    <w:rPr>
                      <w:bCs/>
                      <w:kern w:val="0"/>
                      <w:szCs w:val="21"/>
                    </w:rPr>
                  </w:pPr>
                </w:p>
              </w:tc>
              <w:tc>
                <w:tcPr>
                  <w:tcW w:w="1114" w:type="dxa"/>
                  <w:vAlign w:val="center"/>
                </w:tcPr>
                <w:p>
                  <w:pPr>
                    <w:jc w:val="center"/>
                    <w:rPr>
                      <w:bCs/>
                      <w:kern w:val="0"/>
                      <w:szCs w:val="21"/>
                    </w:rPr>
                  </w:pPr>
                  <w:r>
                    <w:rPr>
                      <w:bCs/>
                      <w:kern w:val="0"/>
                      <w:szCs w:val="21"/>
                    </w:rPr>
                    <w:t>噪声</w:t>
                  </w:r>
                </w:p>
              </w:tc>
              <w:tc>
                <w:tcPr>
                  <w:tcW w:w="6413" w:type="dxa"/>
                  <w:tcBorders>
                    <w:top w:val="single" w:color="auto" w:sz="4" w:space="0"/>
                    <w:bottom w:val="single" w:color="auto" w:sz="12" w:space="0"/>
                    <w:right w:val="single" w:color="auto" w:sz="12" w:space="0"/>
                  </w:tcBorders>
                  <w:vAlign w:val="center"/>
                </w:tcPr>
                <w:p>
                  <w:pPr>
                    <w:jc w:val="left"/>
                    <w:rPr>
                      <w:szCs w:val="21"/>
                    </w:rPr>
                  </w:pPr>
                  <w:r>
                    <w:rPr>
                      <w:bCs/>
                      <w:szCs w:val="21"/>
                    </w:rPr>
                    <w:t>选用低噪声设备、基础减震、厂房隔声等；</w:t>
                  </w:r>
                </w:p>
              </w:tc>
            </w:tr>
          </w:tbl>
          <w:p>
            <w:pPr>
              <w:spacing w:line="360" w:lineRule="auto"/>
              <w:ind w:firstLine="481" w:firstLineChars="200"/>
              <w:rPr>
                <w:b/>
                <w:sz w:val="24"/>
              </w:rPr>
            </w:pPr>
            <w:r>
              <w:rPr>
                <w:b/>
                <w:sz w:val="24"/>
              </w:rPr>
              <w:t>8、结论</w:t>
            </w:r>
          </w:p>
          <w:p>
            <w:pPr>
              <w:spacing w:line="360" w:lineRule="auto"/>
              <w:ind w:firstLine="481" w:firstLineChars="200"/>
              <w:rPr>
                <w:szCs w:val="21"/>
              </w:rPr>
            </w:pPr>
            <w:r>
              <w:rPr>
                <w:b/>
                <w:sz w:val="24"/>
              </w:rPr>
              <w:t>综上所述，该项目符合国家产业政策，符合当地产业发展导向，选址符合当地规划</w:t>
            </w:r>
            <w:r>
              <w:rPr>
                <w:b/>
                <w:bCs/>
                <w:sz w:val="24"/>
              </w:rPr>
              <w:t>，</w:t>
            </w:r>
            <w:r>
              <w:rPr>
                <w:b/>
                <w:sz w:val="24"/>
              </w:rPr>
              <w:t>生活废水经化粪池</w:t>
            </w:r>
            <w:r>
              <w:rPr>
                <w:rFonts w:hint="eastAsia"/>
                <w:b/>
                <w:sz w:val="24"/>
              </w:rPr>
              <w:t>收集后委托环卫部门清运，生产废水不外排，营运期没有废水排放</w:t>
            </w:r>
            <w:r>
              <w:rPr>
                <w:b/>
                <w:sz w:val="24"/>
              </w:rPr>
              <w:t>；</w:t>
            </w:r>
            <w:r>
              <w:rPr>
                <w:rFonts w:hint="eastAsia"/>
                <w:b/>
                <w:sz w:val="24"/>
              </w:rPr>
              <w:t>采取湿法作业、洒水抑尘等措施后，无组织排放粉尘可</w:t>
            </w:r>
            <w:r>
              <w:rPr>
                <w:b/>
                <w:sz w:val="24"/>
              </w:rPr>
              <w:t>达标排放；噪声经隔声、减振处理后符合国家标准；固废合理处置；各项措施只要切实落实和严格执行，能有效地降低粉尘伤害风险。加强人员教育，增加强应急处理能力，则可使工程环境风险降低到最低程度。该工程在认真落实各项污染防治措施，做到主体工程与环境工程“三同时”的前提下，对周围环境影响较小，从环境保护方面，该生产项目的建设是可行的。</w:t>
            </w:r>
          </w:p>
          <w:p>
            <w:pPr>
              <w:spacing w:line="360" w:lineRule="auto"/>
              <w:ind w:firstLine="481" w:firstLineChars="200"/>
              <w:jc w:val="left"/>
              <w:rPr>
                <w:b/>
                <w:sz w:val="24"/>
              </w:rPr>
            </w:pPr>
            <w:r>
              <w:rPr>
                <w:b/>
                <w:sz w:val="24"/>
              </w:rPr>
              <w:t>二、建议</w:t>
            </w:r>
          </w:p>
          <w:p>
            <w:pPr>
              <w:pStyle w:val="21"/>
              <w:spacing w:line="360" w:lineRule="auto"/>
              <w:ind w:firstLine="480"/>
              <w:rPr>
                <w:rFonts w:ascii="Times New Roman" w:hAnsi="Times New Roman"/>
                <w:b w:val="0"/>
                <w:sz w:val="24"/>
                <w:szCs w:val="24"/>
              </w:rPr>
            </w:pPr>
            <w:r>
              <w:rPr>
                <w:rFonts w:ascii="Times New Roman" w:hAnsi="Times New Roman"/>
                <w:b w:val="0"/>
                <w:sz w:val="24"/>
                <w:szCs w:val="24"/>
              </w:rPr>
              <w:t>1、加强环保治理设施的管理，确保设施的处理效果与运行率不低于设计标准。</w:t>
            </w:r>
          </w:p>
          <w:p>
            <w:pPr>
              <w:snapToGrid w:val="0"/>
              <w:spacing w:line="360" w:lineRule="auto"/>
              <w:ind w:firstLine="480" w:firstLineChars="200"/>
              <w:rPr>
                <w:sz w:val="24"/>
              </w:rPr>
            </w:pPr>
            <w:r>
              <w:rPr>
                <w:sz w:val="24"/>
              </w:rPr>
              <w:t>2、加强对职工的安全生产教育和劳动保护，在生产过程中采取多种防触电、防污染等各种职业安全卫生防护措施。</w:t>
            </w:r>
          </w:p>
          <w:p>
            <w:pPr>
              <w:snapToGrid w:val="0"/>
              <w:spacing w:line="360" w:lineRule="auto"/>
              <w:ind w:firstLine="480" w:firstLineChars="200"/>
              <w:rPr>
                <w:sz w:val="24"/>
              </w:rPr>
            </w:pPr>
            <w:r>
              <w:rPr>
                <w:sz w:val="24"/>
              </w:rPr>
              <w:t>3、化粪池须严格按照防渗要求设计施工。</w:t>
            </w:r>
          </w:p>
          <w:p>
            <w:pPr>
              <w:snapToGrid w:val="0"/>
              <w:spacing w:line="360" w:lineRule="auto"/>
              <w:ind w:firstLine="480" w:firstLineChars="200"/>
              <w:rPr>
                <w:sz w:val="24"/>
              </w:rPr>
            </w:pPr>
            <w:r>
              <w:rPr>
                <w:sz w:val="24"/>
              </w:rPr>
              <w:t>4、加强厂区绿化，进一步减少本项目废气、噪声对周围环境的影响。</w:t>
            </w:r>
          </w:p>
          <w:p>
            <w:pPr>
              <w:snapToGrid w:val="0"/>
              <w:spacing w:line="360" w:lineRule="auto"/>
              <w:ind w:firstLine="480" w:firstLineChars="200"/>
              <w:rPr>
                <w:sz w:val="24"/>
              </w:rPr>
            </w:pPr>
            <w:r>
              <w:rPr>
                <w:sz w:val="24"/>
              </w:rPr>
              <w:t>5、对噪声设备采取多种减振、隔振治理措施。</w:t>
            </w:r>
          </w:p>
          <w:p>
            <w:pPr>
              <w:spacing w:line="360" w:lineRule="auto"/>
              <w:ind w:firstLine="480" w:firstLineChars="200"/>
              <w:rPr>
                <w:sz w:val="24"/>
              </w:rPr>
            </w:pPr>
            <w:r>
              <w:rPr>
                <w:sz w:val="24"/>
              </w:rPr>
              <w:t>6、 严格落实各项消防措施，严防火灾事故发生。</w:t>
            </w:r>
          </w:p>
          <w:p>
            <w:pPr>
              <w:spacing w:line="360" w:lineRule="auto"/>
              <w:ind w:firstLine="480" w:firstLineChars="200"/>
              <w:rPr>
                <w:sz w:val="24"/>
              </w:rPr>
            </w:pPr>
            <w:r>
              <w:rPr>
                <w:rFonts w:hint="eastAsia"/>
                <w:sz w:val="24"/>
              </w:rPr>
              <w:t>7、厂区及运输道路定期洒水降尘。</w:t>
            </w: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ind w:firstLine="480" w:firstLineChars="200"/>
              <w:rPr>
                <w:sz w:val="24"/>
              </w:rPr>
            </w:pPr>
          </w:p>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4" w:hRule="atLeast"/>
          <w:jc w:val="center"/>
        </w:trPr>
        <w:tc>
          <w:tcPr>
            <w:tcW w:w="9464" w:type="dxa"/>
            <w:gridSpan w:val="2"/>
            <w:tcBorders>
              <w:top w:val="single" w:color="auto" w:sz="12" w:space="0"/>
              <w:left w:val="single" w:color="auto" w:sz="12" w:space="0"/>
              <w:bottom w:val="single" w:color="auto" w:sz="4" w:space="0"/>
              <w:right w:val="single" w:color="auto" w:sz="12" w:space="0"/>
            </w:tcBorders>
            <w:noWrap/>
          </w:tcPr>
          <w:p>
            <w:pPr>
              <w:rPr>
                <w:rFonts w:ascii="宋体" w:hAnsi="宋体"/>
                <w:sz w:val="24"/>
              </w:rPr>
            </w:pPr>
          </w:p>
          <w:p>
            <w:pPr>
              <w:rPr>
                <w:rFonts w:ascii="宋体" w:hAnsi="宋体"/>
                <w:sz w:val="24"/>
              </w:rPr>
            </w:pPr>
            <w:r>
              <w:rPr>
                <w:rFonts w:hint="eastAsia" w:ascii="宋体" w:hAnsi="宋体"/>
                <w:sz w:val="24"/>
              </w:rPr>
              <w:t>预审意见：</w: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r>
              <w:rPr>
                <w:rFonts w:hint="eastAsia" w:ascii="宋体" w:hAnsi="宋体"/>
                <w:sz w:val="24"/>
              </w:rPr>
              <w:t xml:space="preserve">                                                        公     章</w:t>
            </w:r>
          </w:p>
          <w:p>
            <w:pPr>
              <w:rPr>
                <w:rFonts w:ascii="宋体" w:hAnsi="宋体"/>
                <w:sz w:val="24"/>
              </w:rPr>
            </w:pPr>
          </w:p>
          <w:p>
            <w:pPr>
              <w:rPr>
                <w:rFonts w:ascii="宋体" w:hAnsi="宋体"/>
                <w:sz w:val="24"/>
              </w:rPr>
            </w:pPr>
          </w:p>
          <w:p>
            <w:pPr>
              <w:rPr>
                <w:rFonts w:ascii="宋体" w:hAnsi="宋体"/>
                <w:sz w:val="24"/>
              </w:rPr>
            </w:pPr>
          </w:p>
          <w:p>
            <w:pPr>
              <w:ind w:firstLine="720"/>
              <w:rPr>
                <w:rFonts w:ascii="宋体" w:hAnsi="宋体"/>
                <w:sz w:val="24"/>
              </w:rPr>
            </w:pPr>
            <w:r>
              <w:rPr>
                <w:rFonts w:hint="eastAsia" w:ascii="宋体" w:hAnsi="宋体"/>
                <w:sz w:val="24"/>
              </w:rPr>
              <w:t>经办人：</w:t>
            </w:r>
          </w:p>
          <w:p>
            <w:pPr>
              <w:ind w:firstLine="720"/>
              <w:rPr>
                <w:rFonts w:ascii="宋体" w:hAnsi="宋体"/>
                <w:sz w:val="24"/>
              </w:rPr>
            </w:pPr>
            <w:r>
              <w:rPr>
                <w:rFonts w:hint="eastAsia" w:ascii="宋体" w:hAnsi="宋体"/>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1" w:hRule="atLeast"/>
          <w:jc w:val="center"/>
        </w:trPr>
        <w:tc>
          <w:tcPr>
            <w:tcW w:w="9464" w:type="dxa"/>
            <w:gridSpan w:val="2"/>
            <w:tcBorders>
              <w:top w:val="single" w:color="auto" w:sz="4" w:space="0"/>
              <w:left w:val="single" w:color="auto" w:sz="12" w:space="0"/>
              <w:bottom w:val="single" w:color="auto" w:sz="12" w:space="0"/>
              <w:right w:val="single" w:color="auto" w:sz="12" w:space="0"/>
            </w:tcBorders>
            <w:noWrap/>
          </w:tcPr>
          <w:p>
            <w:pPr>
              <w:rPr>
                <w:rFonts w:ascii="宋体" w:hAnsi="宋体"/>
                <w:sz w:val="24"/>
              </w:rPr>
            </w:pPr>
            <w:r>
              <w:rPr>
                <w:rFonts w:hint="eastAsia" w:ascii="宋体" w:hAnsi="宋体"/>
                <w:sz w:val="24"/>
              </w:rPr>
              <w:t>下一级环境保护行政主管部门审查意见：</w: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ind w:firstLine="6240" w:firstLineChars="2600"/>
              <w:rPr>
                <w:rFonts w:ascii="宋体" w:hAnsi="宋体"/>
                <w:sz w:val="24"/>
              </w:rPr>
            </w:pPr>
            <w:r>
              <w:rPr>
                <w:rFonts w:hint="eastAsia" w:ascii="宋体" w:hAnsi="宋体"/>
                <w:sz w:val="24"/>
              </w:rPr>
              <w:t xml:space="preserve">  公     章</w:t>
            </w:r>
          </w:p>
          <w:p>
            <w:pPr>
              <w:ind w:firstLine="6240" w:firstLineChars="2600"/>
              <w:rPr>
                <w:rFonts w:ascii="宋体" w:hAnsi="宋体"/>
                <w:sz w:val="24"/>
              </w:rPr>
            </w:pPr>
          </w:p>
          <w:p>
            <w:pPr>
              <w:ind w:firstLine="480" w:firstLineChars="200"/>
              <w:rPr>
                <w:rFonts w:ascii="宋体" w:hAnsi="宋体"/>
                <w:sz w:val="24"/>
              </w:rPr>
            </w:pPr>
            <w:r>
              <w:rPr>
                <w:rFonts w:hint="eastAsia" w:ascii="宋体" w:hAnsi="宋体"/>
                <w:sz w:val="24"/>
              </w:rPr>
              <w:t>经办人：                                        年    月   日</w:t>
            </w:r>
          </w:p>
          <w:p>
            <w:pPr>
              <w:ind w:firstLine="480" w:firstLineChars="200"/>
              <w:rPr>
                <w:rFonts w:ascii="宋体" w:hAnsi="宋体"/>
                <w:sz w:val="24"/>
              </w:rPr>
            </w:pPr>
          </w:p>
          <w:p>
            <w:pPr>
              <w:ind w:firstLine="480" w:firstLineChars="200"/>
              <w:rPr>
                <w:rFonts w:ascii="宋体" w:hAnsi="宋体"/>
                <w:sz w:val="24"/>
              </w:rPr>
            </w:pPr>
          </w:p>
          <w:p>
            <w:pPr>
              <w:ind w:firstLine="480" w:firstLineChars="200"/>
              <w:rPr>
                <w:rFonts w:ascii="宋体" w:hAnsi="宋体"/>
                <w:sz w:val="24"/>
              </w:rPr>
            </w:pPr>
          </w:p>
          <w:p>
            <w:pPr>
              <w:rPr>
                <w:rFonts w:ascii="宋体" w:hAnsi="宋体"/>
                <w:sz w:val="24"/>
              </w:rPr>
            </w:pPr>
          </w:p>
        </w:tc>
      </w:tr>
    </w:tbl>
    <w:tbl>
      <w:tblPr>
        <w:tblStyle w:val="15"/>
        <w:tblpPr w:leftFromText="180" w:rightFromText="180" w:vertAnchor="text" w:horzAnchor="margin" w:tblpY="157"/>
        <w:tblW w:w="9708"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708"/>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4140" w:hRule="atLeast"/>
        </w:trPr>
        <w:tc>
          <w:tcPr>
            <w:tcW w:w="9708" w:type="dxa"/>
            <w:noWrap/>
          </w:tcPr>
          <w:p>
            <w:pPr>
              <w:rPr>
                <w:rFonts w:ascii="宋体" w:hAnsi="宋体"/>
                <w:sz w:val="24"/>
              </w:rPr>
            </w:pPr>
          </w:p>
          <w:p>
            <w:pPr>
              <w:rPr>
                <w:rFonts w:ascii="宋体" w:hAnsi="宋体"/>
                <w:sz w:val="24"/>
              </w:rPr>
            </w:pPr>
            <w:r>
              <w:rPr>
                <w:rFonts w:hint="eastAsia" w:ascii="宋体" w:hAnsi="宋体"/>
                <w:sz w:val="24"/>
              </w:rPr>
              <w:t>审批意见：</w: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ind w:firstLine="6600"/>
              <w:rPr>
                <w:rFonts w:ascii="宋体" w:hAnsi="宋体"/>
                <w:sz w:val="24"/>
              </w:rPr>
            </w:pPr>
            <w:r>
              <w:rPr>
                <w:rFonts w:hint="eastAsia" w:ascii="宋体" w:hAnsi="宋体"/>
                <w:sz w:val="24"/>
              </w:rPr>
              <w:t>公    章</w: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ind w:firstLine="480" w:firstLineChars="200"/>
              <w:rPr>
                <w:rFonts w:ascii="宋体" w:hAnsi="宋体"/>
                <w:sz w:val="24"/>
              </w:rPr>
            </w:pPr>
            <w:r>
              <w:rPr>
                <w:rFonts w:hint="eastAsia" w:ascii="宋体" w:hAnsi="宋体"/>
                <w:sz w:val="24"/>
              </w:rPr>
              <w:t xml:space="preserve">经办人：   </w:t>
            </w:r>
          </w:p>
          <w:p>
            <w:pPr>
              <w:ind w:firstLine="480" w:firstLineChars="200"/>
              <w:rPr>
                <w:rFonts w:ascii="宋体" w:hAnsi="宋体"/>
                <w:sz w:val="24"/>
              </w:rPr>
            </w:pPr>
            <w:r>
              <w:rPr>
                <w:rFonts w:hint="eastAsia" w:ascii="宋体" w:hAnsi="宋体"/>
                <w:sz w:val="24"/>
              </w:rPr>
              <w:t xml:space="preserve">                                                   年    月   日</w:t>
            </w:r>
          </w:p>
          <w:p>
            <w:pPr>
              <w:ind w:firstLine="480" w:firstLineChars="200"/>
              <w:rPr>
                <w:rFonts w:ascii="宋体" w:hAnsi="宋体"/>
                <w:sz w:val="24"/>
              </w:rPr>
            </w:pPr>
          </w:p>
          <w:p>
            <w:pPr>
              <w:ind w:firstLine="480" w:firstLineChars="200"/>
              <w:rPr>
                <w:rFonts w:ascii="宋体" w:hAnsi="宋体"/>
                <w:sz w:val="24"/>
              </w:rPr>
            </w:pPr>
          </w:p>
          <w:p>
            <w:pPr>
              <w:rPr>
                <w:rFonts w:ascii="宋体" w:hAnsi="宋体"/>
                <w:sz w:val="24"/>
              </w:rPr>
            </w:pPr>
          </w:p>
        </w:tc>
      </w:tr>
    </w:tbl>
    <w:tbl>
      <w:tblPr>
        <w:tblStyle w:val="15"/>
        <w:tblW w:w="9299"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29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2596" w:hRule="atLeast"/>
          <w:jc w:val="center"/>
        </w:trPr>
        <w:tc>
          <w:tcPr>
            <w:tcW w:w="9299" w:type="dxa"/>
          </w:tcPr>
          <w:p>
            <w:pPr>
              <w:tabs>
                <w:tab w:val="left" w:pos="417"/>
              </w:tabs>
              <w:jc w:val="center"/>
              <w:rPr>
                <w:b/>
                <w:sz w:val="24"/>
              </w:rPr>
            </w:pPr>
          </w:p>
          <w:p>
            <w:pPr>
              <w:tabs>
                <w:tab w:val="left" w:pos="417"/>
              </w:tabs>
              <w:jc w:val="center"/>
              <w:rPr>
                <w:b/>
                <w:sz w:val="24"/>
              </w:rPr>
            </w:pPr>
          </w:p>
          <w:p>
            <w:pPr>
              <w:tabs>
                <w:tab w:val="left" w:pos="417"/>
              </w:tabs>
              <w:jc w:val="center"/>
              <w:rPr>
                <w:b/>
                <w:sz w:val="24"/>
              </w:rPr>
            </w:pPr>
            <w:r>
              <w:rPr>
                <w:b/>
                <w:sz w:val="24"/>
              </w:rPr>
              <w:t>注        释</w:t>
            </w:r>
          </w:p>
          <w:p>
            <w:pPr>
              <w:tabs>
                <w:tab w:val="left" w:pos="417"/>
              </w:tabs>
              <w:rPr>
                <w:sz w:val="24"/>
              </w:rPr>
            </w:pPr>
          </w:p>
          <w:p>
            <w:pPr>
              <w:tabs>
                <w:tab w:val="left" w:pos="417"/>
              </w:tabs>
              <w:snapToGrid w:val="0"/>
              <w:spacing w:line="360" w:lineRule="auto"/>
              <w:rPr>
                <w:sz w:val="24"/>
              </w:rPr>
            </w:pPr>
          </w:p>
          <w:p>
            <w:pPr>
              <w:tabs>
                <w:tab w:val="left" w:pos="417"/>
              </w:tabs>
              <w:snapToGrid w:val="0"/>
              <w:spacing w:line="360" w:lineRule="auto"/>
              <w:rPr>
                <w:sz w:val="24"/>
              </w:rPr>
            </w:pPr>
            <w:r>
              <w:rPr>
                <w:sz w:val="24"/>
              </w:rPr>
              <w:t>一、本报告表应附以下附件、附图：</w:t>
            </w:r>
          </w:p>
          <w:p>
            <w:pPr>
              <w:tabs>
                <w:tab w:val="left" w:pos="417"/>
              </w:tabs>
              <w:snapToGrid w:val="0"/>
              <w:spacing w:line="360" w:lineRule="auto"/>
              <w:rPr>
                <w:sz w:val="24"/>
              </w:rPr>
            </w:pPr>
            <w:r>
              <w:rPr>
                <w:sz w:val="24"/>
              </w:rPr>
              <w:t xml:space="preserve">  附件1  企业营业执照</w:t>
            </w:r>
          </w:p>
          <w:p>
            <w:pPr>
              <w:tabs>
                <w:tab w:val="left" w:pos="417"/>
              </w:tabs>
              <w:snapToGrid w:val="0"/>
              <w:spacing w:line="360" w:lineRule="auto"/>
              <w:rPr>
                <w:sz w:val="24"/>
              </w:rPr>
            </w:pPr>
            <w:r>
              <w:rPr>
                <w:sz w:val="24"/>
              </w:rPr>
              <w:t xml:space="preserve">  附件2  </w:t>
            </w:r>
            <w:r>
              <w:rPr>
                <w:rFonts w:hint="eastAsia"/>
                <w:sz w:val="24"/>
              </w:rPr>
              <w:t>备案证明</w:t>
            </w:r>
          </w:p>
          <w:p>
            <w:pPr>
              <w:tabs>
                <w:tab w:val="left" w:pos="417"/>
              </w:tabs>
              <w:snapToGrid w:val="0"/>
              <w:spacing w:line="360" w:lineRule="auto"/>
              <w:rPr>
                <w:sz w:val="24"/>
              </w:rPr>
            </w:pPr>
            <w:r>
              <w:rPr>
                <w:sz w:val="24"/>
              </w:rPr>
              <w:t xml:space="preserve">  附件</w:t>
            </w:r>
            <w:r>
              <w:rPr>
                <w:rFonts w:hint="eastAsia"/>
                <w:sz w:val="24"/>
              </w:rPr>
              <w:t>3</w:t>
            </w:r>
            <w:r>
              <w:rPr>
                <w:sz w:val="24"/>
              </w:rPr>
              <w:t xml:space="preserve">  其他与环评有关的行政管理文件</w:t>
            </w:r>
          </w:p>
          <w:p>
            <w:pPr>
              <w:tabs>
                <w:tab w:val="left" w:pos="417"/>
              </w:tabs>
              <w:snapToGrid w:val="0"/>
              <w:spacing w:line="360" w:lineRule="auto"/>
              <w:rPr>
                <w:sz w:val="24"/>
              </w:rPr>
            </w:pPr>
          </w:p>
          <w:p>
            <w:pPr>
              <w:tabs>
                <w:tab w:val="left" w:pos="417"/>
              </w:tabs>
              <w:snapToGrid w:val="0"/>
              <w:spacing w:line="360" w:lineRule="auto"/>
              <w:rPr>
                <w:sz w:val="24"/>
              </w:rPr>
            </w:pPr>
            <w:r>
              <w:rPr>
                <w:sz w:val="24"/>
              </w:rPr>
              <w:t>附图1  项目地理位置图(应反映行政区划、水系、标明纳污口位置和</w:t>
            </w:r>
          </w:p>
          <w:p>
            <w:pPr>
              <w:tabs>
                <w:tab w:val="left" w:pos="417"/>
              </w:tabs>
              <w:snapToGrid w:val="0"/>
              <w:spacing w:line="360" w:lineRule="auto"/>
              <w:rPr>
                <w:sz w:val="24"/>
              </w:rPr>
            </w:pPr>
            <w:r>
              <w:rPr>
                <w:sz w:val="24"/>
              </w:rPr>
              <w:t xml:space="preserve">          地形地貌等)</w:t>
            </w:r>
          </w:p>
          <w:p>
            <w:pPr>
              <w:tabs>
                <w:tab w:val="left" w:pos="417"/>
              </w:tabs>
              <w:snapToGrid w:val="0"/>
              <w:spacing w:line="360" w:lineRule="auto"/>
              <w:rPr>
                <w:sz w:val="24"/>
              </w:rPr>
            </w:pPr>
            <w:r>
              <w:rPr>
                <w:sz w:val="24"/>
              </w:rPr>
              <w:t xml:space="preserve">  附图2  项目平面布置图</w:t>
            </w:r>
          </w:p>
          <w:p>
            <w:pPr>
              <w:tabs>
                <w:tab w:val="left" w:pos="417"/>
              </w:tabs>
              <w:snapToGrid w:val="0"/>
              <w:spacing w:line="360" w:lineRule="auto"/>
              <w:rPr>
                <w:sz w:val="24"/>
              </w:rPr>
            </w:pPr>
          </w:p>
          <w:p>
            <w:pPr>
              <w:tabs>
                <w:tab w:val="left" w:pos="417"/>
              </w:tabs>
              <w:snapToGrid w:val="0"/>
              <w:spacing w:line="360" w:lineRule="auto"/>
              <w:rPr>
                <w:sz w:val="24"/>
              </w:rPr>
            </w:pPr>
            <w:r>
              <w:rPr>
                <w:sz w:val="24"/>
              </w:rPr>
              <w:t xml:space="preserve">  二、如果本报告表不能说明项目产生的污染及对环境造成的影响，应</w:t>
            </w:r>
          </w:p>
          <w:p>
            <w:pPr>
              <w:tabs>
                <w:tab w:val="left" w:pos="417"/>
              </w:tabs>
              <w:snapToGrid w:val="0"/>
              <w:spacing w:line="360" w:lineRule="auto"/>
              <w:rPr>
                <w:sz w:val="24"/>
              </w:rPr>
            </w:pPr>
            <w:r>
              <w:rPr>
                <w:sz w:val="24"/>
              </w:rPr>
              <w:t xml:space="preserve">      进行专项评价。根据建设项目的特点和当地环境特征，应选下列</w:t>
            </w:r>
          </w:p>
          <w:p>
            <w:pPr>
              <w:tabs>
                <w:tab w:val="left" w:pos="417"/>
              </w:tabs>
              <w:snapToGrid w:val="0"/>
              <w:spacing w:line="360" w:lineRule="auto"/>
              <w:rPr>
                <w:sz w:val="24"/>
              </w:rPr>
            </w:pPr>
            <w:r>
              <w:rPr>
                <w:sz w:val="24"/>
              </w:rPr>
              <w:t xml:space="preserve">      1-2项进行专项评价。</w:t>
            </w:r>
          </w:p>
          <w:p>
            <w:pPr>
              <w:tabs>
                <w:tab w:val="left" w:pos="417"/>
              </w:tabs>
              <w:snapToGrid w:val="0"/>
              <w:spacing w:line="360" w:lineRule="auto"/>
              <w:rPr>
                <w:sz w:val="24"/>
              </w:rPr>
            </w:pPr>
            <w:r>
              <w:rPr>
                <w:sz w:val="24"/>
              </w:rPr>
              <w:t xml:space="preserve">  1、大气环境影响专项评价</w:t>
            </w:r>
          </w:p>
          <w:p>
            <w:pPr>
              <w:tabs>
                <w:tab w:val="left" w:pos="417"/>
              </w:tabs>
              <w:snapToGrid w:val="0"/>
              <w:spacing w:line="360" w:lineRule="auto"/>
              <w:rPr>
                <w:sz w:val="24"/>
              </w:rPr>
            </w:pPr>
            <w:r>
              <w:rPr>
                <w:sz w:val="24"/>
              </w:rPr>
              <w:t xml:space="preserve">  2、水环境影响专项评价(包括地表水和地下水)</w:t>
            </w:r>
          </w:p>
          <w:p>
            <w:pPr>
              <w:tabs>
                <w:tab w:val="left" w:pos="417"/>
              </w:tabs>
              <w:snapToGrid w:val="0"/>
              <w:spacing w:line="360" w:lineRule="auto"/>
              <w:rPr>
                <w:sz w:val="24"/>
              </w:rPr>
            </w:pPr>
            <w:r>
              <w:rPr>
                <w:sz w:val="24"/>
              </w:rPr>
              <w:t xml:space="preserve">  3、生态影响专项评价</w:t>
            </w:r>
          </w:p>
          <w:p>
            <w:pPr>
              <w:tabs>
                <w:tab w:val="left" w:pos="417"/>
              </w:tabs>
              <w:snapToGrid w:val="0"/>
              <w:spacing w:line="360" w:lineRule="auto"/>
              <w:rPr>
                <w:sz w:val="24"/>
              </w:rPr>
            </w:pPr>
            <w:r>
              <w:rPr>
                <w:sz w:val="24"/>
              </w:rPr>
              <w:t xml:space="preserve">  4、声影响专项评价</w:t>
            </w:r>
          </w:p>
          <w:p>
            <w:pPr>
              <w:tabs>
                <w:tab w:val="left" w:pos="417"/>
              </w:tabs>
              <w:snapToGrid w:val="0"/>
              <w:spacing w:line="360" w:lineRule="auto"/>
              <w:rPr>
                <w:sz w:val="24"/>
              </w:rPr>
            </w:pPr>
            <w:r>
              <w:rPr>
                <w:sz w:val="24"/>
              </w:rPr>
              <w:t xml:space="preserve">  5、土壤影响专项评价</w:t>
            </w:r>
          </w:p>
          <w:p>
            <w:pPr>
              <w:tabs>
                <w:tab w:val="left" w:pos="417"/>
              </w:tabs>
              <w:snapToGrid w:val="0"/>
              <w:spacing w:line="360" w:lineRule="auto"/>
              <w:rPr>
                <w:sz w:val="24"/>
              </w:rPr>
            </w:pPr>
            <w:r>
              <w:rPr>
                <w:sz w:val="24"/>
              </w:rPr>
              <w:t xml:space="preserve">  6、固体废弃物影响专项评价</w:t>
            </w:r>
          </w:p>
          <w:p>
            <w:pPr>
              <w:tabs>
                <w:tab w:val="left" w:pos="417"/>
              </w:tabs>
              <w:snapToGrid w:val="0"/>
              <w:spacing w:line="360" w:lineRule="auto"/>
              <w:rPr>
                <w:sz w:val="24"/>
              </w:rPr>
            </w:pPr>
            <w:r>
              <w:rPr>
                <w:sz w:val="24"/>
              </w:rPr>
              <w:t xml:space="preserve">  以上专项评价未包括的可另列专项，专项评价按照《环境影响评价技</w:t>
            </w:r>
          </w:p>
          <w:p>
            <w:pPr>
              <w:tabs>
                <w:tab w:val="left" w:pos="417"/>
              </w:tabs>
              <w:snapToGrid w:val="0"/>
              <w:spacing w:line="360" w:lineRule="auto"/>
              <w:rPr>
                <w:sz w:val="24"/>
              </w:rPr>
            </w:pPr>
            <w:r>
              <w:rPr>
                <w:sz w:val="24"/>
              </w:rPr>
              <w:t xml:space="preserve">  术导则》中的要求进行。</w:t>
            </w:r>
          </w:p>
          <w:p>
            <w:pPr>
              <w:tabs>
                <w:tab w:val="left" w:pos="417"/>
              </w:tabs>
              <w:snapToGrid w:val="0"/>
              <w:spacing w:line="300" w:lineRule="auto"/>
              <w:rPr>
                <w:sz w:val="24"/>
              </w:rPr>
            </w:pPr>
          </w:p>
          <w:p>
            <w:pPr>
              <w:tabs>
                <w:tab w:val="left" w:pos="417"/>
              </w:tabs>
              <w:snapToGrid w:val="0"/>
              <w:spacing w:line="300" w:lineRule="auto"/>
              <w:rPr>
                <w:sz w:val="24"/>
              </w:rPr>
            </w:pPr>
          </w:p>
          <w:p>
            <w:pPr>
              <w:tabs>
                <w:tab w:val="left" w:pos="417"/>
              </w:tabs>
              <w:snapToGrid w:val="0"/>
              <w:spacing w:line="300" w:lineRule="auto"/>
              <w:rPr>
                <w:sz w:val="24"/>
              </w:rPr>
            </w:pPr>
          </w:p>
          <w:p>
            <w:pPr>
              <w:tabs>
                <w:tab w:val="left" w:pos="417"/>
              </w:tabs>
              <w:snapToGrid w:val="0"/>
              <w:spacing w:line="300" w:lineRule="auto"/>
              <w:rPr>
                <w:sz w:val="24"/>
              </w:rPr>
            </w:pPr>
          </w:p>
          <w:p>
            <w:pPr>
              <w:tabs>
                <w:tab w:val="left" w:pos="417"/>
              </w:tabs>
              <w:snapToGrid w:val="0"/>
              <w:spacing w:line="300" w:lineRule="auto"/>
              <w:rPr>
                <w:sz w:val="24"/>
              </w:rPr>
            </w:pPr>
          </w:p>
          <w:p>
            <w:pPr>
              <w:tabs>
                <w:tab w:val="left" w:pos="417"/>
              </w:tabs>
              <w:snapToGrid w:val="0"/>
              <w:spacing w:line="300" w:lineRule="auto"/>
              <w:rPr>
                <w:sz w:val="24"/>
              </w:rPr>
            </w:pPr>
          </w:p>
        </w:tc>
      </w:tr>
    </w:tbl>
    <w:p>
      <w:pPr>
        <w:tabs>
          <w:tab w:val="left" w:pos="210"/>
        </w:tabs>
        <w:rPr>
          <w:rFonts w:eastAsia="楷体_GB2312"/>
          <w:sz w:val="28"/>
        </w:rPr>
      </w:pPr>
      <w:r>
        <w:rPr>
          <w:rFonts w:eastAsia="楷体_GB2312"/>
          <w:sz w:val="28"/>
        </w:rPr>
        <w:tab/>
      </w:r>
    </w:p>
    <w:p/>
    <w:sectPr>
      <w:footerReference r:id="rId9"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Times Ne⁷†††††††Times New Roman">
    <w:altName w:val="Times New Roman"/>
    <w:panose1 w:val="00000000000000000000"/>
    <w:charset w:val="00"/>
    <w:family w:val="roman"/>
    <w:pitch w:val="default"/>
    <w:sig w:usb0="00000000" w:usb1="00000000" w:usb2="00000000" w:usb3="00000000" w:csb0="00000001" w:csb1="00000000"/>
  </w:font>
  <w:font w:name="Arial">
    <w:altName w:val="Times New Roman"/>
    <w:panose1 w:val="020B0604020202020204"/>
    <w:charset w:val="00"/>
    <w:family w:val="swiss"/>
    <w:pitch w:val="default"/>
    <w:sig w:usb0="00000000" w:usb1="00000000" w:usb2="00000009" w:usb3="00000000" w:csb0="000001F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新宋体">
    <w:altName w:val="方正书宋_GBK"/>
    <w:panose1 w:val="02010609030101010101"/>
    <w:charset w:val="86"/>
    <w:family w:val="modern"/>
    <w:pitch w:val="default"/>
    <w:sig w:usb0="00000000" w:usb1="00000000"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 w:name="方正书宋_GBK">
    <w:panose1 w:val="02000000000000000000"/>
    <w:charset w:val="86"/>
    <w:family w:val="auto"/>
    <w:pitch w:val="default"/>
    <w:sig w:usb0="A00002BF" w:usb1="38CF7CFA" w:usb2="00082016" w:usb3="00000000" w:csb0="00040001"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8"/>
      </w:rPr>
    </w:pPr>
    <w:r>
      <w:fldChar w:fldCharType="begin"/>
    </w:r>
    <w:r>
      <w:rPr>
        <w:rStyle w:val="18"/>
      </w:rPr>
      <w:instrText xml:space="preserve">PAGE  </w:instrText>
    </w:r>
    <w: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42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_x0000_s3073" o:spid="_x0000_s3073"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5LOmo8ICAADWBQAADgAAAAAA&#10;AAABACAAAAAfAQAAZHJzL2Uyb0RvYy54bWxQSwUGAAAAAAYABgBZAQAAUwYAAAAA&#10;">
          <v:path/>
          <v:fill on="f" focussize="0,0"/>
          <v:stroke on="f" weight="0.5pt" joinstyle="miter"/>
          <v:imagedata o:title=""/>
          <o:lock v:ext="edit"/>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CCE588"/>
    <w:multiLevelType w:val="singleLevel"/>
    <w:tmpl w:val="BBCCE588"/>
    <w:lvl w:ilvl="0" w:tentative="0">
      <w:start w:val="1"/>
      <w:numFmt w:val="decimal"/>
      <w:suff w:val="nothing"/>
      <w:lvlText w:val="%1、"/>
      <w:lvlJc w:val="left"/>
    </w:lvl>
  </w:abstractNum>
  <w:abstractNum w:abstractNumId="1">
    <w:nsid w:val="337E314A"/>
    <w:multiLevelType w:val="singleLevel"/>
    <w:tmpl w:val="337E314A"/>
    <w:lvl w:ilvl="0" w:tentative="0">
      <w:start w:val="6"/>
      <w:numFmt w:val="decimal"/>
      <w:suff w:val="nothing"/>
      <w:lvlText w:val="%1、"/>
      <w:lvlJc w:val="left"/>
    </w:lvl>
  </w:abstractNum>
  <w:abstractNum w:abstractNumId="2">
    <w:nsid w:val="49B4E360"/>
    <w:multiLevelType w:val="singleLevel"/>
    <w:tmpl w:val="49B4E360"/>
    <w:lvl w:ilvl="0" w:tentative="0">
      <w:start w:val="7"/>
      <w:numFmt w:val="decimal"/>
      <w:suff w:val="nothing"/>
      <w:lvlText w:val="%1、"/>
      <w:lvlJc w:val="left"/>
    </w:lvl>
  </w:abstractNum>
  <w:abstractNum w:abstractNumId="3">
    <w:nsid w:val="590089DD"/>
    <w:multiLevelType w:val="singleLevel"/>
    <w:tmpl w:val="590089DD"/>
    <w:lvl w:ilvl="0" w:tentative="0">
      <w:start w:val="2"/>
      <w:numFmt w:val="chineseCounting"/>
      <w:suff w:val="nothing"/>
      <w:lvlText w:val="%1、"/>
      <w:lvlJc w:val="left"/>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documentProtection w:enforcement="0"/>
  <w:defaultTabStop w:val="420"/>
  <w:drawingGridVerticalSpacing w:val="156"/>
  <w:noPunctuationKerning w:val="true"/>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15401"/>
    <w:rsid w:val="001D1398"/>
    <w:rsid w:val="00237EC6"/>
    <w:rsid w:val="00266DA2"/>
    <w:rsid w:val="00287348"/>
    <w:rsid w:val="002C311B"/>
    <w:rsid w:val="00315401"/>
    <w:rsid w:val="003566B9"/>
    <w:rsid w:val="003C1327"/>
    <w:rsid w:val="0044746C"/>
    <w:rsid w:val="00533D66"/>
    <w:rsid w:val="0069290C"/>
    <w:rsid w:val="006D5B1B"/>
    <w:rsid w:val="00704E48"/>
    <w:rsid w:val="00850D8A"/>
    <w:rsid w:val="008628F3"/>
    <w:rsid w:val="008F1EBE"/>
    <w:rsid w:val="00991D25"/>
    <w:rsid w:val="00A11C9B"/>
    <w:rsid w:val="00A155CD"/>
    <w:rsid w:val="00A32CA5"/>
    <w:rsid w:val="00A42E3C"/>
    <w:rsid w:val="00B75FF4"/>
    <w:rsid w:val="00D1332F"/>
    <w:rsid w:val="00D6419D"/>
    <w:rsid w:val="00D84669"/>
    <w:rsid w:val="00EE36D2"/>
    <w:rsid w:val="00F364CE"/>
    <w:rsid w:val="00F72D28"/>
    <w:rsid w:val="00FC2AD2"/>
    <w:rsid w:val="02264E9B"/>
    <w:rsid w:val="02766AC4"/>
    <w:rsid w:val="07EB0936"/>
    <w:rsid w:val="099F0C30"/>
    <w:rsid w:val="0A8C1613"/>
    <w:rsid w:val="174B076C"/>
    <w:rsid w:val="1EB66663"/>
    <w:rsid w:val="1EE71DCE"/>
    <w:rsid w:val="277213BB"/>
    <w:rsid w:val="27B906EF"/>
    <w:rsid w:val="29FB750F"/>
    <w:rsid w:val="35E61058"/>
    <w:rsid w:val="37F2491D"/>
    <w:rsid w:val="3936614A"/>
    <w:rsid w:val="3E5300E5"/>
    <w:rsid w:val="3EFD4D54"/>
    <w:rsid w:val="3F5920EF"/>
    <w:rsid w:val="3F5C6DB5"/>
    <w:rsid w:val="4657774B"/>
    <w:rsid w:val="49BD0824"/>
    <w:rsid w:val="4EAF5B95"/>
    <w:rsid w:val="54D84C1D"/>
    <w:rsid w:val="5533744D"/>
    <w:rsid w:val="555E0707"/>
    <w:rsid w:val="5AA25A6A"/>
    <w:rsid w:val="5AA26883"/>
    <w:rsid w:val="6727751D"/>
    <w:rsid w:val="6F8033C3"/>
    <w:rsid w:val="6FE70ABB"/>
    <w:rsid w:val="7E1627C1"/>
    <w:rsid w:val="7FBF28F0"/>
    <w:rsid w:val="BBDBA8D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rules v:ext="edit">
        <o:r id="V:Rule1" type="connector" idref="#_x0000_s2051"/>
        <o:r id="V:Rule2" type="connector" idref="#_x0000_s2052"/>
        <o:r id="V:Rule3" type="connector" idref="#_x0000_s2053"/>
        <o:r id="V:Rule4" type="connector" idref="#_x0000_s2054"/>
        <o:r id="V:Rule5" type="connector" idref="#_x0000_s2059"/>
        <o:r id="V:Rule6" type="connector" idref="#_x0000_s2060"/>
        <o:r id="V:Rule7" type="connector" idref="#_x0000_s2061"/>
        <o:r id="V:Rule8" type="connector" idref="#_x0000_s2062"/>
        <o:r id="V:Rule9" type="connector" idref="#_x0000_s2067"/>
        <o:r id="V:Rule10" type="connector" idref="#_x0000_s2068"/>
        <o:r id="V:Rule11" type="connector" idref="#_x0000_s210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3"/>
    <w:basedOn w:val="1"/>
    <w:next w:val="1"/>
    <w:qFormat/>
    <w:uiPriority w:val="0"/>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Document Map"/>
    <w:basedOn w:val="1"/>
    <w:link w:val="27"/>
    <w:qFormat/>
    <w:uiPriority w:val="0"/>
    <w:rPr>
      <w:rFonts w:ascii="宋体"/>
      <w:sz w:val="18"/>
      <w:szCs w:val="18"/>
    </w:rPr>
  </w:style>
  <w:style w:type="paragraph" w:styleId="6">
    <w:name w:val="annotation text"/>
    <w:basedOn w:val="1"/>
    <w:qFormat/>
    <w:uiPriority w:val="0"/>
    <w:pPr>
      <w:jc w:val="left"/>
    </w:pPr>
  </w:style>
  <w:style w:type="paragraph" w:styleId="7">
    <w:name w:val="Body Text"/>
    <w:basedOn w:val="1"/>
    <w:semiHidden/>
    <w:unhideWhenUsed/>
    <w:qFormat/>
    <w:uiPriority w:val="99"/>
    <w:pPr>
      <w:spacing w:after="120"/>
    </w:pPr>
  </w:style>
  <w:style w:type="paragraph" w:styleId="8">
    <w:name w:val="Body Text Indent"/>
    <w:basedOn w:val="1"/>
    <w:qFormat/>
    <w:uiPriority w:val="0"/>
    <w:pPr>
      <w:ind w:left="420" w:leftChars="200"/>
    </w:pPr>
  </w:style>
  <w:style w:type="paragraph" w:styleId="9">
    <w:name w:val="Plain Text"/>
    <w:basedOn w:val="1"/>
    <w:qFormat/>
    <w:uiPriority w:val="0"/>
    <w:rPr>
      <w:rFonts w:ascii="Times Ne⁷†††††††Times New Roman" w:hAnsi="Times Ne⁷†††††††Times New Roman"/>
      <w:sz w:val="28"/>
      <w:szCs w:val="20"/>
    </w:rPr>
  </w:style>
  <w:style w:type="paragraph" w:styleId="10">
    <w:name w:val="Body Text Indent 2"/>
    <w:basedOn w:val="1"/>
    <w:qFormat/>
    <w:uiPriority w:val="0"/>
    <w:pPr>
      <w:ind w:left="432" w:firstLine="407" w:firstLineChars="194"/>
    </w:pPr>
    <w:rPr>
      <w:rFonts w:ascii="宋体" w:hAnsi="宋体"/>
      <w:bCs/>
      <w:szCs w:val="28"/>
    </w:rPr>
  </w:style>
  <w:style w:type="paragraph" w:styleId="11">
    <w:name w:val="Balloon Text"/>
    <w:basedOn w:val="1"/>
    <w:link w:val="28"/>
    <w:qFormat/>
    <w:uiPriority w:val="0"/>
    <w:rPr>
      <w:sz w:val="18"/>
      <w:szCs w:val="18"/>
    </w:r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14">
    <w:name w:val="Body Text First Indent"/>
    <w:basedOn w:val="7"/>
    <w:semiHidden/>
    <w:unhideWhenUsed/>
    <w:qFormat/>
    <w:uiPriority w:val="99"/>
    <w:pPr>
      <w:ind w:firstLine="420" w:firstLineChars="1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qFormat/>
    <w:uiPriority w:val="0"/>
  </w:style>
  <w:style w:type="character" w:styleId="19">
    <w:name w:val="annotation reference"/>
    <w:semiHidden/>
    <w:qFormat/>
    <w:uiPriority w:val="0"/>
    <w:rPr>
      <w:sz w:val="21"/>
      <w:szCs w:val="21"/>
    </w:rPr>
  </w:style>
  <w:style w:type="paragraph" w:customStyle="1" w:styleId="20">
    <w:name w:val="样式1"/>
    <w:basedOn w:val="1"/>
    <w:qFormat/>
    <w:uiPriority w:val="0"/>
    <w:pPr>
      <w:ind w:firstLine="538" w:firstLineChars="168"/>
    </w:pPr>
    <w:rPr>
      <w:rFonts w:ascii="Arial" w:hAnsi="Arial" w:cs="Arial"/>
      <w:spacing w:val="20"/>
      <w:sz w:val="28"/>
      <w:szCs w:val="28"/>
    </w:rPr>
  </w:style>
  <w:style w:type="paragraph" w:customStyle="1" w:styleId="21">
    <w:name w:val="a"/>
    <w:basedOn w:val="1"/>
    <w:qFormat/>
    <w:uiPriority w:val="0"/>
    <w:pPr>
      <w:spacing w:line="540" w:lineRule="exact"/>
      <w:ind w:firstLine="200" w:firstLineChars="200"/>
    </w:pPr>
    <w:rPr>
      <w:rFonts w:ascii="宋体" w:hAnsi="宋体"/>
      <w:b/>
      <w:bCs/>
      <w:sz w:val="28"/>
      <w:szCs w:val="21"/>
    </w:rPr>
  </w:style>
  <w:style w:type="paragraph" w:customStyle="1" w:styleId="22">
    <w:name w:val="正1"/>
    <w:basedOn w:val="1"/>
    <w:qFormat/>
    <w:uiPriority w:val="0"/>
    <w:pPr>
      <w:spacing w:line="360" w:lineRule="auto"/>
      <w:ind w:firstLine="200" w:firstLineChars="200"/>
      <w:jc w:val="left"/>
    </w:pPr>
    <w:rPr>
      <w:rFonts w:eastAsia="楷体_GB2312"/>
      <w:sz w:val="24"/>
    </w:rPr>
  </w:style>
  <w:style w:type="paragraph" w:customStyle="1" w:styleId="23">
    <w:name w:val="xl3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仿宋_GB2312"/>
      <w:kern w:val="0"/>
      <w:sz w:val="24"/>
    </w:rPr>
  </w:style>
  <w:style w:type="paragraph" w:customStyle="1" w:styleId="24">
    <w:name w:val="A表格"/>
    <w:basedOn w:val="1"/>
    <w:qFormat/>
    <w:uiPriority w:val="0"/>
    <w:pPr>
      <w:jc w:val="center"/>
    </w:pPr>
    <w:rPr>
      <w:szCs w:val="21"/>
    </w:rPr>
  </w:style>
  <w:style w:type="paragraph" w:customStyle="1" w:styleId="25">
    <w:name w:val="样式5"/>
    <w:basedOn w:val="1"/>
    <w:next w:val="1"/>
    <w:qFormat/>
    <w:uiPriority w:val="0"/>
    <w:pPr>
      <w:jc w:val="center"/>
    </w:pPr>
    <w:rPr>
      <w:bCs/>
      <w:szCs w:val="22"/>
    </w:rPr>
  </w:style>
  <w:style w:type="paragraph" w:customStyle="1" w:styleId="26">
    <w:name w:val="样式 正文（首行缩进两字） + 行距: 固定值 20 磅"/>
    <w:basedOn w:val="4"/>
    <w:qFormat/>
    <w:uiPriority w:val="0"/>
    <w:pPr>
      <w:spacing w:before="100" w:beforeAutospacing="1" w:afterLines="20" w:line="400" w:lineRule="exact"/>
      <w:ind w:firstLine="480"/>
    </w:pPr>
    <w:rPr>
      <w:sz w:val="24"/>
    </w:rPr>
  </w:style>
  <w:style w:type="character" w:customStyle="1" w:styleId="27">
    <w:name w:val="文档结构图 Char"/>
    <w:basedOn w:val="17"/>
    <w:link w:val="5"/>
    <w:qFormat/>
    <w:uiPriority w:val="0"/>
    <w:rPr>
      <w:rFonts w:ascii="宋体"/>
      <w:kern w:val="2"/>
      <w:sz w:val="18"/>
      <w:szCs w:val="18"/>
    </w:rPr>
  </w:style>
  <w:style w:type="character" w:customStyle="1" w:styleId="28">
    <w:name w:val="批注框文本 Char"/>
    <w:basedOn w:val="17"/>
    <w:link w:val="11"/>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3"/>
    <customShpInfo spid="_x0000_s2109"/>
    <customShpInfo spid="_x0000_s2110"/>
    <customShpInfo spid="_x0000_s2070"/>
    <customShpInfo spid="_x0000_s2069"/>
    <customShpInfo spid="_x0000_s2068"/>
    <customShpInfo spid="_x0000_s2067"/>
    <customShpInfo spid="_x0000_s2066"/>
    <customShpInfo spid="_x0000_s2065"/>
    <customShpInfo spid="_x0000_s2064"/>
    <customShpInfo spid="_x0000_s2106"/>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61</Pages>
  <Words>6798</Words>
  <Characters>38752</Characters>
  <Lines>322</Lines>
  <Paragraphs>90</Paragraphs>
  <TotalTime>25</TotalTime>
  <ScaleCrop>false</ScaleCrop>
  <LinksUpToDate>false</LinksUpToDate>
  <CharactersWithSpaces>45460</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帅</dc:creator>
  <cp:lastModifiedBy>user</cp:lastModifiedBy>
  <dcterms:modified xsi:type="dcterms:W3CDTF">2023-06-12T14:52:11Z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ies>
</file>