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C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left="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001B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left="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326F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20042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42EEF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1016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2ED1803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</w:p>
    <w:p w14:paraId="27B98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530D4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汶上县商务局</w:t>
      </w:r>
    </w:p>
    <w:p w14:paraId="79AD2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法治政府建设报告</w:t>
      </w:r>
    </w:p>
    <w:p w14:paraId="1860AAE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61BF1B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年，在全县深入推进依法治县工作的进程中，县商务局积极响应党的二十大精神，全面贯彻习近平法治思想，以扎实的举措推动法治政府建设，持续提升商务领域法治化水平，为商务事业的稳健发展筑牢坚实的法治根基。现将相关工作情况汇报如下：</w:t>
      </w:r>
    </w:p>
    <w:p w14:paraId="61AA672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2024年度法治工作开展情况</w:t>
      </w:r>
    </w:p>
    <w:p w14:paraId="7E71EC98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）认真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履行推进法治建设第一责任人职责</w:t>
      </w:r>
    </w:p>
    <w:p w14:paraId="37116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在法治建设进程中，切实承担第一责任人的职责，以高度的责任感和使命感，引领法治建设工作的深入开展。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一是全面压实责任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将法治建设融入到依法治县的整体格局中。在本单位法治建设中，充分发挥领导核心作用，将法治建设纳入单位发展的总体规划和年度计划，使其与经济社会发展紧密结合，同步推进、同步监督、同步奖惩。每半年定期听取法治建设工作汇报，对法治建设中的重大问题进行及时研究和解决，确保各项工作有序推进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二是搭建交流机制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，强化民主决策。针对“三重一大”事项，坚持集体研究、民主决策，保证决议、决定合法合规。通过专题会议研究部署和调度工作，为依法行政、依法决策提供有力保障，有效防范各类风险。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三是强化跟踪问效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，将法治建设纳入考核体系，提高考核中的分值占比，推动法治工作与经济发展等重点工作协同发展，实现同步部署、同步检查、同步考核，形成良好的法治建设氛围 。</w:t>
      </w:r>
    </w:p>
    <w:p w14:paraId="7BFAFE7E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带头学习法治理论和法律知识</w:t>
      </w:r>
    </w:p>
    <w:p w14:paraId="4E5EF9DC">
      <w:pPr>
        <w:pStyle w:val="23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方正楷体简体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始终将深入学习贯彻习近平法治思想作为重要政治任务，以法治思维指导实践、推动工作。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一是聚焦“关键少数”。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积极落实党委理论学习中心组学法、党委会议会前学法等制度，制定学法清单，组织法治理念强化提升学习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次，不断加强习近平法治思想的学习宣传和研究阐释。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二是拓展覆盖广度。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多批次、全覆盖组织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全局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党员机关干部学习培训，将习近平法治思想学习列入重点学习内容和全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机关干部年度培训计划，组织法治专题学习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2次，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动员机关干部全员参与202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年全县国家工作人员学法用法考试工作，推进学法用法工作规范化、常态化。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三是注重学用结合。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自学《民法典》、《营商环境条例》《法治政府建设实施纲要（2021-2025年）》等相关法律法规规定，全面提升自身的法治水平和思维方式，切实将科学思想转化为法治建设的实际成效。</w:t>
      </w:r>
    </w:p>
    <w:p w14:paraId="1890591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2024年度法治工作取得成效</w:t>
      </w:r>
    </w:p>
    <w:p w14:paraId="1DE616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是商务法治建设落实。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全面深化政务公开。聚焦“民心所想、民意所盼”，进一步提高重点领域、重大事项公开力度，规范政务公开内容形式，通过网站主动公开政府信息共38条，“汶上县商务局”智慧汶上平台公开信息17余条。二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选优配强执法队伍。致力推进行政执法监督规范化，组织执法人员参加市县培训学习活动，熟练操作济宁执法APP等网络系统，有效提高行政执法人员业务水平，4名机关干部考取行政执法资格。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依法办理群众诉求。探索社会治理模式与法治有机融合，着力推进矛盾纠纷多元化化解，全面提升社会治理水平，依法依规办理群众诉求1050余件，在群众满意度调查中，位居前列。</w:t>
      </w:r>
    </w:p>
    <w:p w14:paraId="3AAEA368">
      <w:pPr>
        <w:pStyle w:val="23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（二）落实普法宣传，突出商务特色</w:t>
      </w:r>
    </w:p>
    <w:p w14:paraId="5A4C0C5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一是聚焦“互联网+”开展普法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。创新普法宣传载体，以“互联网+”赋能普法宣传，运用“汶上县商务局”微信公众号、宣讲《中华人民共和国</w:t>
      </w:r>
      <w:r>
        <w:rPr>
          <w:rFonts w:hint="eastAsia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拍卖法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》、《中华人民共和国</w:t>
      </w:r>
      <w:r>
        <w:rPr>
          <w:rFonts w:hint="eastAsia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对外贸易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法》、《中华人民共和国外商投资法》等法律法规，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二是聚焦主责主业开展普法。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举办行业普法实践活动。向企业和消费者宣传《单用途预付卡业务管理办法》、《对外劳务合作管理办法》等有关法律法规，普及相关法律法规知识。利用重要展会参展契机，组织参展企业培训、普法宣讲。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三是聚焦“以案释法”开展普法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。紧紧围绕商业维权、对外投资、促进消费等工作，积极挖掘群众反映强烈、社会广泛关注、具有特色和普遍警示教育意义的典型、真实案例，结合企业实际需求开展“以案释法”普法宣传活动。</w:t>
      </w:r>
    </w:p>
    <w:p w14:paraId="70E2100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三、商务法治建设存在问题</w:t>
      </w:r>
    </w:p>
    <w:p w14:paraId="0A17A6A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（一）法治思维和法治能力仍需加强。</w:t>
      </w:r>
    </w:p>
    <w:p w14:paraId="6F71B86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部分人员法治思维和依法行政能力不强，偏向于凭经验来解决问题，不善于从法治角度分析问题矛盾，破解工作困境与难题。同时，由于法治政府建设工作专业性强、标准高、容错率低，因此对工作人员的法治意识、法律常识、法规知识都提出了非常高的要求，需要不断提高法治能力水平。</w:t>
      </w:r>
    </w:p>
    <w:p w14:paraId="48982211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对社会法治宣传力度和宣传内容仍需加强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36F7B1A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目前，对社会的法治宣传主要是结合社会实践和大项活动进行，宣传内容主要集中在宪法、商务等方面。因此，从宣传的频度和内容上来说均需加强，主动承担起政府职能部门在法治政府建设中的宣传职责。</w:t>
      </w:r>
    </w:p>
    <w:p w14:paraId="3F68793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职责边界不清，执法力量薄弱。</w:t>
      </w:r>
    </w:p>
    <w:p w14:paraId="51B3D41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根据机构改革相关要求，我局已无执法队伍和职能，相关行政执法力量薄弱，执法设备经费亦无列支途径。</w:t>
      </w:r>
    </w:p>
    <w:p w14:paraId="0C215A2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下步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打算</w:t>
      </w:r>
    </w:p>
    <w:p w14:paraId="7456848F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62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注重规范，兼顾效率，着力完善法治工作制度机制。</w:t>
      </w:r>
    </w:p>
    <w:p w14:paraId="700549B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树立法治理念，强化局法治工作领导，完善依法决策、行政、学法普法及日常管理制度，确保工作合法合规、有据可查。严格执行重大事项 “专家论证、风险评估、合法性审查、集体讨论决定” 程序，实现科学民主决策，依法履行管理职能，达成规范、公平、高效的工作目标。</w:t>
      </w:r>
    </w:p>
    <w:p w14:paraId="2F01A1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firstLine="62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内强自身，外联部门，着力加强行政管理能力建设。</w:t>
      </w:r>
    </w:p>
    <w:p w14:paraId="72EBAB0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结合我县商务行政管理实际与新要求，重新优化局行政管理人员配置，配备完善行政管理装备，组织业务培训，提升人员业务能力和管理水平。深入落实 “双随机一公开” 检查，加强与市场监管等县级职能部门的联系，适时开展联合监管行动，凝聚监管合力。</w:t>
      </w:r>
    </w:p>
    <w:p w14:paraId="3AB3E8D3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firstLine="62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突出重点，因地制宜，着力破解行政管理领域难题。</w:t>
      </w:r>
    </w:p>
    <w:p w14:paraId="3F5AD6C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对接省市商务部门，逐条梳理商务行政管理领域法规条款，明确并完善监管流程和规范。同时，与县级职能部门沟通，厘清职能边界，明确职责分工，形成监管合力。针对单用途商业预付卡，依照省市部署加大监管力度，宣传法规，打击违法，引导市场主体合规经营。</w:t>
      </w:r>
    </w:p>
    <w:p w14:paraId="39FD6E2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right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汶上县商务局</w:t>
      </w:r>
    </w:p>
    <w:p w14:paraId="3FBAF96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年1月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75160000">
      <w:pPr>
        <w:bidi w:val="0"/>
        <w:rPr>
          <w:rFonts w:hint="default"/>
          <w:lang w:val="en-US" w:eastAsia="zh-CN"/>
        </w:rPr>
      </w:pPr>
    </w:p>
    <w:p w14:paraId="3AEEFBDC">
      <w:pPr>
        <w:tabs>
          <w:tab w:val="left" w:pos="6714"/>
        </w:tabs>
        <w:bidi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87" w:right="1474" w:bottom="1587" w:left="1474" w:header="851" w:footer="1191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DAE3"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D6662">
                          <w:pPr>
                            <w:pStyle w:val="8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9D6662">
                    <w:pPr>
                      <w:pStyle w:val="8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161C69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92DB2"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EBD28">
                          <w:pPr>
                            <w:pStyle w:val="8"/>
                            <w:ind w:right="36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EBD28">
                    <w:pPr>
                      <w:pStyle w:val="8"/>
                      <w:ind w:right="36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D37DA86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A2E75"/>
    <w:multiLevelType w:val="singleLevel"/>
    <w:tmpl w:val="96FA2E75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20F2363C"/>
    <w:multiLevelType w:val="singleLevel"/>
    <w:tmpl w:val="20F236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DUwNzY1N2QzZGRlZDBhYzMwMTM2NDhlMzkyMWMifQ=="/>
  </w:docVars>
  <w:rsids>
    <w:rsidRoot w:val="00F80C3E"/>
    <w:rsid w:val="000223D4"/>
    <w:rsid w:val="00051CAC"/>
    <w:rsid w:val="000539FD"/>
    <w:rsid w:val="00081A94"/>
    <w:rsid w:val="00092F29"/>
    <w:rsid w:val="000A60A4"/>
    <w:rsid w:val="000C26E2"/>
    <w:rsid w:val="000D0929"/>
    <w:rsid w:val="000E1D52"/>
    <w:rsid w:val="000E5735"/>
    <w:rsid w:val="00120FA7"/>
    <w:rsid w:val="0012368F"/>
    <w:rsid w:val="001430A7"/>
    <w:rsid w:val="001467B9"/>
    <w:rsid w:val="00154065"/>
    <w:rsid w:val="0017037A"/>
    <w:rsid w:val="00175B81"/>
    <w:rsid w:val="001809D2"/>
    <w:rsid w:val="001F57C9"/>
    <w:rsid w:val="0021461F"/>
    <w:rsid w:val="002153F3"/>
    <w:rsid w:val="00226C67"/>
    <w:rsid w:val="00237AEF"/>
    <w:rsid w:val="00265475"/>
    <w:rsid w:val="00270B0A"/>
    <w:rsid w:val="002D05C5"/>
    <w:rsid w:val="002E2F58"/>
    <w:rsid w:val="002F65DF"/>
    <w:rsid w:val="003224BF"/>
    <w:rsid w:val="0033682A"/>
    <w:rsid w:val="00384193"/>
    <w:rsid w:val="00385956"/>
    <w:rsid w:val="003A2461"/>
    <w:rsid w:val="003A6FF3"/>
    <w:rsid w:val="003C001F"/>
    <w:rsid w:val="00410B9C"/>
    <w:rsid w:val="00415D5C"/>
    <w:rsid w:val="00433C3B"/>
    <w:rsid w:val="00441C9B"/>
    <w:rsid w:val="004427AC"/>
    <w:rsid w:val="004759C4"/>
    <w:rsid w:val="004C10A0"/>
    <w:rsid w:val="004D6EE7"/>
    <w:rsid w:val="004E75EA"/>
    <w:rsid w:val="00510756"/>
    <w:rsid w:val="0051198C"/>
    <w:rsid w:val="00521052"/>
    <w:rsid w:val="005E310F"/>
    <w:rsid w:val="005F7901"/>
    <w:rsid w:val="00634C10"/>
    <w:rsid w:val="00672C9E"/>
    <w:rsid w:val="006847BC"/>
    <w:rsid w:val="006A00AD"/>
    <w:rsid w:val="006D383A"/>
    <w:rsid w:val="006D4C62"/>
    <w:rsid w:val="006D589E"/>
    <w:rsid w:val="00722CF0"/>
    <w:rsid w:val="00723549"/>
    <w:rsid w:val="00724547"/>
    <w:rsid w:val="0074064A"/>
    <w:rsid w:val="00764A01"/>
    <w:rsid w:val="00772A1B"/>
    <w:rsid w:val="00773048"/>
    <w:rsid w:val="00781298"/>
    <w:rsid w:val="007A1658"/>
    <w:rsid w:val="007B5986"/>
    <w:rsid w:val="007C442E"/>
    <w:rsid w:val="008144A3"/>
    <w:rsid w:val="00847ECA"/>
    <w:rsid w:val="00867382"/>
    <w:rsid w:val="0088284C"/>
    <w:rsid w:val="0088713C"/>
    <w:rsid w:val="008B1BFD"/>
    <w:rsid w:val="008C23AB"/>
    <w:rsid w:val="008F1DF0"/>
    <w:rsid w:val="00986E1C"/>
    <w:rsid w:val="00994ECB"/>
    <w:rsid w:val="009B6A89"/>
    <w:rsid w:val="009E2124"/>
    <w:rsid w:val="009E3C3A"/>
    <w:rsid w:val="009F17C4"/>
    <w:rsid w:val="009F2B14"/>
    <w:rsid w:val="00A270FA"/>
    <w:rsid w:val="00A44C92"/>
    <w:rsid w:val="00A46940"/>
    <w:rsid w:val="00A56044"/>
    <w:rsid w:val="00A67C49"/>
    <w:rsid w:val="00A85C2F"/>
    <w:rsid w:val="00A95714"/>
    <w:rsid w:val="00AB19E2"/>
    <w:rsid w:val="00AB7A07"/>
    <w:rsid w:val="00AE64D6"/>
    <w:rsid w:val="00B139FB"/>
    <w:rsid w:val="00B25466"/>
    <w:rsid w:val="00B321A9"/>
    <w:rsid w:val="00B44866"/>
    <w:rsid w:val="00B542B2"/>
    <w:rsid w:val="00B55351"/>
    <w:rsid w:val="00B854B5"/>
    <w:rsid w:val="00B86629"/>
    <w:rsid w:val="00BB7BD1"/>
    <w:rsid w:val="00BC7936"/>
    <w:rsid w:val="00BD647A"/>
    <w:rsid w:val="00BD7EE1"/>
    <w:rsid w:val="00BE190C"/>
    <w:rsid w:val="00BE76FE"/>
    <w:rsid w:val="00C223A5"/>
    <w:rsid w:val="00C25023"/>
    <w:rsid w:val="00C5336B"/>
    <w:rsid w:val="00C74E2B"/>
    <w:rsid w:val="00C97051"/>
    <w:rsid w:val="00CB2587"/>
    <w:rsid w:val="00CB4A4F"/>
    <w:rsid w:val="00CD6EB2"/>
    <w:rsid w:val="00CD70E2"/>
    <w:rsid w:val="00CE6353"/>
    <w:rsid w:val="00CF2B9C"/>
    <w:rsid w:val="00D05DBD"/>
    <w:rsid w:val="00D123E2"/>
    <w:rsid w:val="00D40F63"/>
    <w:rsid w:val="00D42FDD"/>
    <w:rsid w:val="00D86592"/>
    <w:rsid w:val="00DB7780"/>
    <w:rsid w:val="00E0770D"/>
    <w:rsid w:val="00E118C4"/>
    <w:rsid w:val="00E121DA"/>
    <w:rsid w:val="00E1795C"/>
    <w:rsid w:val="00E3471E"/>
    <w:rsid w:val="00E34C9B"/>
    <w:rsid w:val="00E44358"/>
    <w:rsid w:val="00E51C94"/>
    <w:rsid w:val="00E752D2"/>
    <w:rsid w:val="00E762C3"/>
    <w:rsid w:val="00E84795"/>
    <w:rsid w:val="00E947E7"/>
    <w:rsid w:val="00E96008"/>
    <w:rsid w:val="00E96ECC"/>
    <w:rsid w:val="00ED5DA5"/>
    <w:rsid w:val="00EE3B02"/>
    <w:rsid w:val="00F04452"/>
    <w:rsid w:val="00F1310C"/>
    <w:rsid w:val="00F14E57"/>
    <w:rsid w:val="00F27AFE"/>
    <w:rsid w:val="00F41D03"/>
    <w:rsid w:val="00F47737"/>
    <w:rsid w:val="00F508ED"/>
    <w:rsid w:val="00F608F2"/>
    <w:rsid w:val="00F80C3E"/>
    <w:rsid w:val="00F907CF"/>
    <w:rsid w:val="00F914C3"/>
    <w:rsid w:val="00F97E4E"/>
    <w:rsid w:val="00FA2807"/>
    <w:rsid w:val="00FE139F"/>
    <w:rsid w:val="00FE67C5"/>
    <w:rsid w:val="00FF4A18"/>
    <w:rsid w:val="01891B53"/>
    <w:rsid w:val="01B11FC1"/>
    <w:rsid w:val="02806264"/>
    <w:rsid w:val="02DB6600"/>
    <w:rsid w:val="03A06D06"/>
    <w:rsid w:val="05557D25"/>
    <w:rsid w:val="058C6D5F"/>
    <w:rsid w:val="05967A84"/>
    <w:rsid w:val="05B87AA1"/>
    <w:rsid w:val="05CF4744"/>
    <w:rsid w:val="062C045C"/>
    <w:rsid w:val="066671EE"/>
    <w:rsid w:val="068817FC"/>
    <w:rsid w:val="073A569E"/>
    <w:rsid w:val="079F20A5"/>
    <w:rsid w:val="07FB67E7"/>
    <w:rsid w:val="07FE491D"/>
    <w:rsid w:val="08005F05"/>
    <w:rsid w:val="089B78FA"/>
    <w:rsid w:val="08FD4BD5"/>
    <w:rsid w:val="09DE29BD"/>
    <w:rsid w:val="09F42CA1"/>
    <w:rsid w:val="0A0F7DF7"/>
    <w:rsid w:val="0A8C74FF"/>
    <w:rsid w:val="0A9C0B49"/>
    <w:rsid w:val="0B12076F"/>
    <w:rsid w:val="0BBA662C"/>
    <w:rsid w:val="0BE65DF4"/>
    <w:rsid w:val="0CCD18EB"/>
    <w:rsid w:val="0CF27AC2"/>
    <w:rsid w:val="0D356661"/>
    <w:rsid w:val="0D767981"/>
    <w:rsid w:val="0D861093"/>
    <w:rsid w:val="0DCF18AB"/>
    <w:rsid w:val="0DE31731"/>
    <w:rsid w:val="0EAC6D70"/>
    <w:rsid w:val="0EDD34DE"/>
    <w:rsid w:val="10011EB2"/>
    <w:rsid w:val="10247F4C"/>
    <w:rsid w:val="103C1951"/>
    <w:rsid w:val="104061AA"/>
    <w:rsid w:val="114710E3"/>
    <w:rsid w:val="13374971"/>
    <w:rsid w:val="13ED5536"/>
    <w:rsid w:val="14232FF5"/>
    <w:rsid w:val="14542BCD"/>
    <w:rsid w:val="14741308"/>
    <w:rsid w:val="14CB6634"/>
    <w:rsid w:val="14E37374"/>
    <w:rsid w:val="156C2EC6"/>
    <w:rsid w:val="15821E79"/>
    <w:rsid w:val="159B19FD"/>
    <w:rsid w:val="15ED2678"/>
    <w:rsid w:val="164F3B2C"/>
    <w:rsid w:val="167519B8"/>
    <w:rsid w:val="16D310C9"/>
    <w:rsid w:val="17222F0D"/>
    <w:rsid w:val="1753431E"/>
    <w:rsid w:val="176344B9"/>
    <w:rsid w:val="17D01FD3"/>
    <w:rsid w:val="17ED3B02"/>
    <w:rsid w:val="18013B63"/>
    <w:rsid w:val="18BC4164"/>
    <w:rsid w:val="18EC58CE"/>
    <w:rsid w:val="18FE3E48"/>
    <w:rsid w:val="196F11D7"/>
    <w:rsid w:val="19947BE9"/>
    <w:rsid w:val="19C05706"/>
    <w:rsid w:val="19DA2D2C"/>
    <w:rsid w:val="1A6A7EFE"/>
    <w:rsid w:val="1ABF5993"/>
    <w:rsid w:val="1B154000"/>
    <w:rsid w:val="1B162D64"/>
    <w:rsid w:val="1C631554"/>
    <w:rsid w:val="1CBB6CA9"/>
    <w:rsid w:val="1D9508E4"/>
    <w:rsid w:val="1DBE08FC"/>
    <w:rsid w:val="1E852122"/>
    <w:rsid w:val="1FD10171"/>
    <w:rsid w:val="20274660"/>
    <w:rsid w:val="20547378"/>
    <w:rsid w:val="208F7D35"/>
    <w:rsid w:val="20992F22"/>
    <w:rsid w:val="20F0511D"/>
    <w:rsid w:val="21611D4D"/>
    <w:rsid w:val="21A63C04"/>
    <w:rsid w:val="21D00C81"/>
    <w:rsid w:val="22323C09"/>
    <w:rsid w:val="223659CA"/>
    <w:rsid w:val="225278E7"/>
    <w:rsid w:val="22D622C7"/>
    <w:rsid w:val="23264FFC"/>
    <w:rsid w:val="234D48EA"/>
    <w:rsid w:val="23612042"/>
    <w:rsid w:val="237956A2"/>
    <w:rsid w:val="238F4F03"/>
    <w:rsid w:val="23F724F4"/>
    <w:rsid w:val="24AD24AD"/>
    <w:rsid w:val="254D5532"/>
    <w:rsid w:val="255A5414"/>
    <w:rsid w:val="258E7EEF"/>
    <w:rsid w:val="260A2AE9"/>
    <w:rsid w:val="265D0D68"/>
    <w:rsid w:val="26A560BD"/>
    <w:rsid w:val="26D11723"/>
    <w:rsid w:val="270F7B55"/>
    <w:rsid w:val="279B49E8"/>
    <w:rsid w:val="27AB4AB6"/>
    <w:rsid w:val="28391415"/>
    <w:rsid w:val="28EF6EB0"/>
    <w:rsid w:val="293215CE"/>
    <w:rsid w:val="29EF2E72"/>
    <w:rsid w:val="2A4C6938"/>
    <w:rsid w:val="2A5D1F87"/>
    <w:rsid w:val="2A77789A"/>
    <w:rsid w:val="2A811B7B"/>
    <w:rsid w:val="2B8374A7"/>
    <w:rsid w:val="2BDC42FE"/>
    <w:rsid w:val="2BEA6938"/>
    <w:rsid w:val="2BF62E87"/>
    <w:rsid w:val="2C130931"/>
    <w:rsid w:val="2C1E50DA"/>
    <w:rsid w:val="2D7A3A3A"/>
    <w:rsid w:val="2E921833"/>
    <w:rsid w:val="2F184DD6"/>
    <w:rsid w:val="2F4860B6"/>
    <w:rsid w:val="2F697F3B"/>
    <w:rsid w:val="301663F8"/>
    <w:rsid w:val="30532414"/>
    <w:rsid w:val="30636FD4"/>
    <w:rsid w:val="32042A08"/>
    <w:rsid w:val="325661C9"/>
    <w:rsid w:val="3269704C"/>
    <w:rsid w:val="32D85BE7"/>
    <w:rsid w:val="32EA3D1C"/>
    <w:rsid w:val="3376537D"/>
    <w:rsid w:val="33DB18CF"/>
    <w:rsid w:val="33F94067"/>
    <w:rsid w:val="346137E3"/>
    <w:rsid w:val="34FF76AB"/>
    <w:rsid w:val="35463BD8"/>
    <w:rsid w:val="356E638F"/>
    <w:rsid w:val="35B069A7"/>
    <w:rsid w:val="35BA7748"/>
    <w:rsid w:val="36667664"/>
    <w:rsid w:val="3697708D"/>
    <w:rsid w:val="36B40437"/>
    <w:rsid w:val="36EE6F3D"/>
    <w:rsid w:val="37410823"/>
    <w:rsid w:val="37BBE2DF"/>
    <w:rsid w:val="37BEEA99"/>
    <w:rsid w:val="37F51427"/>
    <w:rsid w:val="38561A88"/>
    <w:rsid w:val="39116B67"/>
    <w:rsid w:val="395C2C08"/>
    <w:rsid w:val="39F66053"/>
    <w:rsid w:val="3A774F6E"/>
    <w:rsid w:val="3A926CF3"/>
    <w:rsid w:val="3B703BDC"/>
    <w:rsid w:val="3BB30F9F"/>
    <w:rsid w:val="3BBB3233"/>
    <w:rsid w:val="3BE504D6"/>
    <w:rsid w:val="3C1B2AF0"/>
    <w:rsid w:val="3CDB255C"/>
    <w:rsid w:val="3CF54811"/>
    <w:rsid w:val="3E2D1F40"/>
    <w:rsid w:val="3E386D64"/>
    <w:rsid w:val="3ECD2378"/>
    <w:rsid w:val="3FE1257F"/>
    <w:rsid w:val="3FF37A80"/>
    <w:rsid w:val="41D924B7"/>
    <w:rsid w:val="41DA7091"/>
    <w:rsid w:val="428C67A5"/>
    <w:rsid w:val="43572B58"/>
    <w:rsid w:val="436F7EA2"/>
    <w:rsid w:val="442037B0"/>
    <w:rsid w:val="44FD7FDD"/>
    <w:rsid w:val="45723C79"/>
    <w:rsid w:val="45912351"/>
    <w:rsid w:val="45983512"/>
    <w:rsid w:val="46077E9A"/>
    <w:rsid w:val="46E949B7"/>
    <w:rsid w:val="47A137D7"/>
    <w:rsid w:val="486024AF"/>
    <w:rsid w:val="487C77F6"/>
    <w:rsid w:val="487F1697"/>
    <w:rsid w:val="49973CAE"/>
    <w:rsid w:val="4A1C00CA"/>
    <w:rsid w:val="4A8553A9"/>
    <w:rsid w:val="4AA60485"/>
    <w:rsid w:val="4BE224F8"/>
    <w:rsid w:val="4C485734"/>
    <w:rsid w:val="4C4F27E3"/>
    <w:rsid w:val="4CAC1726"/>
    <w:rsid w:val="4CD07C03"/>
    <w:rsid w:val="4D816982"/>
    <w:rsid w:val="4E564138"/>
    <w:rsid w:val="4F223DCA"/>
    <w:rsid w:val="4FFC0805"/>
    <w:rsid w:val="503E0595"/>
    <w:rsid w:val="50834F8C"/>
    <w:rsid w:val="50C20C61"/>
    <w:rsid w:val="51411ADA"/>
    <w:rsid w:val="51620665"/>
    <w:rsid w:val="51F24178"/>
    <w:rsid w:val="52637402"/>
    <w:rsid w:val="52860D64"/>
    <w:rsid w:val="52C91800"/>
    <w:rsid w:val="534D2B25"/>
    <w:rsid w:val="535404B0"/>
    <w:rsid w:val="53EB6A98"/>
    <w:rsid w:val="54102FDB"/>
    <w:rsid w:val="54BC5F3F"/>
    <w:rsid w:val="54F31921"/>
    <w:rsid w:val="56025077"/>
    <w:rsid w:val="563C5119"/>
    <w:rsid w:val="567C04B4"/>
    <w:rsid w:val="57AF6667"/>
    <w:rsid w:val="585103A9"/>
    <w:rsid w:val="586955F2"/>
    <w:rsid w:val="58C25B9B"/>
    <w:rsid w:val="58E95545"/>
    <w:rsid w:val="58F5454D"/>
    <w:rsid w:val="59096B33"/>
    <w:rsid w:val="590D6FBB"/>
    <w:rsid w:val="59943D66"/>
    <w:rsid w:val="59BB166A"/>
    <w:rsid w:val="5A9B1124"/>
    <w:rsid w:val="5B6141CA"/>
    <w:rsid w:val="5CF27A97"/>
    <w:rsid w:val="5D522CD4"/>
    <w:rsid w:val="5D56449D"/>
    <w:rsid w:val="5D817F23"/>
    <w:rsid w:val="5DE352BC"/>
    <w:rsid w:val="5E1F6086"/>
    <w:rsid w:val="5E8167D9"/>
    <w:rsid w:val="5EC7698C"/>
    <w:rsid w:val="5EF2066E"/>
    <w:rsid w:val="5F310648"/>
    <w:rsid w:val="61137C66"/>
    <w:rsid w:val="61181721"/>
    <w:rsid w:val="6139463E"/>
    <w:rsid w:val="614803A7"/>
    <w:rsid w:val="616559AA"/>
    <w:rsid w:val="61885245"/>
    <w:rsid w:val="61903CB2"/>
    <w:rsid w:val="619D386F"/>
    <w:rsid w:val="61C85516"/>
    <w:rsid w:val="62576A79"/>
    <w:rsid w:val="62B72DB1"/>
    <w:rsid w:val="62E6504C"/>
    <w:rsid w:val="62FE342E"/>
    <w:rsid w:val="63465C66"/>
    <w:rsid w:val="635F0DC7"/>
    <w:rsid w:val="636B3331"/>
    <w:rsid w:val="641C32D6"/>
    <w:rsid w:val="645417E8"/>
    <w:rsid w:val="668E600D"/>
    <w:rsid w:val="67077D91"/>
    <w:rsid w:val="672C7CD4"/>
    <w:rsid w:val="67EF20EF"/>
    <w:rsid w:val="68901D10"/>
    <w:rsid w:val="68A33FC6"/>
    <w:rsid w:val="69657106"/>
    <w:rsid w:val="6A1C6D92"/>
    <w:rsid w:val="6B284CEA"/>
    <w:rsid w:val="6B3A5BD0"/>
    <w:rsid w:val="6B457666"/>
    <w:rsid w:val="6BC31FD5"/>
    <w:rsid w:val="6BD80CC5"/>
    <w:rsid w:val="6C130741"/>
    <w:rsid w:val="6C134FBF"/>
    <w:rsid w:val="6C1F76E2"/>
    <w:rsid w:val="6D4D2EBA"/>
    <w:rsid w:val="6DDA6056"/>
    <w:rsid w:val="6E1B45FE"/>
    <w:rsid w:val="6EAA59EA"/>
    <w:rsid w:val="6F087771"/>
    <w:rsid w:val="6F3D35C9"/>
    <w:rsid w:val="6F8D6CD8"/>
    <w:rsid w:val="6FA02B2B"/>
    <w:rsid w:val="6FBD1109"/>
    <w:rsid w:val="6FCF063F"/>
    <w:rsid w:val="70691651"/>
    <w:rsid w:val="707F2C23"/>
    <w:rsid w:val="70CB1A95"/>
    <w:rsid w:val="71DE6ADF"/>
    <w:rsid w:val="725B2E11"/>
    <w:rsid w:val="726A71AC"/>
    <w:rsid w:val="728E0DB0"/>
    <w:rsid w:val="72B14837"/>
    <w:rsid w:val="72D70127"/>
    <w:rsid w:val="73235FF9"/>
    <w:rsid w:val="73667F8E"/>
    <w:rsid w:val="7465799A"/>
    <w:rsid w:val="74F149B7"/>
    <w:rsid w:val="75310599"/>
    <w:rsid w:val="755B7815"/>
    <w:rsid w:val="75873F15"/>
    <w:rsid w:val="758807CB"/>
    <w:rsid w:val="75DE3F39"/>
    <w:rsid w:val="75EF57DF"/>
    <w:rsid w:val="76227C5D"/>
    <w:rsid w:val="76621475"/>
    <w:rsid w:val="770C431A"/>
    <w:rsid w:val="7734799A"/>
    <w:rsid w:val="77FE148D"/>
    <w:rsid w:val="78150437"/>
    <w:rsid w:val="79002D6F"/>
    <w:rsid w:val="79674B9C"/>
    <w:rsid w:val="798836D3"/>
    <w:rsid w:val="79C87679"/>
    <w:rsid w:val="79D30982"/>
    <w:rsid w:val="7B2033AE"/>
    <w:rsid w:val="7B94417E"/>
    <w:rsid w:val="7BE43D59"/>
    <w:rsid w:val="7C8370B3"/>
    <w:rsid w:val="7CC1796C"/>
    <w:rsid w:val="7CCB1513"/>
    <w:rsid w:val="7D7D2BE0"/>
    <w:rsid w:val="7DB53B50"/>
    <w:rsid w:val="7DB73BB2"/>
    <w:rsid w:val="7DCB4C66"/>
    <w:rsid w:val="7E0E217D"/>
    <w:rsid w:val="7E3F253B"/>
    <w:rsid w:val="7E4A7F13"/>
    <w:rsid w:val="7F195615"/>
    <w:rsid w:val="7F9F30B9"/>
    <w:rsid w:val="BAEF7CDB"/>
    <w:rsid w:val="BBE355CE"/>
    <w:rsid w:val="BCAE028D"/>
    <w:rsid w:val="EFCCD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37"/>
    <w:autoRedefine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cs="宋体"/>
      <w:szCs w:val="21"/>
    </w:rPr>
  </w:style>
  <w:style w:type="paragraph" w:styleId="6">
    <w:name w:val="Date"/>
    <w:basedOn w:val="1"/>
    <w:next w:val="1"/>
    <w:link w:val="29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basedOn w:val="12"/>
    <w:autoRedefine/>
    <w:unhideWhenUsed/>
    <w:qFormat/>
    <w:uiPriority w:val="99"/>
    <w:rPr>
      <w:color w:val="272829"/>
      <w:u w:val="none"/>
    </w:rPr>
  </w:style>
  <w:style w:type="character" w:styleId="16">
    <w:name w:val="Emphasis"/>
    <w:basedOn w:val="12"/>
    <w:autoRedefine/>
    <w:qFormat/>
    <w:uiPriority w:val="20"/>
  </w:style>
  <w:style w:type="character" w:styleId="17">
    <w:name w:val="HTML Definition"/>
    <w:basedOn w:val="12"/>
    <w:autoRedefine/>
    <w:unhideWhenUsed/>
    <w:qFormat/>
    <w:uiPriority w:val="99"/>
  </w:style>
  <w:style w:type="character" w:styleId="18">
    <w:name w:val="HTML Acronym"/>
    <w:basedOn w:val="12"/>
    <w:autoRedefine/>
    <w:unhideWhenUsed/>
    <w:qFormat/>
    <w:uiPriority w:val="99"/>
  </w:style>
  <w:style w:type="character" w:styleId="19">
    <w:name w:val="HTML Variable"/>
    <w:basedOn w:val="12"/>
    <w:autoRedefine/>
    <w:unhideWhenUsed/>
    <w:qFormat/>
    <w:uiPriority w:val="99"/>
  </w:style>
  <w:style w:type="character" w:styleId="20">
    <w:name w:val="Hyperlink"/>
    <w:basedOn w:val="12"/>
    <w:autoRedefine/>
    <w:unhideWhenUsed/>
    <w:qFormat/>
    <w:uiPriority w:val="99"/>
    <w:rPr>
      <w:color w:val="272829"/>
      <w:u w:val="none"/>
    </w:rPr>
  </w:style>
  <w:style w:type="character" w:styleId="21">
    <w:name w:val="HTML Code"/>
    <w:basedOn w:val="12"/>
    <w:autoRedefine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basedOn w:val="12"/>
    <w:autoRedefine/>
    <w:unhideWhenUsed/>
    <w:qFormat/>
    <w:uiPriority w:val="99"/>
  </w:style>
  <w:style w:type="paragraph" w:customStyle="1" w:styleId="2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4">
    <w:name w:val="列出段落2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5">
    <w:name w:val="Char1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26">
    <w:name w:val="页眉 Char"/>
    <w:basedOn w:val="12"/>
    <w:link w:val="9"/>
    <w:autoRedefine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8">
    <w:name w:val="批注框文本 Char"/>
    <w:basedOn w:val="12"/>
    <w:link w:val="7"/>
    <w:autoRedefine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29">
    <w:name w:val="日期 Char"/>
    <w:basedOn w:val="12"/>
    <w:link w:val="6"/>
    <w:autoRedefine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30">
    <w:name w:val="a"/>
    <w:basedOn w:val="12"/>
    <w:autoRedefine/>
    <w:qFormat/>
    <w:uiPriority w:val="0"/>
    <w:rPr>
      <w:color w:val="3E30CA"/>
    </w:rPr>
  </w:style>
  <w:style w:type="character" w:customStyle="1" w:styleId="31">
    <w:name w:val="a1"/>
    <w:basedOn w:val="12"/>
    <w:autoRedefine/>
    <w:qFormat/>
    <w:uiPriority w:val="0"/>
    <w:rPr>
      <w:color w:val="307ECA"/>
      <w:u w:val="single"/>
    </w:rPr>
  </w:style>
  <w:style w:type="character" w:customStyle="1" w:styleId="32">
    <w:name w:val="a2"/>
    <w:basedOn w:val="12"/>
    <w:autoRedefine/>
    <w:qFormat/>
    <w:uiPriority w:val="0"/>
    <w:rPr>
      <w:color w:val="307ECA"/>
      <w:u w:val="none"/>
    </w:rPr>
  </w:style>
  <w:style w:type="character" w:customStyle="1" w:styleId="33">
    <w:name w:val="a3"/>
    <w:basedOn w:val="12"/>
    <w:autoRedefine/>
    <w:qFormat/>
    <w:uiPriority w:val="0"/>
    <w:rPr>
      <w:color w:val="3E30CA"/>
    </w:rPr>
  </w:style>
  <w:style w:type="character" w:customStyle="1" w:styleId="34">
    <w:name w:val="a4"/>
    <w:basedOn w:val="12"/>
    <w:autoRedefine/>
    <w:qFormat/>
    <w:uiPriority w:val="0"/>
    <w:rPr>
      <w:color w:val="307ECA"/>
      <w:u w:val="single"/>
    </w:rPr>
  </w:style>
  <w:style w:type="character" w:customStyle="1" w:styleId="35">
    <w:name w:val="hover12"/>
    <w:basedOn w:val="12"/>
    <w:autoRedefine/>
    <w:qFormat/>
    <w:uiPriority w:val="0"/>
    <w:rPr>
      <w:color w:val="9C1616"/>
      <w:shd w:val="clear" w:color="auto" w:fill="44B7DF"/>
    </w:rPr>
  </w:style>
  <w:style w:type="character" w:customStyle="1" w:styleId="36">
    <w:name w:val="NormalCharacter"/>
    <w:autoRedefine/>
    <w:qFormat/>
    <w:uiPriority w:val="0"/>
  </w:style>
  <w:style w:type="character" w:customStyle="1" w:styleId="37">
    <w:name w:val="标题 3 Char"/>
    <w:link w:val="3"/>
    <w:autoRedefine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LotusAE团队</Company>
  <Pages>5</Pages>
  <Words>2313</Words>
  <Characters>2357</Characters>
  <Lines>35</Lines>
  <Paragraphs>10</Paragraphs>
  <TotalTime>104</TotalTime>
  <ScaleCrop>false</ScaleCrop>
  <LinksUpToDate>false</LinksUpToDate>
  <CharactersWithSpaces>2402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2019-11-14T01:38:00Z</dcterms:created>
  <dc:creator>Windows 用户</dc:creator>
  <cp:lastModifiedBy>Administrator</cp:lastModifiedBy>
  <cp:lastPrinted>2024-02-23T00:36:00Z</cp:lastPrinted>
  <dcterms:modified xsi:type="dcterms:W3CDTF">2025-02-10T07:55:57Z</dcterms:modified>
  <dc:title>关于省水利厅党组主要负责人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0FE2F440D02643139E451336FA5F5839_13</vt:lpwstr>
  </property>
  <property fmtid="{D5CDD505-2E9C-101B-9397-08002B2CF9AE}" pid="4" name="KSOTemplateDocerSaveRecord">
    <vt:lpwstr>eyJoZGlkIjoiYzM5NzJjOGQwODAxMzQ4YmZmNjhjNjQ2YWE0NzA0NzMifQ==</vt:lpwstr>
  </property>
</Properties>
</file>