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880" w:firstLineChars="200"/>
        <w:jc w:val="center"/>
        <w:textAlignment w:val="auto"/>
        <w:rPr>
          <w:rFonts w:hint="eastAsia" w:ascii="方正小标宋_GBK" w:hAnsi="方正小标宋_GBK" w:eastAsia="方正小标宋_GBK" w:cs="方正小标宋_GBK"/>
          <w:b w:val="0"/>
          <w:i w:val="0"/>
          <w:color w:val="000000" w:themeColor="text1"/>
          <w:spacing w:val="0"/>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i w:val="0"/>
          <w:color w:val="000000" w:themeColor="text1"/>
          <w:spacing w:val="0"/>
          <w:sz w:val="44"/>
          <w:szCs w:val="44"/>
          <w:lang w:val="en-US" w:eastAsia="zh-CN"/>
          <w14:textFill>
            <w14:solidFill>
              <w14:schemeClr w14:val="tx1"/>
            </w14:solidFill>
          </w14:textFill>
        </w:rPr>
        <w:t>济宁市生态环境局汶上县分局2021年政府信息公开工作年度报告</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560" w:firstLineChars="20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本报告由</w:t>
      </w:r>
      <w:r>
        <w:rPr>
          <w:rFonts w:hint="eastAsia" w:ascii="仿宋_GB2312" w:hAnsi="仿宋_GB2312" w:eastAsia="仿宋_GB2312" w:cs="仿宋_GB2312"/>
          <w:b w:val="0"/>
          <w:i w:val="0"/>
          <w:color w:val="000000"/>
          <w:spacing w:val="0"/>
          <w:sz w:val="28"/>
          <w:szCs w:val="28"/>
          <w:lang w:eastAsia="zh-CN"/>
        </w:rPr>
        <w:t>济宁市生态环境局汶上县分局</w:t>
      </w:r>
      <w:r>
        <w:rPr>
          <w:rFonts w:hint="eastAsia" w:ascii="仿宋_GB2312" w:hAnsi="仿宋_GB2312" w:eastAsia="仿宋_GB2312" w:cs="仿宋_GB2312"/>
          <w:b w:val="0"/>
          <w:i w:val="0"/>
          <w:color w:val="000000"/>
          <w:spacing w:val="0"/>
          <w:sz w:val="28"/>
          <w:szCs w:val="28"/>
        </w:rPr>
        <w:t>按照《中华人民共和国政府信息公开条例》（以下简称《条例》）和《中华人民共和国政府信息公开工作年度报告格式》（国办公开办函〔2021〕30号）要求编制。</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560" w:firstLineChars="20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560" w:firstLineChars="20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本报告所列数据的统计期限自2021年1月1日起至2021年12月31日止。本报告电子版可在“中国·汶上”政府门户网站（</w:t>
      </w:r>
      <w:r>
        <w:rPr>
          <w:rFonts w:ascii="微软雅黑" w:hAnsi="微软雅黑" w:eastAsia="微软雅黑" w:cs="微软雅黑"/>
          <w:i w:val="0"/>
          <w:caps w:val="0"/>
          <w:color w:val="333333"/>
          <w:spacing w:val="0"/>
          <w:sz w:val="22"/>
          <w:szCs w:val="22"/>
          <w:shd w:val="clear" w:fill="FFFFFF"/>
        </w:rPr>
        <w:t>http://www.wenshang.gov.cn</w:t>
      </w:r>
      <w:r>
        <w:rPr>
          <w:rFonts w:hint="eastAsia" w:ascii="仿宋_GB2312" w:hAnsi="仿宋_GB2312" w:eastAsia="仿宋_GB2312" w:cs="仿宋_GB2312"/>
          <w:b w:val="0"/>
          <w:i w:val="0"/>
          <w:color w:val="000000"/>
          <w:spacing w:val="0"/>
          <w:sz w:val="28"/>
          <w:szCs w:val="28"/>
        </w:rPr>
        <w:t>）查阅或下载。如对本报告有疑问，请与</w:t>
      </w:r>
      <w:r>
        <w:rPr>
          <w:rFonts w:hint="eastAsia" w:ascii="仿宋_GB2312" w:hAnsi="仿宋_GB2312" w:eastAsia="仿宋_GB2312" w:cs="仿宋_GB2312"/>
          <w:b w:val="0"/>
          <w:i w:val="0"/>
          <w:color w:val="000000"/>
          <w:spacing w:val="0"/>
          <w:sz w:val="28"/>
          <w:szCs w:val="28"/>
          <w:lang w:eastAsia="zh-CN"/>
        </w:rPr>
        <w:t>济宁市生态环境局汶上县分局</w:t>
      </w:r>
      <w:r>
        <w:rPr>
          <w:rFonts w:hint="eastAsia" w:ascii="仿宋_GB2312" w:hAnsi="仿宋_GB2312" w:eastAsia="仿宋_GB2312" w:cs="仿宋_GB2312"/>
          <w:b w:val="0"/>
          <w:i w:val="0"/>
          <w:color w:val="000000"/>
          <w:spacing w:val="0"/>
          <w:sz w:val="28"/>
          <w:szCs w:val="28"/>
        </w:rPr>
        <w:t>联系（地址：汶上县中都街道明星路2280号709室，邮政编码：272500，联系电话：0537-3231209。</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一、总体情况</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（一）</w:t>
      </w:r>
      <w:r>
        <w:rPr>
          <w:rFonts w:hint="eastAsia" w:ascii="仿宋_GB2312" w:hAnsi="仿宋_GB2312" w:eastAsia="仿宋_GB2312" w:cs="仿宋_GB2312"/>
          <w:b w:val="0"/>
          <w:i w:val="0"/>
          <w:color w:val="000000"/>
          <w:spacing w:val="0"/>
          <w:sz w:val="28"/>
          <w:szCs w:val="28"/>
          <w:lang w:eastAsia="zh-CN"/>
        </w:rPr>
        <w:t>主动公开情况</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对照《政府信息公开条例》规定的主动公开要求，济宁市生态环境局汶上县分局结合实际，依法主动公开了有关</w:t>
      </w:r>
      <w:r>
        <w:rPr>
          <w:rFonts w:hint="eastAsia" w:ascii="仿宋_GB2312" w:hAnsi="仿宋_GB2312" w:eastAsia="仿宋_GB2312" w:cs="仿宋_GB2312"/>
          <w:b w:val="0"/>
          <w:i w:val="0"/>
          <w:color w:val="000000"/>
          <w:spacing w:val="0"/>
          <w:sz w:val="28"/>
          <w:szCs w:val="28"/>
          <w:lang w:eastAsia="zh-CN"/>
        </w:rPr>
        <w:t>行政许可、行政处罚</w:t>
      </w:r>
      <w:r>
        <w:rPr>
          <w:rFonts w:hint="eastAsia" w:ascii="仿宋_GB2312" w:hAnsi="仿宋_GB2312" w:eastAsia="仿宋_GB2312" w:cs="仿宋_GB2312"/>
          <w:b w:val="0"/>
          <w:i w:val="0"/>
          <w:color w:val="000000"/>
          <w:spacing w:val="0"/>
          <w:sz w:val="28"/>
          <w:szCs w:val="28"/>
        </w:rPr>
        <w:t>、</w:t>
      </w:r>
      <w:r>
        <w:rPr>
          <w:rFonts w:hint="eastAsia" w:ascii="仿宋_GB2312" w:hAnsi="仿宋_GB2312" w:eastAsia="仿宋_GB2312" w:cs="仿宋_GB2312"/>
          <w:b w:val="0"/>
          <w:i w:val="0"/>
          <w:color w:val="000000"/>
          <w:spacing w:val="0"/>
          <w:sz w:val="28"/>
          <w:szCs w:val="28"/>
          <w:lang w:eastAsia="zh-CN"/>
        </w:rPr>
        <w:t>行政强制</w:t>
      </w:r>
      <w:r>
        <w:rPr>
          <w:rFonts w:hint="eastAsia" w:ascii="仿宋_GB2312" w:hAnsi="仿宋_GB2312" w:eastAsia="仿宋_GB2312" w:cs="仿宋_GB2312"/>
          <w:b w:val="0"/>
          <w:i w:val="0"/>
          <w:color w:val="000000"/>
          <w:spacing w:val="0"/>
          <w:sz w:val="28"/>
          <w:szCs w:val="28"/>
        </w:rPr>
        <w:t>等信息。在制度文件方面，除按照要求公开新制发的文件外，还整理梳理了历年文件，推动可公开的文件及时上网公开；对依申请公开的信息，经认真审核后认为属于主动公开范围的，也一并在门户网站公开，充分满足群众查询需要。在建议提案办理方面，除按照规定公开具体办件内容外，还公开了本年度建议提案的整体办理情况。为更好地开展主动公开</w:t>
      </w:r>
      <w:r>
        <w:rPr>
          <w:rFonts w:hint="eastAsia" w:ascii="仿宋_GB2312" w:hAnsi="仿宋_GB2312" w:eastAsia="仿宋_GB2312" w:cs="仿宋_GB2312"/>
          <w:b w:val="0"/>
          <w:i w:val="0"/>
          <w:color w:val="000000"/>
          <w:spacing w:val="0"/>
          <w:sz w:val="28"/>
          <w:szCs w:val="28"/>
          <w:lang w:eastAsia="zh-CN"/>
        </w:rPr>
        <w:t>工</w:t>
      </w:r>
      <w:r>
        <w:rPr>
          <w:rFonts w:hint="eastAsia" w:ascii="仿宋_GB2312" w:hAnsi="仿宋_GB2312" w:eastAsia="仿宋_GB2312" w:cs="仿宋_GB2312"/>
          <w:b w:val="0"/>
          <w:i w:val="0"/>
          <w:color w:val="000000"/>
          <w:spacing w:val="0"/>
          <w:sz w:val="28"/>
          <w:szCs w:val="28"/>
        </w:rPr>
        <w:t>作，济宁市生态环境局汶上县分局进一步扩大重要政府信息发布范围，在门户网站公开的同时，在微信公众号等政务新媒体公开和解读</w:t>
      </w:r>
      <w:r>
        <w:rPr>
          <w:rFonts w:hint="eastAsia" w:ascii="仿宋_GB2312" w:hAnsi="仿宋_GB2312" w:eastAsia="仿宋_GB2312" w:cs="仿宋_GB2312"/>
          <w:b w:val="0"/>
          <w:i w:val="0"/>
          <w:color w:val="000000"/>
          <w:spacing w:val="0"/>
          <w:sz w:val="28"/>
          <w:szCs w:val="28"/>
          <w:lang w:eastAsia="zh-CN"/>
        </w:rPr>
        <w:t>。</w:t>
      </w:r>
      <w:r>
        <w:rPr>
          <w:rFonts w:hint="eastAsia" w:ascii="仿宋_GB2312" w:hAnsi="仿宋_GB2312" w:eastAsia="仿宋_GB2312" w:cs="仿宋_GB2312"/>
          <w:b w:val="0"/>
          <w:i w:val="0"/>
          <w:color w:val="000000"/>
          <w:spacing w:val="0"/>
          <w:sz w:val="28"/>
          <w:szCs w:val="28"/>
        </w:rPr>
        <w:t>202</w:t>
      </w:r>
      <w:r>
        <w:rPr>
          <w:rFonts w:hint="eastAsia" w:ascii="仿宋_GB2312" w:hAnsi="仿宋_GB2312" w:eastAsia="仿宋_GB2312" w:cs="仿宋_GB2312"/>
          <w:b w:val="0"/>
          <w:i w:val="0"/>
          <w:color w:val="000000"/>
          <w:spacing w:val="0"/>
          <w:sz w:val="28"/>
          <w:szCs w:val="28"/>
          <w:lang w:val="en-US" w:eastAsia="zh-CN"/>
        </w:rPr>
        <w:t>1</w:t>
      </w:r>
      <w:r>
        <w:rPr>
          <w:rFonts w:hint="eastAsia" w:ascii="仿宋_GB2312" w:hAnsi="仿宋_GB2312" w:eastAsia="仿宋_GB2312" w:cs="仿宋_GB2312"/>
          <w:b w:val="0"/>
          <w:i w:val="0"/>
          <w:color w:val="000000"/>
          <w:spacing w:val="0"/>
          <w:sz w:val="28"/>
          <w:szCs w:val="28"/>
        </w:rPr>
        <w:t>年，济宁市生态环境局汶上县分局在汶上县人民政府网站发布或更新各类动态信息</w:t>
      </w:r>
      <w:r>
        <w:rPr>
          <w:rFonts w:hint="eastAsia" w:ascii="仿宋_GB2312" w:hAnsi="仿宋_GB2312" w:eastAsia="仿宋_GB2312" w:cs="仿宋_GB2312"/>
          <w:b w:val="0"/>
          <w:i w:val="0"/>
          <w:color w:val="000000"/>
          <w:spacing w:val="0"/>
          <w:sz w:val="28"/>
          <w:szCs w:val="28"/>
          <w:lang w:eastAsia="zh-CN"/>
        </w:rPr>
        <w:t>共计</w:t>
      </w:r>
      <w:r>
        <w:rPr>
          <w:rFonts w:hint="eastAsia" w:ascii="仿宋_GB2312" w:hAnsi="仿宋_GB2312" w:eastAsia="仿宋_GB2312" w:cs="仿宋_GB2312"/>
          <w:b w:val="0"/>
          <w:i w:val="0"/>
          <w:color w:val="000000"/>
          <w:spacing w:val="0"/>
          <w:sz w:val="28"/>
          <w:szCs w:val="28"/>
          <w:lang w:val="en-US" w:eastAsia="zh-CN"/>
        </w:rPr>
        <w:t>1085</w:t>
      </w:r>
      <w:r>
        <w:rPr>
          <w:rFonts w:hint="eastAsia" w:ascii="仿宋_GB2312" w:hAnsi="仿宋_GB2312" w:eastAsia="仿宋_GB2312" w:cs="仿宋_GB2312"/>
          <w:b w:val="0"/>
          <w:i w:val="0"/>
          <w:color w:val="000000"/>
          <w:spacing w:val="0"/>
          <w:sz w:val="28"/>
          <w:szCs w:val="28"/>
        </w:rPr>
        <w:t>条，其中</w:t>
      </w:r>
      <w:r>
        <w:rPr>
          <w:rFonts w:hint="eastAsia" w:ascii="仿宋_GB2312" w:hAnsi="仿宋_GB2312" w:eastAsia="仿宋_GB2312" w:cs="仿宋_GB2312"/>
          <w:b w:val="0"/>
          <w:i w:val="0"/>
          <w:color w:val="000000"/>
          <w:spacing w:val="0"/>
          <w:sz w:val="28"/>
          <w:szCs w:val="28"/>
          <w:lang w:eastAsia="zh-CN"/>
        </w:rPr>
        <w:t>包含</w:t>
      </w:r>
      <w:r>
        <w:rPr>
          <w:rFonts w:hint="eastAsia" w:ascii="仿宋_GB2312" w:hAnsi="仿宋_GB2312" w:eastAsia="仿宋_GB2312" w:cs="仿宋_GB2312"/>
          <w:b w:val="0"/>
          <w:i w:val="0"/>
          <w:color w:val="000000"/>
          <w:spacing w:val="0"/>
          <w:sz w:val="28"/>
          <w:szCs w:val="28"/>
        </w:rPr>
        <w:t>发布机构职能及领导信息</w:t>
      </w:r>
      <w:r>
        <w:rPr>
          <w:rFonts w:hint="eastAsia" w:ascii="仿宋_GB2312" w:hAnsi="仿宋_GB2312" w:eastAsia="仿宋_GB2312" w:cs="仿宋_GB2312"/>
          <w:b w:val="0"/>
          <w:i w:val="0"/>
          <w:color w:val="000000"/>
          <w:spacing w:val="0"/>
          <w:sz w:val="28"/>
          <w:szCs w:val="28"/>
          <w:lang w:val="en-US" w:eastAsia="zh-CN"/>
        </w:rPr>
        <w:t>2</w:t>
      </w:r>
      <w:r>
        <w:rPr>
          <w:rFonts w:hint="eastAsia" w:ascii="仿宋_GB2312" w:hAnsi="仿宋_GB2312" w:eastAsia="仿宋_GB2312" w:cs="仿宋_GB2312"/>
          <w:b w:val="0"/>
          <w:i w:val="0"/>
          <w:color w:val="000000"/>
          <w:spacing w:val="0"/>
          <w:sz w:val="28"/>
          <w:szCs w:val="28"/>
        </w:rPr>
        <w:t>条、</w:t>
      </w:r>
      <w:r>
        <w:rPr>
          <w:rFonts w:hint="eastAsia" w:ascii="仿宋_GB2312" w:hAnsi="仿宋_GB2312" w:eastAsia="仿宋_GB2312" w:cs="仿宋_GB2312"/>
          <w:b w:val="0"/>
          <w:i w:val="0"/>
          <w:color w:val="000000"/>
          <w:spacing w:val="0"/>
          <w:sz w:val="28"/>
          <w:szCs w:val="28"/>
          <w:lang w:val="en-US" w:eastAsia="zh-CN"/>
        </w:rPr>
        <w:t>行政强制3条、</w:t>
      </w:r>
      <w:r>
        <w:rPr>
          <w:rFonts w:hint="eastAsia" w:ascii="仿宋_GB2312" w:hAnsi="仿宋_GB2312" w:eastAsia="仿宋_GB2312" w:cs="仿宋_GB2312"/>
          <w:b w:val="0"/>
          <w:i w:val="0"/>
          <w:color w:val="000000"/>
          <w:spacing w:val="0"/>
          <w:sz w:val="28"/>
          <w:szCs w:val="28"/>
        </w:rPr>
        <w:t>集中生活饮用水水源监测信息</w:t>
      </w:r>
      <w:r>
        <w:rPr>
          <w:rFonts w:hint="eastAsia" w:ascii="仿宋_GB2312" w:hAnsi="仿宋_GB2312" w:eastAsia="仿宋_GB2312" w:cs="仿宋_GB2312"/>
          <w:b w:val="0"/>
          <w:i w:val="0"/>
          <w:color w:val="000000"/>
          <w:spacing w:val="0"/>
          <w:sz w:val="28"/>
          <w:szCs w:val="28"/>
          <w:lang w:val="en-US" w:eastAsia="zh-CN"/>
        </w:rPr>
        <w:t>8</w:t>
      </w:r>
      <w:r>
        <w:rPr>
          <w:rFonts w:hint="eastAsia" w:ascii="仿宋_GB2312" w:hAnsi="仿宋_GB2312" w:eastAsia="仿宋_GB2312" w:cs="仿宋_GB2312"/>
          <w:b w:val="0"/>
          <w:i w:val="0"/>
          <w:color w:val="000000"/>
          <w:spacing w:val="0"/>
          <w:sz w:val="28"/>
          <w:szCs w:val="28"/>
        </w:rPr>
        <w:t>条</w:t>
      </w:r>
      <w:r>
        <w:rPr>
          <w:rFonts w:hint="eastAsia" w:ascii="仿宋_GB2312" w:hAnsi="仿宋_GB2312" w:eastAsia="仿宋_GB2312" w:cs="仿宋_GB2312"/>
          <w:b w:val="0"/>
          <w:i w:val="0"/>
          <w:color w:val="000000"/>
          <w:spacing w:val="0"/>
          <w:sz w:val="28"/>
          <w:szCs w:val="28"/>
          <w:lang w:eastAsia="zh-CN"/>
        </w:rPr>
        <w:t>、</w:t>
      </w:r>
      <w:r>
        <w:rPr>
          <w:rFonts w:hint="eastAsia" w:ascii="仿宋_GB2312" w:hAnsi="仿宋_GB2312" w:eastAsia="仿宋_GB2312" w:cs="仿宋_GB2312"/>
          <w:b w:val="0"/>
          <w:i w:val="0"/>
          <w:color w:val="000000"/>
          <w:spacing w:val="0"/>
          <w:sz w:val="28"/>
          <w:szCs w:val="28"/>
        </w:rPr>
        <w:t>重污染天气应急响应信息</w:t>
      </w:r>
      <w:r>
        <w:rPr>
          <w:rFonts w:hint="eastAsia" w:ascii="仿宋_GB2312" w:hAnsi="仿宋_GB2312" w:eastAsia="仿宋_GB2312" w:cs="仿宋_GB2312"/>
          <w:b w:val="0"/>
          <w:i w:val="0"/>
          <w:color w:val="000000"/>
          <w:spacing w:val="0"/>
          <w:sz w:val="28"/>
          <w:szCs w:val="28"/>
          <w:lang w:val="en-US" w:eastAsia="zh-CN"/>
        </w:rPr>
        <w:t>24</w:t>
      </w:r>
      <w:r>
        <w:rPr>
          <w:rFonts w:hint="eastAsia" w:ascii="仿宋_GB2312" w:hAnsi="仿宋_GB2312" w:eastAsia="仿宋_GB2312" w:cs="仿宋_GB2312"/>
          <w:b w:val="0"/>
          <w:i w:val="0"/>
          <w:color w:val="000000"/>
          <w:spacing w:val="0"/>
          <w:sz w:val="28"/>
          <w:szCs w:val="28"/>
        </w:rPr>
        <w:t>条、环境空气质量信息</w:t>
      </w:r>
      <w:r>
        <w:rPr>
          <w:rFonts w:hint="eastAsia" w:ascii="仿宋_GB2312" w:hAnsi="仿宋_GB2312" w:eastAsia="仿宋_GB2312" w:cs="仿宋_GB2312"/>
          <w:b w:val="0"/>
          <w:i w:val="0"/>
          <w:color w:val="000000"/>
          <w:spacing w:val="0"/>
          <w:sz w:val="28"/>
          <w:szCs w:val="28"/>
          <w:lang w:val="en-US" w:eastAsia="zh-CN"/>
        </w:rPr>
        <w:t>24</w:t>
      </w:r>
      <w:r>
        <w:rPr>
          <w:rFonts w:hint="eastAsia" w:ascii="仿宋_GB2312" w:hAnsi="仿宋_GB2312" w:eastAsia="仿宋_GB2312" w:cs="仿宋_GB2312"/>
          <w:b w:val="0"/>
          <w:i w:val="0"/>
          <w:color w:val="000000"/>
          <w:spacing w:val="0"/>
          <w:sz w:val="28"/>
          <w:szCs w:val="28"/>
        </w:rPr>
        <w:t>条、</w:t>
      </w:r>
      <w:r>
        <w:rPr>
          <w:rFonts w:hint="eastAsia" w:ascii="仿宋_GB2312" w:hAnsi="仿宋_GB2312" w:eastAsia="仿宋_GB2312" w:cs="仿宋_GB2312"/>
          <w:b w:val="0"/>
          <w:i w:val="0"/>
          <w:color w:val="000000"/>
          <w:spacing w:val="0"/>
          <w:sz w:val="28"/>
          <w:szCs w:val="28"/>
          <w:lang w:eastAsia="zh-CN"/>
        </w:rPr>
        <w:t>工作动态</w:t>
      </w:r>
      <w:r>
        <w:rPr>
          <w:rFonts w:hint="eastAsia" w:ascii="仿宋_GB2312" w:hAnsi="仿宋_GB2312" w:eastAsia="仿宋_GB2312" w:cs="仿宋_GB2312"/>
          <w:b w:val="0"/>
          <w:i w:val="0"/>
          <w:color w:val="000000"/>
          <w:spacing w:val="0"/>
          <w:sz w:val="28"/>
          <w:szCs w:val="28"/>
          <w:lang w:val="en-US" w:eastAsia="zh-CN"/>
        </w:rPr>
        <w:t>41条、</w:t>
      </w:r>
      <w:r>
        <w:rPr>
          <w:rFonts w:hint="eastAsia" w:ascii="仿宋_GB2312" w:hAnsi="仿宋_GB2312" w:eastAsia="仿宋_GB2312" w:cs="仿宋_GB2312"/>
          <w:b w:val="0"/>
          <w:i w:val="0"/>
          <w:color w:val="000000"/>
          <w:spacing w:val="0"/>
          <w:sz w:val="28"/>
          <w:szCs w:val="28"/>
          <w:lang w:eastAsia="zh-CN"/>
        </w:rPr>
        <w:t>行政处罚信息</w:t>
      </w:r>
      <w:r>
        <w:rPr>
          <w:rFonts w:hint="eastAsia" w:ascii="仿宋_GB2312" w:hAnsi="仿宋_GB2312" w:eastAsia="仿宋_GB2312" w:cs="仿宋_GB2312"/>
          <w:b w:val="0"/>
          <w:i w:val="0"/>
          <w:color w:val="000000"/>
          <w:spacing w:val="0"/>
          <w:sz w:val="28"/>
          <w:szCs w:val="28"/>
          <w:lang w:val="en-US" w:eastAsia="zh-CN"/>
        </w:rPr>
        <w:t>53条、公示公告85条、</w:t>
      </w:r>
      <w:r>
        <w:rPr>
          <w:rFonts w:hint="eastAsia" w:ascii="仿宋_GB2312" w:hAnsi="仿宋_GB2312" w:eastAsia="仿宋_GB2312" w:cs="仿宋_GB2312"/>
          <w:b w:val="0"/>
          <w:i w:val="0"/>
          <w:color w:val="000000"/>
          <w:spacing w:val="0"/>
          <w:sz w:val="28"/>
          <w:szCs w:val="28"/>
          <w:lang w:eastAsia="zh-CN"/>
        </w:rPr>
        <w:t>行政许可</w:t>
      </w:r>
      <w:r>
        <w:rPr>
          <w:rFonts w:hint="eastAsia" w:ascii="仿宋_GB2312" w:hAnsi="仿宋_GB2312" w:eastAsia="仿宋_GB2312" w:cs="仿宋_GB2312"/>
          <w:b w:val="0"/>
          <w:i w:val="0"/>
          <w:color w:val="000000"/>
          <w:spacing w:val="0"/>
          <w:sz w:val="28"/>
          <w:szCs w:val="28"/>
        </w:rPr>
        <w:t>信息</w:t>
      </w:r>
      <w:r>
        <w:rPr>
          <w:rFonts w:hint="eastAsia" w:ascii="仿宋_GB2312" w:hAnsi="仿宋_GB2312" w:eastAsia="仿宋_GB2312" w:cs="仿宋_GB2312"/>
          <w:b w:val="0"/>
          <w:i w:val="0"/>
          <w:color w:val="000000"/>
          <w:spacing w:val="0"/>
          <w:sz w:val="28"/>
          <w:szCs w:val="28"/>
          <w:lang w:val="en-US" w:eastAsia="zh-CN"/>
        </w:rPr>
        <w:t>170</w:t>
      </w:r>
      <w:r>
        <w:rPr>
          <w:rFonts w:hint="eastAsia" w:ascii="仿宋_GB2312" w:hAnsi="仿宋_GB2312" w:eastAsia="仿宋_GB2312" w:cs="仿宋_GB2312"/>
          <w:b w:val="0"/>
          <w:i w:val="0"/>
          <w:color w:val="000000"/>
          <w:spacing w:val="0"/>
          <w:sz w:val="28"/>
          <w:szCs w:val="28"/>
        </w:rPr>
        <w:t>条</w:t>
      </w:r>
      <w:r>
        <w:rPr>
          <w:rFonts w:hint="eastAsia" w:ascii="仿宋_GB2312" w:hAnsi="仿宋_GB2312" w:eastAsia="仿宋_GB2312" w:cs="仿宋_GB2312"/>
          <w:b w:val="0"/>
          <w:i w:val="0"/>
          <w:color w:val="000000"/>
          <w:spacing w:val="0"/>
          <w:sz w:val="28"/>
          <w:szCs w:val="28"/>
          <w:lang w:eastAsia="zh-CN"/>
        </w:rPr>
        <w:t>。</w:t>
      </w:r>
    </w:p>
    <w:p>
      <w:pPr>
        <w:spacing w:before="0" w:after="0"/>
        <w:ind w:left="0" w:right="0" w:firstLine="0"/>
        <w:jc w:val="left"/>
        <w:rPr>
          <w:rFonts w:hint="eastAsia" w:ascii="sans-serif" w:hAnsi="sans-serif" w:eastAsia="宋体" w:cs="sans-serif"/>
          <w:b w:val="0"/>
          <w:i w:val="0"/>
          <w:color w:val="000000"/>
          <w:spacing w:val="0"/>
          <w:sz w:val="24"/>
          <w:szCs w:val="24"/>
          <w:lang w:eastAsia="zh-CN"/>
        </w:rPr>
      </w:pPr>
      <w:r>
        <w:rPr>
          <w:rFonts w:hint="eastAsia" w:ascii="sans-serif" w:hAnsi="sans-serif" w:eastAsia="宋体" w:cs="sans-serif"/>
          <w:b w:val="0"/>
          <w:i w:val="0"/>
          <w:color w:val="000000"/>
          <w:spacing w:val="0"/>
          <w:sz w:val="24"/>
          <w:szCs w:val="24"/>
          <w:lang w:eastAsia="zh-CN"/>
        </w:rPr>
        <w:drawing>
          <wp:inline distT="0" distB="0" distL="114300" distR="114300">
            <wp:extent cx="5266690" cy="3089910"/>
            <wp:effectExtent l="0" t="0" r="10160" b="15240"/>
            <wp:docPr id="1" name="图片 1" descr="2780feee893f29ecdb8f1f8fe2452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780feee893f29ecdb8f1f8fe2452d9"/>
                    <pic:cNvPicPr>
                      <a:picLocks noChangeAspect="1"/>
                    </pic:cNvPicPr>
                  </pic:nvPicPr>
                  <pic:blipFill>
                    <a:blip r:embed="rId4"/>
                    <a:stretch>
                      <a:fillRect/>
                    </a:stretch>
                  </pic:blipFill>
                  <pic:spPr>
                    <a:xfrm>
                      <a:off x="0" y="0"/>
                      <a:ext cx="5266690" cy="3089910"/>
                    </a:xfrm>
                    <a:prstGeom prst="rect">
                      <a:avLst/>
                    </a:prstGeom>
                  </pic:spPr>
                </pic:pic>
              </a:graphicData>
            </a:graphic>
          </wp:inline>
        </w:drawing>
      </w:r>
    </w:p>
    <w:p>
      <w:pPr>
        <w:spacing w:before="0" w:after="0"/>
        <w:ind w:left="0" w:right="0" w:firstLine="0"/>
        <w:jc w:val="left"/>
        <w:rPr>
          <w:rFonts w:hint="eastAsia" w:ascii="sans-serif" w:hAnsi="sans-serif" w:eastAsia="宋体" w:cs="sans-serif"/>
          <w:b w:val="0"/>
          <w:i w:val="0"/>
          <w:color w:val="000000"/>
          <w:spacing w:val="0"/>
          <w:sz w:val="24"/>
          <w:szCs w:val="24"/>
          <w:lang w:eastAsia="zh-CN"/>
        </w:rPr>
      </w:pPr>
      <w:r>
        <w:rPr>
          <w:rFonts w:hint="eastAsia" w:ascii="sans-serif" w:hAnsi="sans-serif" w:eastAsia="宋体" w:cs="sans-serif"/>
          <w:b w:val="0"/>
          <w:i w:val="0"/>
          <w:color w:val="000000"/>
          <w:spacing w:val="0"/>
          <w:sz w:val="24"/>
          <w:szCs w:val="24"/>
          <w:lang w:eastAsia="zh-CN"/>
        </w:rPr>
        <w:drawing>
          <wp:inline distT="0" distB="0" distL="114300" distR="114300">
            <wp:extent cx="5268595" cy="3114040"/>
            <wp:effectExtent l="0" t="0" r="8255" b="10160"/>
            <wp:docPr id="3" name="图片 3" descr="9c49677369f1ab71946707684f8e5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c49677369f1ab71946707684f8e5fe"/>
                    <pic:cNvPicPr>
                      <a:picLocks noChangeAspect="1"/>
                    </pic:cNvPicPr>
                  </pic:nvPicPr>
                  <pic:blipFill>
                    <a:blip r:embed="rId5"/>
                    <a:stretch>
                      <a:fillRect/>
                    </a:stretch>
                  </pic:blipFill>
                  <pic:spPr>
                    <a:xfrm>
                      <a:off x="0" y="0"/>
                      <a:ext cx="5268595" cy="3114040"/>
                    </a:xfrm>
                    <a:prstGeom prst="rect">
                      <a:avLst/>
                    </a:prstGeom>
                  </pic:spPr>
                </pic:pic>
              </a:graphicData>
            </a:graphic>
          </wp:inline>
        </w:drawing>
      </w:r>
    </w:p>
    <w:p>
      <w:pPr>
        <w:spacing w:before="0" w:after="0"/>
        <w:ind w:left="0" w:right="0" w:firstLine="0"/>
        <w:jc w:val="center"/>
        <w:rPr>
          <w:rFonts w:ascii="sans-serif" w:hAnsi="sans-serif" w:eastAsia="sans-serif" w:cs="sans-serif"/>
          <w:b w:val="0"/>
          <w:i w:val="0"/>
          <w:color w:val="000000"/>
          <w:spacing w:val="0"/>
          <w:sz w:val="24"/>
          <w:szCs w:val="24"/>
        </w:rPr>
      </w:pPr>
      <w:r>
        <w:fldChar w:fldCharType="begin"/>
      </w:r>
      <w:r>
        <w:instrText xml:space="preserve">HYPERLINK "http://dlrk.jining.gov.cn/jcms/jcms_files/jcms1/web104/site/picture/0/c0e92196eba246a3b7be883a112822e5.png"</w:instrText>
      </w:r>
      <w:r>
        <w:fldChar w:fldCharType="separate"/>
      </w:r>
      <w:r>
        <w:fldChar w:fldCharType="end"/>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val="0"/>
        <w:spacing w:before="0" w:beforeAutospacing="0" w:after="0" w:afterAutospacing="0" w:line="600" w:lineRule="exact"/>
        <w:ind w:left="0" w:right="0"/>
        <w:jc w:val="left"/>
        <w:textAlignment w:val="auto"/>
        <w:rPr>
          <w:rFonts w:hint="eastAsia" w:ascii="仿宋_GB2312" w:hAnsi="仿宋_GB2312" w:eastAsia="仿宋_GB2312" w:cs="仿宋_GB2312"/>
          <w:b w:val="0"/>
          <w:i w:val="0"/>
          <w:color w:val="000000"/>
          <w:spacing w:val="0"/>
          <w:sz w:val="28"/>
          <w:szCs w:val="28"/>
          <w:lang w:val="en-US" w:eastAsia="zh-CN"/>
        </w:rPr>
      </w:pPr>
      <w:r>
        <w:rPr>
          <w:rFonts w:hint="eastAsia" w:ascii="仿宋_GB2312" w:hAnsi="仿宋_GB2312" w:eastAsia="仿宋_GB2312" w:cs="仿宋_GB2312"/>
          <w:b w:val="0"/>
          <w:i w:val="0"/>
          <w:color w:val="000000"/>
          <w:spacing w:val="0"/>
          <w:sz w:val="28"/>
          <w:szCs w:val="28"/>
        </w:rPr>
        <w:t>依申请公开</w:t>
      </w:r>
      <w:r>
        <w:rPr>
          <w:rFonts w:hint="eastAsia" w:ascii="仿宋_GB2312" w:hAnsi="仿宋_GB2312" w:eastAsia="仿宋_GB2312" w:cs="仿宋_GB2312"/>
          <w:b w:val="0"/>
          <w:i w:val="0"/>
          <w:color w:val="000000"/>
          <w:spacing w:val="0"/>
          <w:sz w:val="28"/>
          <w:szCs w:val="28"/>
          <w:lang w:eastAsia="zh-CN"/>
        </w:rPr>
        <w:t>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600" w:lineRule="exact"/>
        <w:ind w:right="0" w:rightChars="0"/>
        <w:jc w:val="left"/>
        <w:textAlignment w:val="auto"/>
        <w:rPr>
          <w:rFonts w:hint="eastAsia" w:ascii="仿宋_GB2312" w:hAnsi="仿宋_GB2312" w:eastAsia="仿宋_GB2312" w:cs="仿宋_GB2312"/>
          <w:b w:val="0"/>
          <w:i w:val="0"/>
          <w:color w:val="000000"/>
          <w:spacing w:val="0"/>
          <w:sz w:val="28"/>
          <w:szCs w:val="28"/>
          <w:lang w:val="en-US" w:eastAsia="zh-CN"/>
        </w:rPr>
      </w:pPr>
      <w:r>
        <w:rPr>
          <w:rFonts w:hint="eastAsia" w:ascii="仿宋_GB2312" w:hAnsi="仿宋_GB2312" w:eastAsia="仿宋_GB2312" w:cs="仿宋_GB2312"/>
          <w:b w:val="0"/>
          <w:i w:val="0"/>
          <w:color w:val="000000"/>
          <w:spacing w:val="0"/>
          <w:sz w:val="28"/>
          <w:szCs w:val="28"/>
          <w:lang w:val="en-US" w:eastAsia="zh-CN"/>
        </w:rPr>
        <w:t>2021年，我局共接收政府信息公开申请2条，内容包括“寅寺镇化工园区所涉建设项目环境影响评价批复文件及申报材料”及“因汶上县人民政府进行化工园区项目建设，所涉地段已不适合居住或者原址还建的相关文件”。现2条政府信息公开申请已全部答复完毕。2021年，我局未发生针对有关政府信息公开事务的行政复议和行政诉讼案件。所有的政府信息公开项目，未向公民、法人和其他组织收取任何费用。</w:t>
      </w:r>
    </w:p>
    <w:p>
      <w:pPr>
        <w:keepNext w:val="0"/>
        <w:keepLines w:val="0"/>
        <w:pageBreakBefore w:val="0"/>
        <w:widowControl/>
        <w:numPr>
          <w:ilvl w:val="0"/>
          <w:numId w:val="1"/>
        </w:numPr>
        <w:kinsoku/>
        <w:wordWrap/>
        <w:overflowPunct/>
        <w:topLinePunct w:val="0"/>
        <w:autoSpaceDE/>
        <w:autoSpaceDN/>
        <w:bidi w:val="0"/>
        <w:adjustRightInd/>
        <w:snapToGrid w:val="0"/>
        <w:spacing w:before="0" w:after="0" w:line="600" w:lineRule="exact"/>
        <w:ind w:left="0" w:leftChars="0" w:right="0" w:firstLine="0" w:firstLineChars="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政府信息管理</w:t>
      </w:r>
      <w:r>
        <w:rPr>
          <w:rFonts w:hint="eastAsia" w:ascii="仿宋_GB2312" w:hAnsi="仿宋_GB2312" w:eastAsia="仿宋_GB2312" w:cs="仿宋_GB2312"/>
          <w:b w:val="0"/>
          <w:i w:val="0"/>
          <w:color w:val="000000"/>
          <w:spacing w:val="0"/>
          <w:sz w:val="28"/>
          <w:szCs w:val="28"/>
          <w:lang w:eastAsia="zh-CN"/>
        </w:rPr>
        <w:t>情况</w:t>
      </w:r>
    </w:p>
    <w:p>
      <w:pPr>
        <w:keepNext w:val="0"/>
        <w:keepLines w:val="0"/>
        <w:pageBreakBefore w:val="0"/>
        <w:widowControl/>
        <w:numPr>
          <w:ilvl w:val="0"/>
          <w:numId w:val="0"/>
        </w:numPr>
        <w:kinsoku/>
        <w:wordWrap/>
        <w:overflowPunct/>
        <w:topLinePunct w:val="0"/>
        <w:autoSpaceDE/>
        <w:autoSpaceDN/>
        <w:bidi w:val="0"/>
        <w:adjustRightInd/>
        <w:snapToGrid w:val="0"/>
        <w:spacing w:before="0" w:after="0" w:line="600" w:lineRule="exact"/>
        <w:ind w:leftChars="0" w:right="0" w:rightChars="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根据工作需要，年初按照局领导工作分工调整，我局及时调整了政务公开工作领导小组及责任分工，进一步明确了各相关处室政务公开工作职责。为切实提高财政工作的透明度及工作效率，督促各处室、单位安排专人负责政务公开工作的日常事务，及时公开涉及各自工作职责的财政政策、办事程序、政务服务等情况，并不定期对公开情况进行检查。及时将政府政务公开工作分解到科室，形成协调联动的政府政务公开工作架构，确保政府政务公开各项工作落到实处和全面推进。</w:t>
      </w:r>
    </w:p>
    <w:p>
      <w:pPr>
        <w:keepNext w:val="0"/>
        <w:keepLines w:val="0"/>
        <w:pageBreakBefore w:val="0"/>
        <w:widowControl/>
        <w:numPr>
          <w:ilvl w:val="0"/>
          <w:numId w:val="1"/>
        </w:numPr>
        <w:kinsoku/>
        <w:wordWrap/>
        <w:overflowPunct/>
        <w:topLinePunct w:val="0"/>
        <w:autoSpaceDE/>
        <w:autoSpaceDN/>
        <w:bidi w:val="0"/>
        <w:adjustRightInd/>
        <w:snapToGrid w:val="0"/>
        <w:spacing w:before="0" w:after="0" w:line="600" w:lineRule="exact"/>
        <w:ind w:left="0" w:leftChars="0" w:right="0" w:firstLine="0" w:firstLineChars="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lang w:eastAsia="zh-CN"/>
        </w:rPr>
        <w:t>政府信息公开平台建设情况</w:t>
      </w:r>
    </w:p>
    <w:p>
      <w:pPr>
        <w:keepNext w:val="0"/>
        <w:keepLines w:val="0"/>
        <w:pageBreakBefore w:val="0"/>
        <w:widowControl/>
        <w:numPr>
          <w:ilvl w:val="0"/>
          <w:numId w:val="0"/>
        </w:numPr>
        <w:kinsoku/>
        <w:wordWrap/>
        <w:overflowPunct/>
        <w:topLinePunct w:val="0"/>
        <w:autoSpaceDE/>
        <w:autoSpaceDN/>
        <w:bidi w:val="0"/>
        <w:adjustRightInd/>
        <w:snapToGrid w:val="0"/>
        <w:spacing w:before="0" w:after="0" w:line="600" w:lineRule="exact"/>
        <w:ind w:leftChars="0" w:right="0" w:rightChars="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根据工作需要，我局已开设“汶上环保微博账号”</w:t>
      </w:r>
      <w:r>
        <w:rPr>
          <w:rFonts w:hint="eastAsia" w:ascii="仿宋_GB2312" w:hAnsi="仿宋_GB2312" w:eastAsia="仿宋_GB2312" w:cs="仿宋_GB2312"/>
          <w:b w:val="0"/>
          <w:i w:val="0"/>
          <w:color w:val="000000"/>
          <w:spacing w:val="0"/>
          <w:sz w:val="28"/>
          <w:szCs w:val="28"/>
          <w:lang w:eastAsia="zh-CN"/>
        </w:rPr>
        <w:t>“汶上环保”微信公众号</w:t>
      </w:r>
      <w:r>
        <w:rPr>
          <w:rFonts w:hint="eastAsia" w:ascii="仿宋_GB2312" w:hAnsi="仿宋_GB2312" w:eastAsia="仿宋_GB2312" w:cs="仿宋_GB2312"/>
          <w:b w:val="0"/>
          <w:i w:val="0"/>
          <w:color w:val="000000"/>
          <w:spacing w:val="0"/>
          <w:sz w:val="28"/>
          <w:szCs w:val="28"/>
        </w:rPr>
        <w:t>等新媒体平台，202</w:t>
      </w:r>
      <w:r>
        <w:rPr>
          <w:rFonts w:hint="eastAsia" w:ascii="仿宋_GB2312" w:hAnsi="仿宋_GB2312" w:eastAsia="仿宋_GB2312" w:cs="仿宋_GB2312"/>
          <w:b w:val="0"/>
          <w:i w:val="0"/>
          <w:color w:val="000000"/>
          <w:spacing w:val="0"/>
          <w:sz w:val="28"/>
          <w:szCs w:val="28"/>
          <w:lang w:val="en-US" w:eastAsia="zh-CN"/>
        </w:rPr>
        <w:t>1</w:t>
      </w:r>
      <w:r>
        <w:rPr>
          <w:rFonts w:hint="eastAsia" w:ascii="仿宋_GB2312" w:hAnsi="仿宋_GB2312" w:eastAsia="仿宋_GB2312" w:cs="仿宋_GB2312"/>
          <w:b w:val="0"/>
          <w:i w:val="0"/>
          <w:color w:val="000000"/>
          <w:spacing w:val="0"/>
          <w:sz w:val="28"/>
          <w:szCs w:val="28"/>
        </w:rPr>
        <w:t>年及时发布了各项政务信息及国家发改委重要文件，宣传</w:t>
      </w:r>
      <w:r>
        <w:rPr>
          <w:rFonts w:hint="eastAsia" w:ascii="仿宋_GB2312" w:hAnsi="仿宋_GB2312" w:eastAsia="仿宋_GB2312" w:cs="仿宋_GB2312"/>
          <w:b w:val="0"/>
          <w:i w:val="0"/>
          <w:color w:val="000000"/>
          <w:spacing w:val="0"/>
          <w:sz w:val="28"/>
          <w:szCs w:val="28"/>
          <w:lang w:eastAsia="zh-CN"/>
        </w:rPr>
        <w:t>“六五”宣传日、</w:t>
      </w:r>
      <w:r>
        <w:rPr>
          <w:rFonts w:hint="eastAsia" w:ascii="仿宋_GB2312" w:hAnsi="仿宋_GB2312" w:eastAsia="仿宋_GB2312" w:cs="仿宋_GB2312"/>
          <w:b w:val="0"/>
          <w:i w:val="0"/>
          <w:color w:val="000000"/>
          <w:spacing w:val="0"/>
          <w:sz w:val="28"/>
          <w:szCs w:val="28"/>
        </w:rPr>
        <w:t>宣传生态环境工作的开展</w:t>
      </w:r>
      <w:r>
        <w:rPr>
          <w:rFonts w:hint="eastAsia" w:ascii="仿宋_GB2312" w:hAnsi="仿宋_GB2312" w:eastAsia="仿宋_GB2312" w:cs="仿宋_GB2312"/>
          <w:b w:val="0"/>
          <w:i w:val="0"/>
          <w:color w:val="000000"/>
          <w:spacing w:val="0"/>
          <w:sz w:val="28"/>
          <w:szCs w:val="28"/>
          <w:lang w:eastAsia="zh-CN"/>
        </w:rPr>
        <w:t>等</w:t>
      </w:r>
      <w:r>
        <w:rPr>
          <w:rFonts w:hint="eastAsia" w:ascii="仿宋_GB2312" w:hAnsi="仿宋_GB2312" w:eastAsia="仿宋_GB2312" w:cs="仿宋_GB2312"/>
          <w:b w:val="0"/>
          <w:i w:val="0"/>
          <w:color w:val="000000"/>
          <w:spacing w:val="0"/>
          <w:sz w:val="28"/>
          <w:szCs w:val="28"/>
        </w:rPr>
        <w:t>情况。微博号发布或更新各类信息共计</w:t>
      </w:r>
      <w:r>
        <w:rPr>
          <w:rFonts w:hint="eastAsia" w:ascii="仿宋_GB2312" w:hAnsi="仿宋_GB2312" w:eastAsia="仿宋_GB2312" w:cs="仿宋_GB2312"/>
          <w:b w:val="0"/>
          <w:i w:val="0"/>
          <w:color w:val="000000"/>
          <w:spacing w:val="0"/>
          <w:sz w:val="28"/>
          <w:szCs w:val="28"/>
          <w:lang w:val="en-US" w:eastAsia="zh-CN"/>
        </w:rPr>
        <w:t>2880</w:t>
      </w:r>
      <w:r>
        <w:rPr>
          <w:rFonts w:hint="eastAsia" w:ascii="仿宋_GB2312" w:hAnsi="仿宋_GB2312" w:eastAsia="仿宋_GB2312" w:cs="仿宋_GB2312"/>
          <w:b w:val="0"/>
          <w:i w:val="0"/>
          <w:color w:val="000000"/>
          <w:spacing w:val="0"/>
          <w:sz w:val="28"/>
          <w:szCs w:val="28"/>
        </w:rPr>
        <w:t>条</w:t>
      </w:r>
      <w:r>
        <w:rPr>
          <w:rFonts w:hint="eastAsia" w:ascii="仿宋_GB2312" w:hAnsi="仿宋_GB2312" w:eastAsia="仿宋_GB2312" w:cs="仿宋_GB2312"/>
          <w:b w:val="0"/>
          <w:i w:val="0"/>
          <w:color w:val="000000"/>
          <w:spacing w:val="0"/>
          <w:sz w:val="28"/>
          <w:szCs w:val="28"/>
          <w:lang w:eastAsia="zh-CN"/>
        </w:rPr>
        <w:t>，微信公众号</w:t>
      </w:r>
      <w:r>
        <w:rPr>
          <w:rFonts w:hint="eastAsia" w:ascii="仿宋_GB2312" w:hAnsi="仿宋_GB2312" w:eastAsia="仿宋_GB2312" w:cs="仿宋_GB2312"/>
          <w:b w:val="0"/>
          <w:i w:val="0"/>
          <w:color w:val="000000"/>
          <w:spacing w:val="0"/>
          <w:sz w:val="28"/>
          <w:szCs w:val="28"/>
        </w:rPr>
        <w:t>发布或更新各类信息共计</w:t>
      </w:r>
      <w:r>
        <w:rPr>
          <w:rFonts w:hint="eastAsia" w:ascii="仿宋_GB2312" w:hAnsi="仿宋_GB2312" w:eastAsia="仿宋_GB2312" w:cs="仿宋_GB2312"/>
          <w:b w:val="0"/>
          <w:i w:val="0"/>
          <w:color w:val="000000"/>
          <w:spacing w:val="0"/>
          <w:sz w:val="28"/>
          <w:szCs w:val="28"/>
          <w:lang w:val="en-US" w:eastAsia="zh-CN"/>
        </w:rPr>
        <w:t>247条</w:t>
      </w:r>
      <w:r>
        <w:rPr>
          <w:rFonts w:hint="eastAsia" w:ascii="仿宋_GB2312" w:hAnsi="仿宋_GB2312" w:eastAsia="仿宋_GB2312" w:cs="仿宋_GB2312"/>
          <w:b w:val="0"/>
          <w:i w:val="0"/>
          <w:color w:val="000000"/>
          <w:spacing w:val="0"/>
          <w:sz w:val="28"/>
          <w:szCs w:val="28"/>
        </w:rPr>
        <w:t>。</w:t>
      </w:r>
    </w:p>
    <w:p>
      <w:pPr>
        <w:keepNext w:val="0"/>
        <w:keepLines w:val="0"/>
        <w:pageBreakBefore w:val="0"/>
        <w:widowControl/>
        <w:kinsoku/>
        <w:wordWrap/>
        <w:overflowPunct/>
        <w:topLinePunct w:val="0"/>
        <w:autoSpaceDE/>
        <w:autoSpaceDN/>
        <w:bidi w:val="0"/>
        <w:adjustRightInd/>
        <w:snapToGrid w:val="0"/>
        <w:spacing w:before="0" w:after="0" w:line="240" w:lineRule="auto"/>
        <w:ind w:left="0" w:right="0" w:firstLine="0"/>
        <w:jc w:val="left"/>
        <w:textAlignment w:val="auto"/>
        <w:rPr>
          <w:rFonts w:hint="eastAsia" w:ascii="仿宋_GB2312" w:hAnsi="仿宋_GB2312" w:eastAsia="仿宋_GB2312" w:cs="仿宋_GB2312"/>
          <w:b w:val="0"/>
          <w:i w:val="0"/>
          <w:color w:val="000000"/>
          <w:spacing w:val="0"/>
          <w:sz w:val="28"/>
          <w:szCs w:val="28"/>
          <w:lang w:eastAsia="zh-CN"/>
        </w:rPr>
      </w:pPr>
      <w:r>
        <w:rPr>
          <w:rFonts w:hint="eastAsia" w:ascii="仿宋_GB2312" w:hAnsi="仿宋_GB2312" w:eastAsia="仿宋_GB2312" w:cs="仿宋_GB2312"/>
          <w:b w:val="0"/>
          <w:i w:val="0"/>
          <w:color w:val="000000"/>
          <w:spacing w:val="0"/>
          <w:sz w:val="28"/>
          <w:szCs w:val="28"/>
          <w:lang w:eastAsia="zh-CN"/>
        </w:rPr>
        <w:drawing>
          <wp:inline distT="0" distB="0" distL="114300" distR="114300">
            <wp:extent cx="5269230" cy="3327400"/>
            <wp:effectExtent l="0" t="0" r="7620" b="6350"/>
            <wp:docPr id="2" name="图片 2" descr="1642647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42647484(1)"/>
                    <pic:cNvPicPr>
                      <a:picLocks noChangeAspect="1"/>
                    </pic:cNvPicPr>
                  </pic:nvPicPr>
                  <pic:blipFill>
                    <a:blip r:embed="rId6"/>
                    <a:stretch>
                      <a:fillRect/>
                    </a:stretch>
                  </pic:blipFill>
                  <pic:spPr>
                    <a:xfrm>
                      <a:off x="0" y="0"/>
                      <a:ext cx="5269230" cy="33274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val="0"/>
        <w:spacing w:before="0" w:after="0" w:line="240" w:lineRule="auto"/>
        <w:ind w:left="0" w:right="0" w:firstLine="0"/>
        <w:jc w:val="left"/>
        <w:textAlignment w:val="auto"/>
        <w:rPr>
          <w:rFonts w:hint="eastAsia" w:ascii="仿宋_GB2312" w:hAnsi="仿宋_GB2312" w:eastAsia="仿宋_GB2312" w:cs="仿宋_GB2312"/>
          <w:b w:val="0"/>
          <w:i w:val="0"/>
          <w:color w:val="000000"/>
          <w:spacing w:val="0"/>
          <w:sz w:val="28"/>
          <w:szCs w:val="28"/>
          <w:lang w:eastAsia="zh-CN"/>
        </w:rPr>
      </w:pPr>
      <w:r>
        <w:rPr>
          <w:rFonts w:hint="eastAsia" w:ascii="仿宋_GB2312" w:hAnsi="仿宋_GB2312" w:eastAsia="仿宋_GB2312" w:cs="仿宋_GB2312"/>
          <w:b w:val="0"/>
          <w:i w:val="0"/>
          <w:color w:val="000000"/>
          <w:spacing w:val="0"/>
          <w:sz w:val="28"/>
          <w:szCs w:val="28"/>
          <w:lang w:eastAsia="zh-CN"/>
        </w:rPr>
        <w:drawing>
          <wp:inline distT="0" distB="0" distL="114300" distR="114300">
            <wp:extent cx="5272405" cy="3147695"/>
            <wp:effectExtent l="0" t="0" r="4445" b="14605"/>
            <wp:docPr id="4" name="图片 4" descr="1642660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2660799(1)"/>
                    <pic:cNvPicPr>
                      <a:picLocks noChangeAspect="1"/>
                    </pic:cNvPicPr>
                  </pic:nvPicPr>
                  <pic:blipFill>
                    <a:blip r:embed="rId7"/>
                    <a:stretch>
                      <a:fillRect/>
                    </a:stretch>
                  </pic:blipFill>
                  <pic:spPr>
                    <a:xfrm>
                      <a:off x="0" y="0"/>
                      <a:ext cx="5272405" cy="3147695"/>
                    </a:xfrm>
                    <a:prstGeom prst="rect">
                      <a:avLst/>
                    </a:prstGeom>
                  </pic:spPr>
                </pic:pic>
              </a:graphicData>
            </a:graphic>
          </wp:inline>
        </w:drawing>
      </w:r>
    </w:p>
    <w:p>
      <w:pPr>
        <w:keepNext w:val="0"/>
        <w:keepLines w:val="0"/>
        <w:pageBreakBefore w:val="0"/>
        <w:widowControl/>
        <w:numPr>
          <w:ilvl w:val="0"/>
          <w:numId w:val="1"/>
        </w:numPr>
        <w:kinsoku/>
        <w:wordWrap/>
        <w:overflowPunct/>
        <w:topLinePunct w:val="0"/>
        <w:autoSpaceDE/>
        <w:autoSpaceDN/>
        <w:bidi w:val="0"/>
        <w:adjustRightInd/>
        <w:snapToGrid w:val="0"/>
        <w:spacing w:before="0" w:after="0" w:line="600" w:lineRule="exact"/>
        <w:ind w:left="0" w:leftChars="0" w:right="0" w:firstLine="0" w:firstLineChars="0"/>
        <w:jc w:val="left"/>
        <w:textAlignment w:val="auto"/>
        <w:rPr>
          <w:rFonts w:hint="eastAsia" w:ascii="仿宋_GB2312" w:hAnsi="仿宋_GB2312" w:eastAsia="仿宋_GB2312" w:cs="仿宋_GB2312"/>
          <w:b w:val="0"/>
          <w:i w:val="0"/>
          <w:color w:val="000000"/>
          <w:spacing w:val="0"/>
          <w:sz w:val="28"/>
          <w:szCs w:val="28"/>
          <w:lang w:eastAsia="zh-CN"/>
        </w:rPr>
      </w:pPr>
      <w:r>
        <w:rPr>
          <w:rFonts w:hint="eastAsia" w:ascii="仿宋_GB2312" w:hAnsi="仿宋_GB2312" w:eastAsia="仿宋_GB2312" w:cs="仿宋_GB2312"/>
          <w:b w:val="0"/>
          <w:i w:val="0"/>
          <w:color w:val="000000"/>
          <w:spacing w:val="0"/>
          <w:sz w:val="28"/>
          <w:szCs w:val="28"/>
        </w:rPr>
        <w:t>监督保障</w:t>
      </w:r>
      <w:r>
        <w:rPr>
          <w:rFonts w:hint="eastAsia" w:ascii="仿宋_GB2312" w:hAnsi="仿宋_GB2312" w:eastAsia="仿宋_GB2312" w:cs="仿宋_GB2312"/>
          <w:b w:val="0"/>
          <w:i w:val="0"/>
          <w:color w:val="000000"/>
          <w:spacing w:val="0"/>
          <w:sz w:val="28"/>
          <w:szCs w:val="28"/>
          <w:lang w:eastAsia="zh-CN"/>
        </w:rPr>
        <w:t>情况</w:t>
      </w:r>
    </w:p>
    <w:p>
      <w:pPr>
        <w:keepNext w:val="0"/>
        <w:keepLines w:val="0"/>
        <w:pageBreakBefore w:val="0"/>
        <w:widowControl/>
        <w:numPr>
          <w:ilvl w:val="0"/>
          <w:numId w:val="0"/>
        </w:numPr>
        <w:kinsoku/>
        <w:wordWrap/>
        <w:overflowPunct/>
        <w:topLinePunct w:val="0"/>
        <w:autoSpaceDE/>
        <w:autoSpaceDN/>
        <w:bidi w:val="0"/>
        <w:adjustRightInd/>
        <w:snapToGrid w:val="0"/>
        <w:spacing w:before="0" w:after="0" w:line="600" w:lineRule="exact"/>
        <w:ind w:leftChars="0" w:right="0" w:rightChars="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按照《政府信息公开条例》要求，进一步严格政府信息公开审查机制。政府信息发布前，由经办科室、政府信息公开工作机构、网站管理部门层层审核，确保准确无误。加强政府信息公开主动提醒，定期梳理制度文件，提出主动公开意见，做到应公开尽公开。</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二、主动公开政府信息情况</w:t>
      </w:r>
    </w:p>
    <w:tbl>
      <w:tblPr>
        <w:tblStyle w:val="3"/>
        <w:tblW w:w="8640"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92"/>
        <w:gridCol w:w="2097"/>
        <w:gridCol w:w="2186"/>
        <w:gridCol w:w="1965"/>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8640" w:type="dxa"/>
            <w:gridSpan w:val="4"/>
            <w:tcBorders>
              <w:top w:val="single" w:color="00000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第二十条第（一）项</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信息内容</w:t>
            </w:r>
          </w:p>
        </w:tc>
        <w:tc>
          <w:tcPr>
            <w:tcW w:w="2097" w:type="dxa"/>
            <w:tcBorders>
              <w:top w:val="single" w:color="000000" w:sz="6" w:space="0"/>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本年制发件数</w:t>
            </w:r>
          </w:p>
        </w:tc>
        <w:tc>
          <w:tcPr>
            <w:tcW w:w="2186" w:type="dxa"/>
            <w:tcBorders>
              <w:top w:val="single" w:color="000000" w:sz="6" w:space="0"/>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本年废止件数</w:t>
            </w:r>
          </w:p>
        </w:tc>
        <w:tc>
          <w:tcPr>
            <w:tcW w:w="1965"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现行有效件数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规章</w:t>
            </w:r>
          </w:p>
        </w:tc>
        <w:tc>
          <w:tcPr>
            <w:tcW w:w="2097"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0</w:t>
            </w:r>
          </w:p>
        </w:tc>
        <w:tc>
          <w:tcPr>
            <w:tcW w:w="2186"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0</w:t>
            </w:r>
          </w:p>
        </w:tc>
        <w:tc>
          <w:tcPr>
            <w:tcW w:w="1965"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行政规范性文件</w:t>
            </w:r>
          </w:p>
        </w:tc>
        <w:tc>
          <w:tcPr>
            <w:tcW w:w="2097"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0　</w:t>
            </w:r>
          </w:p>
        </w:tc>
        <w:tc>
          <w:tcPr>
            <w:tcW w:w="2186"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0</w:t>
            </w:r>
          </w:p>
        </w:tc>
        <w:tc>
          <w:tcPr>
            <w:tcW w:w="1965" w:type="dxa"/>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8640" w:type="dxa"/>
            <w:gridSpan w:val="4"/>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第二十条第（五）项</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信息内容</w:t>
            </w:r>
          </w:p>
        </w:tc>
        <w:tc>
          <w:tcPr>
            <w:tcW w:w="6248" w:type="dxa"/>
            <w:gridSpan w:val="3"/>
            <w:tcBorders>
              <w:top w:val="single" w:color="000000" w:sz="6" w:space="0"/>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本年处理决定数量</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行政许可</w:t>
            </w:r>
          </w:p>
        </w:tc>
        <w:tc>
          <w:tcPr>
            <w:tcW w:w="6248" w:type="dxa"/>
            <w:gridSpan w:val="3"/>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hint="default" w:ascii="sans-serif" w:hAnsi="sans-serif" w:eastAsia="宋体" w:cs="sans-serif"/>
                <w:b w:val="0"/>
                <w:i w:val="0"/>
                <w:color w:val="000000"/>
                <w:spacing w:val="0"/>
                <w:sz w:val="24"/>
                <w:szCs w:val="24"/>
                <w:lang w:val="en-US" w:eastAsia="zh-CN"/>
              </w:rPr>
            </w:pPr>
            <w:r>
              <w:rPr>
                <w:rFonts w:hint="eastAsia" w:eastAsia="宋体"/>
                <w:lang w:val="en-US" w:eastAsia="zh-CN"/>
              </w:rPr>
              <w:t>170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8640" w:type="dxa"/>
            <w:gridSpan w:val="4"/>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第二十条第（六）项</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信息内容</w:t>
            </w:r>
          </w:p>
        </w:tc>
        <w:tc>
          <w:tcPr>
            <w:tcW w:w="6248" w:type="dxa"/>
            <w:gridSpan w:val="3"/>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pPr>
            <w:r>
              <w:t>本年处理决定数量</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行政处罚</w:t>
            </w:r>
          </w:p>
        </w:tc>
        <w:tc>
          <w:tcPr>
            <w:tcW w:w="6248" w:type="dxa"/>
            <w:gridSpan w:val="3"/>
            <w:tcBorders>
              <w:top w:val="single" w:color="000000" w:sz="6" w:space="0"/>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hint="default" w:ascii="sans-serif" w:hAnsi="sans-serif" w:eastAsia="宋体" w:cs="sans-serif"/>
                <w:b w:val="0"/>
                <w:i w:val="0"/>
                <w:color w:val="000000"/>
                <w:spacing w:val="0"/>
                <w:sz w:val="24"/>
                <w:szCs w:val="24"/>
                <w:lang w:val="en-US" w:eastAsia="zh-CN"/>
              </w:rPr>
            </w:pPr>
            <w:r>
              <w:rPr>
                <w:rFonts w:hint="eastAsia" w:eastAsia="宋体"/>
                <w:lang w:val="en-US" w:eastAsia="zh-CN"/>
              </w:rPr>
              <w:t>53</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行政强制</w:t>
            </w:r>
          </w:p>
        </w:tc>
        <w:tc>
          <w:tcPr>
            <w:tcW w:w="6248" w:type="dxa"/>
            <w:gridSpan w:val="3"/>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3</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640" w:type="dxa"/>
            <w:gridSpan w:val="4"/>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第二十条第（八）项</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信息内容</w:t>
            </w:r>
          </w:p>
        </w:tc>
        <w:tc>
          <w:tcPr>
            <w:tcW w:w="6248" w:type="dxa"/>
            <w:gridSpan w:val="3"/>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pPr>
            <w:r>
              <w:t>本年收费金额（单位：万元）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2392" w:type="dxa"/>
            <w:tcBorders>
              <w:top w:val="nil"/>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行政事业性收费</w:t>
            </w:r>
          </w:p>
        </w:tc>
        <w:tc>
          <w:tcPr>
            <w:tcW w:w="6248" w:type="dxa"/>
            <w:gridSpan w:val="3"/>
            <w:tcBorders>
              <w:top w:val="nil"/>
              <w:left w:val="nil"/>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hint="eastAsia" w:ascii="sans-serif" w:hAnsi="sans-serif" w:eastAsia="宋体" w:cs="sans-serif"/>
                <w:b w:val="0"/>
                <w:i w:val="0"/>
                <w:color w:val="000000"/>
                <w:spacing w:val="0"/>
                <w:sz w:val="24"/>
                <w:szCs w:val="24"/>
                <w:lang w:val="en-US" w:eastAsia="zh-CN"/>
              </w:rPr>
            </w:pPr>
            <w:r>
              <w:rPr>
                <w:rFonts w:hint="eastAsia"/>
                <w:lang w:val="en-US" w:eastAsia="zh-CN"/>
              </w:rPr>
              <w:t>0</w:t>
            </w:r>
          </w:p>
        </w:tc>
      </w:tr>
    </w:tbl>
    <w:p>
      <w:pPr>
        <w:spacing w:before="0" w:after="0"/>
        <w:ind w:left="0" w:right="0" w:firstLine="0"/>
        <w:jc w:val="left"/>
        <w:rPr>
          <w:rFonts w:ascii="sans-serif" w:hAnsi="sans-serif" w:eastAsia="sans-serif" w:cs="sans-serif"/>
          <w:b w:val="0"/>
          <w:i w:val="0"/>
          <w:color w:val="000000"/>
          <w:spacing w:val="0"/>
          <w:sz w:val="28"/>
          <w:szCs w:val="28"/>
        </w:rPr>
      </w:pPr>
    </w:p>
    <w:p>
      <w:pPr>
        <w:spacing w:before="0" w:after="0"/>
        <w:ind w:left="0" w:right="0" w:firstLine="0"/>
        <w:jc w:val="left"/>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三、收到和处理政府信息公开申请情况</w:t>
      </w:r>
    </w:p>
    <w:tbl>
      <w:tblPr>
        <w:tblStyle w:val="3"/>
        <w:tblW w:w="9300"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928"/>
        <w:gridCol w:w="2337"/>
        <w:gridCol w:w="981"/>
        <w:gridCol w:w="747"/>
        <w:gridCol w:w="729"/>
        <w:gridCol w:w="748"/>
        <w:gridCol w:w="712"/>
        <w:gridCol w:w="694"/>
        <w:gridCol w:w="736"/>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953" w:type="dxa"/>
            <w:gridSpan w:val="3"/>
            <w:vMerge w:val="restart"/>
            <w:tcBorders>
              <w:top w:val="single" w:color="00000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（本列数据的勾稽关系为：第一项加第二项之和，等于第三项加第四项之和）</w:t>
            </w:r>
          </w:p>
        </w:tc>
        <w:tc>
          <w:tcPr>
            <w:tcW w:w="5347" w:type="dxa"/>
            <w:gridSpan w:val="7"/>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申请人情况</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953" w:type="dxa"/>
            <w:gridSpan w:val="3"/>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tc>
        <w:tc>
          <w:tcPr>
            <w:tcW w:w="981" w:type="dxa"/>
            <w:vMerge w:val="restart"/>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自然人</w:t>
            </w:r>
          </w:p>
        </w:tc>
        <w:tc>
          <w:tcPr>
            <w:tcW w:w="3630" w:type="dxa"/>
            <w:gridSpan w:val="5"/>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法人或其他组织</w:t>
            </w:r>
          </w:p>
        </w:tc>
        <w:tc>
          <w:tcPr>
            <w:tcW w:w="736" w:type="dxa"/>
            <w:vMerge w:val="restart"/>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总计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953" w:type="dxa"/>
            <w:gridSpan w:val="3"/>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tc>
        <w:tc>
          <w:tcPr>
            <w:tcW w:w="981"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企业</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机构</w:t>
            </w:r>
          </w:p>
        </w:tc>
        <w:tc>
          <w:tcPr>
            <w:tcW w:w="748"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社会公益组织</w:t>
            </w:r>
          </w:p>
        </w:tc>
        <w:tc>
          <w:tcPr>
            <w:tcW w:w="712"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法律服务机构</w:t>
            </w:r>
          </w:p>
        </w:tc>
        <w:tc>
          <w:tcPr>
            <w:tcW w:w="694"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其他</w:t>
            </w:r>
          </w:p>
        </w:tc>
        <w:tc>
          <w:tcPr>
            <w:tcW w:w="736" w:type="dxa"/>
            <w:vMerge w:val="continue"/>
            <w:tcBorders>
              <w:top w:val="single" w:color="000000" w:sz="6" w:space="0"/>
              <w:left w:val="single" w:color="808080" w:sz="6" w:space="0"/>
              <w:bottom w:val="single" w:color="000000" w:sz="6" w:space="0"/>
              <w:right w:val="single" w:color="000000" w:sz="6" w:space="0"/>
            </w:tcBorders>
            <w:shd w:val="clear" w:color="auto" w:fill="auto"/>
            <w:vAlign w:val="center"/>
          </w:tc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953" w:type="dxa"/>
            <w:gridSpan w:val="3"/>
            <w:tcBorders>
              <w:top w:val="single" w:color="80808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一、本年新收政府信息公开申请数量</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sans-serif" w:hAnsi="sans-serif" w:eastAsia="宋体" w:cs="sans-serif"/>
                <w:b w:val="0"/>
                <w:i w:val="0"/>
                <w:color w:val="000000"/>
                <w:spacing w:val="0"/>
                <w:sz w:val="24"/>
                <w:szCs w:val="24"/>
                <w:lang w:eastAsia="zh-CN"/>
              </w:rPr>
            </w:pPr>
            <w:r>
              <w:rPr>
                <w:rFonts w:hint="eastAsia" w:eastAsia="宋体"/>
                <w:lang w:val="en-US" w:eastAsia="zh-CN"/>
              </w:rPr>
              <w:t>2</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sans-serif" w:hAnsi="sans-serif" w:eastAsia="宋体" w:cs="sans-serif"/>
                <w:b w:val="0"/>
                <w:i w:val="0"/>
                <w:color w:val="000000"/>
                <w:spacing w:val="0"/>
                <w:sz w:val="24"/>
                <w:szCs w:val="24"/>
                <w:lang w:val="en-US" w:eastAsia="zh-CN"/>
              </w:rPr>
            </w:pPr>
            <w:r>
              <w:rPr>
                <w:rFonts w:hint="eastAsia" w:eastAsia="宋体"/>
                <w:lang w:val="en-US" w:eastAsia="zh-CN"/>
              </w:rPr>
              <w:t>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953" w:type="dxa"/>
            <w:gridSpan w:val="3"/>
            <w:tcBorders>
              <w:top w:val="single" w:color="80808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二、上年结转政府信息公开申请数量</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sans-serif" w:hAnsi="sans-serif" w:eastAsia="宋体" w:cs="sans-serif"/>
                <w:b w:val="0"/>
                <w:i w:val="0"/>
                <w:color w:val="000000"/>
                <w:spacing w:val="0"/>
                <w:sz w:val="24"/>
                <w:szCs w:val="24"/>
                <w:lang w:val="en-US" w:eastAsia="zh-CN"/>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sans-serif" w:hAnsi="sans-serif" w:eastAsia="宋体" w:cs="sans-serif"/>
                <w:b w:val="0"/>
                <w:i w:val="0"/>
                <w:color w:val="000000"/>
                <w:spacing w:val="0"/>
                <w:sz w:val="24"/>
                <w:szCs w:val="24"/>
                <w:lang w:eastAsia="zh-CN"/>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88" w:type="dxa"/>
            <w:vMerge w:val="restart"/>
            <w:tcBorders>
              <w:top w:val="single" w:color="80808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三、本年度办理结果</w:t>
            </w:r>
          </w:p>
        </w:tc>
        <w:tc>
          <w:tcPr>
            <w:tcW w:w="3265" w:type="dxa"/>
            <w:gridSpan w:val="2"/>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（一）予以公开</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sans-serif" w:hAnsi="sans-serif" w:eastAsia="宋体" w:cs="sans-serif"/>
                <w:b w:val="0"/>
                <w:i w:val="0"/>
                <w:color w:val="000000"/>
                <w:spacing w:val="0"/>
                <w:sz w:val="24"/>
                <w:szCs w:val="24"/>
                <w:lang w:val="en-US" w:eastAsia="zh-CN"/>
              </w:rPr>
            </w:pPr>
            <w:r>
              <w:rPr>
                <w:rFonts w:hint="eastAsia" w:eastAsia="宋体"/>
                <w:lang w:val="en-US" w:eastAsia="zh-CN"/>
              </w:rPr>
              <w:t>2</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ascii="sans-serif" w:hAnsi="sans-serif" w:eastAsia="微软雅黑" w:cs="sans-serif"/>
                <w:b w:val="0"/>
                <w:i w:val="0"/>
                <w:color w:val="000000"/>
                <w:spacing w:val="0"/>
                <w:sz w:val="24"/>
                <w:szCs w:val="24"/>
                <w:lang w:val="en-US" w:eastAsia="zh-CN"/>
              </w:rPr>
            </w:pPr>
            <w:r>
              <w:rPr>
                <w:rFonts w:hint="eastAsia"/>
                <w:lang w:val="en-US" w:eastAsia="zh-CN"/>
              </w:rPr>
              <w:t>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3265" w:type="dxa"/>
            <w:gridSpan w:val="2"/>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（二）部分公开（区分处理的，只计这一情形，不计其他情形）</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restart"/>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（三）不予公开</w:t>
            </w: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1.属于国家秘密</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2.其他法律行政法规禁止公开</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3.危及“三安全一稳定”</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4.保护第三方合法权益</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5.属于三类内部事务信息</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6.属于四类过程性信息</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7.属于行政执法案卷</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8.属于行政查询事项</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restart"/>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（四）无法提供</w:t>
            </w: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1.本机关不掌握相关政府信息</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2.没有现成信息需要另行制作</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3.补正后申请内容仍不明确</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688" w:type="dxa"/>
            <w:vMerge w:val="restart"/>
            <w:tcBorders>
              <w:top w:val="single" w:color="808080" w:sz="6" w:space="0"/>
              <w:left w:val="single" w:color="000000" w:sz="6" w:space="0"/>
              <w:bottom w:val="single" w:color="000000" w:sz="6" w:space="0"/>
              <w:right w:val="single" w:color="000000" w:sz="6" w:space="0"/>
            </w:tcBorders>
            <w:shd w:val="clear" w:color="auto" w:fill="auto"/>
            <w:vAlign w:val="center"/>
          </w:tcPr>
          <w:p>
            <w:pPr>
              <w:keepNext w:val="0"/>
              <w:keepLines w:val="0"/>
              <w:widowControl/>
              <w:suppressLineNumbers w:val="0"/>
              <w:jc w:val="left"/>
            </w:pPr>
          </w:p>
        </w:tc>
        <w:tc>
          <w:tcPr>
            <w:tcW w:w="928" w:type="dxa"/>
            <w:vMerge w:val="restart"/>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（五）不予处理</w:t>
            </w: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1.信访举报投诉类申请</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2.重复申请</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3.要求提供公开出版物</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4.无正当理由大量反复申请</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5.要求行政机关确认或重新出具已获取信息</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restart"/>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ascii="sans-serif" w:hAnsi="sans-serif" w:eastAsia="sans-serif" w:cs="sans-serif"/>
                <w:b w:val="0"/>
                <w:i w:val="0"/>
                <w:color w:val="000000"/>
                <w:spacing w:val="0"/>
                <w:sz w:val="24"/>
                <w:szCs w:val="24"/>
              </w:rPr>
            </w:pPr>
            <w:r>
              <w:t>（六）其他处理</w:t>
            </w: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pPr>
            <w:r>
              <w:t>1.申请人无正当理由逾期不补正、行政机关不再处理其政府信息公开申请</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88"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928" w:type="dxa"/>
            <w:vMerge w:val="continue"/>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rPr>
                <w:rFonts w:ascii="sans-serif" w:hAnsi="sans-serif" w:eastAsia="sans-serif" w:cs="sans-serif"/>
                <w:b w:val="0"/>
                <w:i w:val="0"/>
                <w:color w:val="000000"/>
                <w:spacing w:val="0"/>
                <w:sz w:val="24"/>
                <w:szCs w:val="24"/>
              </w:rPr>
            </w:pPr>
          </w:p>
        </w:tc>
        <w:tc>
          <w:tcPr>
            <w:tcW w:w="233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pPr>
            <w:r>
              <w:t>2.申请人逾期未按收费通知要求缴纳费用、行政机关不再处理其政府信息公开申请</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88" w:type="dxa"/>
            <w:vMerge w:val="continue"/>
            <w:tcBorders>
              <w:top w:val="single" w:color="808080" w:sz="6" w:space="0"/>
              <w:left w:val="single" w:color="000000" w:sz="6" w:space="0"/>
              <w:bottom w:val="single" w:color="808080" w:sz="6" w:space="0"/>
              <w:right w:val="single" w:color="000000" w:sz="6" w:space="0"/>
            </w:tcBorders>
            <w:shd w:val="clear" w:color="auto" w:fill="auto"/>
            <w:tcMar>
              <w:left w:w="104" w:type="dxa"/>
              <w:right w:w="104" w:type="dxa"/>
            </w:tcMar>
            <w:vAlign w:val="center"/>
          </w:tcPr>
          <w:p>
            <w:pPr>
              <w:rPr>
                <w:rFonts w:ascii="sans-serif" w:hAnsi="sans-serif" w:eastAsia="sans-serif" w:cs="sans-serif"/>
                <w:b w:val="0"/>
                <w:i w:val="0"/>
                <w:color w:val="000000"/>
                <w:spacing w:val="0"/>
                <w:sz w:val="24"/>
                <w:szCs w:val="24"/>
              </w:rPr>
            </w:pPr>
          </w:p>
        </w:tc>
        <w:tc>
          <w:tcPr>
            <w:tcW w:w="928" w:type="dxa"/>
            <w:vMerge w:val="continue"/>
            <w:tcBorders>
              <w:top w:val="single" w:color="808080" w:sz="6" w:space="0"/>
              <w:left w:val="single" w:color="000000" w:sz="6" w:space="0"/>
              <w:bottom w:val="single" w:color="808080" w:sz="6" w:space="0"/>
              <w:right w:val="single" w:color="000000" w:sz="6" w:space="0"/>
            </w:tcBorders>
            <w:shd w:val="clear" w:color="auto" w:fill="auto"/>
            <w:tcMar>
              <w:left w:w="104" w:type="dxa"/>
              <w:right w:w="104" w:type="dxa"/>
            </w:tcMar>
            <w:vAlign w:val="center"/>
          </w:tcPr>
          <w:p/>
        </w:tc>
        <w:tc>
          <w:tcPr>
            <w:tcW w:w="2337" w:type="dxa"/>
            <w:tcBorders>
              <w:top w:val="single" w:color="808080" w:sz="6" w:space="0"/>
              <w:left w:val="single" w:color="00000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pPr>
            <w:r>
              <w:t>3.其他</w:t>
            </w:r>
          </w:p>
        </w:tc>
        <w:tc>
          <w:tcPr>
            <w:tcW w:w="981"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7"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29"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48"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12"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694"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c>
          <w:tcPr>
            <w:tcW w:w="736"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ascii="sans-serif" w:hAnsi="sans-serif" w:eastAsia="sans-serif" w:cs="sans-serif"/>
                <w:b w:val="0"/>
                <w:i w:val="0"/>
                <w:color w:val="000000"/>
                <w:spacing w:val="0"/>
                <w:sz w:val="24"/>
                <w:szCs w:val="24"/>
              </w:rPr>
            </w:pPr>
            <w:r>
              <w:t>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88" w:type="dxa"/>
            <w:tcBorders>
              <w:top w:val="single" w:color="808080" w:sz="6" w:space="0"/>
              <w:left w:val="single" w:color="000000" w:sz="6" w:space="0"/>
              <w:bottom w:val="single" w:color="808080" w:sz="6" w:space="0"/>
              <w:right w:val="single" w:color="000000" w:sz="6" w:space="0"/>
            </w:tcBorders>
            <w:shd w:val="clear" w:color="auto" w:fill="auto"/>
            <w:tcMar>
              <w:left w:w="104" w:type="dxa"/>
              <w:right w:w="104" w:type="dxa"/>
            </w:tcMar>
            <w:vAlign w:val="center"/>
          </w:tcPr>
          <w:p>
            <w:pPr>
              <w:rPr>
                <w:rFonts w:ascii="sans-serif" w:hAnsi="sans-serif" w:eastAsia="sans-serif" w:cs="sans-serif"/>
                <w:b w:val="0"/>
                <w:i w:val="0"/>
                <w:color w:val="000000"/>
                <w:spacing w:val="0"/>
                <w:sz w:val="24"/>
                <w:szCs w:val="24"/>
              </w:rPr>
            </w:pPr>
          </w:p>
        </w:tc>
        <w:tc>
          <w:tcPr>
            <w:tcW w:w="3265" w:type="dxa"/>
            <w:gridSpan w:val="2"/>
            <w:tcBorders>
              <w:top w:val="single" w:color="808080" w:sz="6" w:space="0"/>
              <w:left w:val="single" w:color="00000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hint="default" w:eastAsia="微软雅黑"/>
                <w:lang w:val="en-US" w:eastAsia="zh-CN"/>
              </w:rPr>
            </w:pPr>
            <w:r>
              <w:rPr>
                <w:rFonts w:hint="eastAsia"/>
                <w:lang w:val="en-US" w:eastAsia="zh-CN"/>
              </w:rPr>
              <w:t>(七)总计</w:t>
            </w:r>
          </w:p>
        </w:tc>
        <w:tc>
          <w:tcPr>
            <w:tcW w:w="981"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2</w:t>
            </w:r>
          </w:p>
        </w:tc>
        <w:tc>
          <w:tcPr>
            <w:tcW w:w="747"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29"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default" w:eastAsia="微软雅黑"/>
                <w:lang w:val="en-US" w:eastAsia="zh-CN"/>
              </w:rPr>
            </w:pPr>
            <w:r>
              <w:rPr>
                <w:rFonts w:hint="eastAsia"/>
                <w:lang w:val="en-US" w:eastAsia="zh-CN"/>
              </w:rPr>
              <w:t>0</w:t>
            </w:r>
          </w:p>
        </w:tc>
        <w:tc>
          <w:tcPr>
            <w:tcW w:w="748"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12"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694"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36" w:type="dxa"/>
            <w:tcBorders>
              <w:top w:val="single" w:color="808080" w:sz="6" w:space="0"/>
              <w:left w:val="single" w:color="808080" w:sz="6" w:space="0"/>
              <w:bottom w:val="single" w:color="80808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953" w:type="dxa"/>
            <w:gridSpan w:val="3"/>
            <w:tcBorders>
              <w:top w:val="single" w:color="80808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left"/>
              <w:rPr>
                <w:rFonts w:hint="eastAsia" w:eastAsia="微软雅黑"/>
                <w:lang w:eastAsia="zh-CN"/>
              </w:rPr>
            </w:pPr>
            <w:r>
              <w:rPr>
                <w:rFonts w:hint="eastAsia"/>
                <w:lang w:eastAsia="zh-CN"/>
              </w:rPr>
              <w:t>四、结转下年度继续办理</w:t>
            </w:r>
          </w:p>
        </w:tc>
        <w:tc>
          <w:tcPr>
            <w:tcW w:w="981"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47"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29"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48"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12"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694"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c>
          <w:tcPr>
            <w:tcW w:w="736"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eastAsia="微软雅黑"/>
                <w:lang w:val="en-US" w:eastAsia="zh-CN"/>
              </w:rPr>
            </w:pPr>
            <w:r>
              <w:rPr>
                <w:rFonts w:hint="eastAsia"/>
                <w:lang w:val="en-US" w:eastAsia="zh-CN"/>
              </w:rPr>
              <w:t>0</w:t>
            </w:r>
          </w:p>
        </w:tc>
      </w:tr>
    </w:tbl>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 xml:space="preserve"> </w:t>
      </w:r>
    </w:p>
    <w:p>
      <w:pPr>
        <w:spacing w:before="0" w:after="0"/>
        <w:ind w:left="0" w:right="0" w:firstLine="0"/>
        <w:jc w:val="left"/>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四、政府信息公开行政复议、行政诉讼情况</w:t>
      </w:r>
    </w:p>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 xml:space="preserve"> </w:t>
      </w:r>
    </w:p>
    <w:tbl>
      <w:tblPr>
        <w:tblStyle w:val="3"/>
        <w:tblW w:w="9015"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600"/>
        <w:gridCol w:w="600"/>
        <w:gridCol w:w="600"/>
        <w:gridCol w:w="660"/>
        <w:gridCol w:w="555"/>
        <w:gridCol w:w="600"/>
        <w:gridCol w:w="600"/>
        <w:gridCol w:w="600"/>
        <w:gridCol w:w="600"/>
        <w:gridCol w:w="600"/>
        <w:gridCol w:w="600"/>
        <w:gridCol w:w="600"/>
        <w:gridCol w:w="600"/>
        <w:gridCol w:w="60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060" w:type="dxa"/>
            <w:gridSpan w:val="5"/>
            <w:tcBorders>
              <w:top w:val="single" w:color="00000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行政复议</w:t>
            </w:r>
          </w:p>
        </w:tc>
        <w:tc>
          <w:tcPr>
            <w:tcW w:w="5955" w:type="dxa"/>
            <w:gridSpan w:val="10"/>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行政诉讼</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00" w:type="dxa"/>
            <w:vMerge w:val="restart"/>
            <w:tcBorders>
              <w:top w:val="single" w:color="80808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结果维持</w:t>
            </w:r>
          </w:p>
        </w:tc>
        <w:tc>
          <w:tcPr>
            <w:tcW w:w="600" w:type="dxa"/>
            <w:vMerge w:val="restart"/>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结果纠正</w:t>
            </w:r>
          </w:p>
        </w:tc>
        <w:tc>
          <w:tcPr>
            <w:tcW w:w="600" w:type="dxa"/>
            <w:vMerge w:val="restart"/>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其他结果</w:t>
            </w:r>
          </w:p>
        </w:tc>
        <w:tc>
          <w:tcPr>
            <w:tcW w:w="600" w:type="dxa"/>
            <w:vMerge w:val="restart"/>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尚未审结</w:t>
            </w:r>
          </w:p>
        </w:tc>
        <w:tc>
          <w:tcPr>
            <w:tcW w:w="660" w:type="dxa"/>
            <w:vMerge w:val="restart"/>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总计</w:t>
            </w:r>
          </w:p>
        </w:tc>
        <w:tc>
          <w:tcPr>
            <w:tcW w:w="2955" w:type="dxa"/>
            <w:gridSpan w:val="5"/>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未经复议直接起诉</w:t>
            </w:r>
          </w:p>
        </w:tc>
        <w:tc>
          <w:tcPr>
            <w:tcW w:w="3000" w:type="dxa"/>
            <w:gridSpan w:val="5"/>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复议后起诉</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00" w:type="dxa"/>
            <w:vMerge w:val="continue"/>
            <w:tcBorders>
              <w:top w:val="single" w:color="808080" w:sz="6" w:space="0"/>
              <w:left w:val="single" w:color="000000" w:sz="6" w:space="0"/>
              <w:bottom w:val="single" w:color="000000" w:sz="6" w:space="0"/>
              <w:right w:val="single" w:color="000000" w:sz="6" w:space="0"/>
            </w:tcBorders>
            <w:shd w:val="clear" w:color="auto" w:fill="auto"/>
            <w:vAlign w:val="center"/>
          </w:tcPr>
          <w:p/>
        </w:tc>
        <w:tc>
          <w:tcPr>
            <w:tcW w:w="600" w:type="dxa"/>
            <w:vMerge w:val="continue"/>
            <w:tcBorders>
              <w:top w:val="single" w:color="808080" w:sz="6" w:space="0"/>
              <w:left w:val="single" w:color="808080" w:sz="6" w:space="0"/>
              <w:bottom w:val="single" w:color="000000" w:sz="6" w:space="0"/>
              <w:right w:val="single" w:color="000000" w:sz="6" w:space="0"/>
            </w:tcBorders>
            <w:shd w:val="clear" w:color="auto" w:fill="auto"/>
            <w:vAlign w:val="center"/>
          </w:tcPr>
          <w:p/>
        </w:tc>
        <w:tc>
          <w:tcPr>
            <w:tcW w:w="600" w:type="dxa"/>
            <w:vMerge w:val="continue"/>
            <w:tcBorders>
              <w:top w:val="single" w:color="000000" w:sz="6" w:space="0"/>
              <w:left w:val="single" w:color="808080" w:sz="6" w:space="0"/>
              <w:bottom w:val="single" w:color="000000" w:sz="6" w:space="0"/>
              <w:right w:val="single" w:color="000000" w:sz="6" w:space="0"/>
            </w:tcBorders>
            <w:shd w:val="clear" w:color="auto" w:fill="auto"/>
            <w:vAlign w:val="center"/>
          </w:tcPr>
          <w:p/>
        </w:tc>
        <w:tc>
          <w:tcPr>
            <w:tcW w:w="600" w:type="dxa"/>
            <w:vMerge w:val="continue"/>
            <w:tcBorders>
              <w:top w:val="single" w:color="000000" w:sz="6" w:space="0"/>
              <w:left w:val="single" w:color="808080" w:sz="6" w:space="0"/>
              <w:bottom w:val="single" w:color="000000" w:sz="6" w:space="0"/>
              <w:right w:val="single" w:color="000000" w:sz="6" w:space="0"/>
            </w:tcBorders>
            <w:shd w:val="clear" w:color="auto" w:fill="auto"/>
            <w:vAlign w:val="center"/>
          </w:tcPr>
          <w:p/>
        </w:tc>
        <w:tc>
          <w:tcPr>
            <w:tcW w:w="660" w:type="dxa"/>
            <w:vMerge w:val="continue"/>
            <w:tcBorders>
              <w:top w:val="single" w:color="000000" w:sz="6" w:space="0"/>
              <w:left w:val="single" w:color="808080" w:sz="6" w:space="0"/>
              <w:bottom w:val="single" w:color="000000" w:sz="6" w:space="0"/>
              <w:right w:val="single" w:color="000000" w:sz="6" w:space="0"/>
            </w:tcBorders>
            <w:shd w:val="clear" w:color="auto" w:fill="auto"/>
            <w:vAlign w:val="center"/>
          </w:tcPr>
          <w:p/>
        </w:tc>
        <w:tc>
          <w:tcPr>
            <w:tcW w:w="555"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结果维持</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结果纠正</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其他结果</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尚未审结</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总计</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结果维持</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结果纠正</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其他结果</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尚未审结</w:t>
            </w:r>
          </w:p>
        </w:tc>
        <w:tc>
          <w:tcPr>
            <w:tcW w:w="600" w:type="dxa"/>
            <w:tcBorders>
              <w:top w:val="single" w:color="00000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总计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00" w:type="dxa"/>
            <w:tcBorders>
              <w:top w:val="single" w:color="808080" w:sz="6" w:space="0"/>
              <w:left w:val="single" w:color="00000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6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555"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c>
          <w:tcPr>
            <w:tcW w:w="600" w:type="dxa"/>
            <w:tcBorders>
              <w:top w:val="single" w:color="808080" w:sz="6" w:space="0"/>
              <w:left w:val="single" w:color="808080" w:sz="6" w:space="0"/>
              <w:bottom w:val="single" w:color="000000" w:sz="6" w:space="0"/>
              <w:right w:val="single" w:color="000000" w:sz="6" w:space="0"/>
            </w:tcBorders>
            <w:shd w:val="clear" w:color="auto" w:fill="auto"/>
            <w:tcMar>
              <w:left w:w="104" w:type="dxa"/>
              <w:right w:w="10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leftChars="0" w:right="0" w:rightChars="0"/>
              <w:jc w:val="center"/>
              <w:rPr>
                <w:rFonts w:hint="eastAsia"/>
                <w:lang w:val="en-US" w:eastAsia="zh-CN"/>
              </w:rPr>
            </w:pPr>
            <w:r>
              <w:rPr>
                <w:rFonts w:hint="eastAsia"/>
                <w:lang w:val="en-US" w:eastAsia="zh-CN"/>
              </w:rPr>
              <w:t>0</w:t>
            </w:r>
          </w:p>
        </w:tc>
      </w:tr>
    </w:tbl>
    <w:p>
      <w:pPr>
        <w:spacing w:before="0" w:after="0"/>
        <w:ind w:left="0" w:right="0" w:firstLine="0"/>
        <w:jc w:val="left"/>
        <w:rPr>
          <w:rFonts w:ascii="sans-serif" w:hAnsi="sans-serif" w:eastAsia="sans-serif" w:cs="sans-serif"/>
          <w:b w:val="0"/>
          <w:i w:val="0"/>
          <w:color w:val="000000"/>
          <w:spacing w:val="0"/>
          <w:sz w:val="24"/>
          <w:szCs w:val="24"/>
        </w:rPr>
      </w:pPr>
      <w:r>
        <w:rPr>
          <w:rFonts w:ascii="sans-serif" w:hAnsi="sans-serif" w:eastAsia="sans-serif" w:cs="sans-serif"/>
          <w:b w:val="0"/>
          <w:i w:val="0"/>
          <w:color w:val="000000"/>
          <w:spacing w:val="0"/>
          <w:sz w:val="24"/>
          <w:szCs w:val="24"/>
        </w:rPr>
        <w:t xml:space="preserve"> </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五、存在</w:t>
      </w:r>
      <w:r>
        <w:rPr>
          <w:rFonts w:hint="eastAsia" w:ascii="仿宋_GB2312" w:hAnsi="仿宋_GB2312" w:eastAsia="仿宋_GB2312" w:cs="仿宋_GB2312"/>
          <w:b w:val="0"/>
          <w:i w:val="0"/>
          <w:color w:val="000000"/>
          <w:spacing w:val="0"/>
          <w:sz w:val="28"/>
          <w:szCs w:val="28"/>
          <w:lang w:eastAsia="zh-CN"/>
        </w:rPr>
        <w:t>的主要</w:t>
      </w:r>
      <w:r>
        <w:rPr>
          <w:rFonts w:hint="eastAsia" w:ascii="仿宋_GB2312" w:hAnsi="仿宋_GB2312" w:eastAsia="仿宋_GB2312" w:cs="仿宋_GB2312"/>
          <w:b w:val="0"/>
          <w:i w:val="0"/>
          <w:color w:val="000000"/>
          <w:spacing w:val="0"/>
          <w:sz w:val="28"/>
          <w:szCs w:val="28"/>
        </w:rPr>
        <w:t>问题</w:t>
      </w:r>
      <w:r>
        <w:rPr>
          <w:rFonts w:hint="eastAsia" w:ascii="仿宋_GB2312" w:hAnsi="仿宋_GB2312" w:eastAsia="仿宋_GB2312" w:cs="仿宋_GB2312"/>
          <w:b w:val="0"/>
          <w:i w:val="0"/>
          <w:color w:val="000000"/>
          <w:spacing w:val="0"/>
          <w:sz w:val="28"/>
          <w:szCs w:val="28"/>
          <w:lang w:eastAsia="zh-CN"/>
        </w:rPr>
        <w:t>及</w:t>
      </w:r>
      <w:r>
        <w:rPr>
          <w:rFonts w:hint="eastAsia" w:ascii="仿宋_GB2312" w:hAnsi="仿宋_GB2312" w:eastAsia="仿宋_GB2312" w:cs="仿宋_GB2312"/>
          <w:b w:val="0"/>
          <w:i w:val="0"/>
          <w:color w:val="000000"/>
          <w:spacing w:val="0"/>
          <w:sz w:val="28"/>
          <w:szCs w:val="28"/>
        </w:rPr>
        <w:t>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20"/>
        <w:jc w:val="left"/>
        <w:textAlignment w:val="auto"/>
        <w:rPr>
          <w:rFonts w:hint="eastAsia" w:ascii="仿宋_GB2312" w:hAnsi="仿宋_GB2312" w:eastAsia="仿宋_GB2312" w:cs="仿宋_GB2312"/>
          <w:b w:val="0"/>
          <w:bCs/>
          <w:color w:val="auto"/>
          <w:spacing w:val="0"/>
          <w:sz w:val="32"/>
          <w:szCs w:val="32"/>
          <w:shd w:val="clear" w:color="000000" w:fill="FFFFFF"/>
          <w:rtl w:val="0"/>
          <w:lang w:val="en-US" w:eastAsia="zh-CN"/>
        </w:rPr>
      </w:pPr>
      <w:r>
        <w:rPr>
          <w:rFonts w:hint="eastAsia" w:ascii="仿宋_GB2312" w:hAnsi="仿宋_GB2312" w:eastAsia="仿宋_GB2312" w:cs="仿宋_GB2312"/>
          <w:b w:val="0"/>
          <w:i w:val="0"/>
          <w:color w:val="000000"/>
          <w:spacing w:val="0"/>
          <w:kern w:val="0"/>
          <w:sz w:val="28"/>
          <w:szCs w:val="28"/>
          <w:lang w:val="en-US" w:eastAsia="zh-CN" w:bidi="ar-SA"/>
        </w:rPr>
        <w:t>2020年主要存在的问题。一是公开的信息质量还有待于进一步提升。公开的信息主要集中在业务工作上，对政策解读信息较少，公开实效还需进一步加强。二是政务公开信息时有拖延现象，不能满足社会公众的需求。针对以上问题，2021年我局</w:t>
      </w:r>
      <w:r>
        <w:rPr>
          <w:rFonts w:hint="eastAsia" w:ascii="仿宋" w:hAnsi="仿宋" w:eastAsia="仿宋" w:cs="仿宋"/>
          <w:b w:val="0"/>
          <w:bCs/>
          <w:color w:val="auto"/>
          <w:spacing w:val="0"/>
          <w:sz w:val="32"/>
          <w:szCs w:val="32"/>
          <w:shd w:val="clear" w:color="000000" w:fill="FFFFFF"/>
          <w:rtl w:val="0"/>
          <w:lang w:val="en-US" w:eastAsia="zh-CN"/>
        </w:rPr>
        <w:t>通过会议、培训等机会，加大宣传教育力度，提高各科室对政务公开的认识，</w:t>
      </w:r>
      <w:r>
        <w:rPr>
          <w:rFonts w:hint="eastAsia" w:ascii="仿宋_GB2312" w:hAnsi="仿宋_GB2312" w:eastAsia="仿宋_GB2312" w:cs="仿宋_GB2312"/>
          <w:b w:val="0"/>
          <w:bCs/>
          <w:color w:val="auto"/>
          <w:spacing w:val="0"/>
          <w:sz w:val="32"/>
          <w:szCs w:val="32"/>
          <w:shd w:val="clear" w:color="000000" w:fill="FFFFFF"/>
          <w:rtl w:val="0"/>
          <w:lang w:val="en-US" w:eastAsia="zh-CN"/>
        </w:rPr>
        <w:t>组织各科室人员学习《山东省人民政府办公厅关于进一步规范和加强政策解读工作的通知》及省厅相关通知要求，进一步对文件、会议、工作情况进行细化解读。要求对照《通知》列出的解读材料要素，结合相关政策的实际情况确定解读内容，及时发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left="0" w:right="0" w:firstLine="645"/>
        <w:jc w:val="left"/>
        <w:textAlignment w:val="auto"/>
        <w:rPr>
          <w:rFonts w:hint="eastAsia" w:ascii="仿宋_GB2312" w:hAnsi="仿宋_GB2312" w:eastAsia="仿宋_GB2312" w:cs="仿宋_GB2312"/>
          <w:b w:val="0"/>
          <w:i w:val="0"/>
          <w:color w:val="000000"/>
          <w:spacing w:val="0"/>
          <w:kern w:val="0"/>
          <w:sz w:val="28"/>
          <w:szCs w:val="28"/>
          <w:lang w:val="en-US" w:eastAsia="zh-CN" w:bidi="ar-SA"/>
        </w:rPr>
      </w:pPr>
      <w:r>
        <w:rPr>
          <w:rFonts w:hint="eastAsia" w:ascii="仿宋_GB2312" w:hAnsi="仿宋_GB2312" w:eastAsia="仿宋_GB2312" w:cs="仿宋_GB2312"/>
          <w:b w:val="0"/>
          <w:i w:val="0"/>
          <w:color w:val="000000"/>
          <w:spacing w:val="0"/>
          <w:kern w:val="0"/>
          <w:sz w:val="28"/>
          <w:szCs w:val="28"/>
          <w:lang w:val="en-US" w:eastAsia="zh-CN" w:bidi="ar-SA"/>
        </w:rPr>
        <w:t>2021年，济宁市生态环境局汶上县分局政务公开工作水平进一步提升，但仍存在一些不足。一是栏目设置不清晰，不方便查找等情况；二是公开内容待进一步丰富。三是政策解读形式单一等情况。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left="0" w:right="0" w:firstLine="570"/>
        <w:jc w:val="left"/>
        <w:textAlignment w:val="auto"/>
        <w:rPr>
          <w:rFonts w:hint="default" w:ascii="仿宋_GB2312" w:hAnsi="仿宋_GB2312" w:eastAsia="仿宋_GB2312" w:cs="仿宋_GB2312"/>
          <w:b w:val="0"/>
          <w:bCs/>
          <w:color w:val="auto"/>
          <w:spacing w:val="0"/>
          <w:sz w:val="32"/>
          <w:szCs w:val="32"/>
          <w:shd w:val="clear" w:color="000000" w:fill="FFFFFF"/>
          <w:rtl w:val="0"/>
          <w:lang w:val="en-US" w:eastAsia="zh-CN"/>
        </w:rPr>
      </w:pPr>
      <w:r>
        <w:rPr>
          <w:rFonts w:hint="eastAsia" w:ascii="仿宋_GB2312" w:hAnsi="仿宋_GB2312" w:eastAsia="仿宋_GB2312" w:cs="仿宋_GB2312"/>
          <w:b w:val="0"/>
          <w:i w:val="0"/>
          <w:color w:val="000000"/>
          <w:spacing w:val="0"/>
          <w:kern w:val="0"/>
          <w:sz w:val="28"/>
          <w:szCs w:val="28"/>
          <w:lang w:val="en-US" w:eastAsia="zh-CN" w:bidi="ar-SA"/>
        </w:rPr>
        <w:t>针对以上问题，下一步，我局将加强网站建设，向优秀地市学习政务公开经验，优化栏目，规范公开内容；建立健全信息公开制度，深入推进单位信息公开；丰富政策文件解读方式，制作音频动漫等方式解读，加强环境领域信息公开，以公开提升群众满意度，促进环境质量持续改善。</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六、其他需要报告的事项</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（一）我局本年度没有产生信息公开处理费。</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r>
        <w:rPr>
          <w:rFonts w:hint="eastAsia" w:ascii="仿宋_GB2312" w:hAnsi="仿宋_GB2312" w:eastAsia="仿宋_GB2312" w:cs="仿宋_GB2312"/>
          <w:b w:val="0"/>
          <w:i w:val="0"/>
          <w:color w:val="000000"/>
          <w:spacing w:val="0"/>
          <w:sz w:val="28"/>
          <w:szCs w:val="28"/>
        </w:rPr>
        <w:t>（二）</w:t>
      </w:r>
      <w:r>
        <w:rPr>
          <w:rFonts w:hint="eastAsia" w:ascii="仿宋_GB2312" w:hAnsi="仿宋_GB2312" w:eastAsia="仿宋_GB2312" w:cs="仿宋_GB2312"/>
          <w:b w:val="0"/>
          <w:i w:val="0"/>
          <w:color w:val="000000"/>
          <w:spacing w:val="0"/>
          <w:sz w:val="28"/>
          <w:szCs w:val="28"/>
          <w:lang w:eastAsia="zh-CN"/>
        </w:rPr>
        <w:t>落实上级年度政务公开工作要点情况。</w:t>
      </w:r>
      <w:r>
        <w:rPr>
          <w:rFonts w:hint="eastAsia" w:ascii="仿宋_GB2312" w:hAnsi="仿宋_GB2312" w:eastAsia="仿宋_GB2312" w:cs="仿宋_GB2312"/>
          <w:b w:val="0"/>
          <w:i w:val="0"/>
          <w:color w:val="000000"/>
          <w:spacing w:val="0"/>
          <w:sz w:val="28"/>
          <w:szCs w:val="28"/>
        </w:rPr>
        <w:t>我局高度重视政务公开工作，严格落实县委县政府工作要求，完成了以下政务公开工作：</w:t>
      </w:r>
      <w:r>
        <w:rPr>
          <w:rFonts w:hint="eastAsia" w:ascii="仿宋_GB2312" w:hAnsi="仿宋_GB2312" w:eastAsia="仿宋_GB2312" w:cs="仿宋_GB2312"/>
          <w:b w:val="0"/>
          <w:i w:val="0"/>
          <w:color w:val="000000"/>
          <w:spacing w:val="0"/>
          <w:kern w:val="0"/>
          <w:sz w:val="28"/>
          <w:szCs w:val="28"/>
          <w:lang w:val="en-US" w:eastAsia="zh-CN" w:bidi="ar-SA"/>
        </w:rPr>
        <w:t>主动公开深入推进“四减四增”，打好蓝天、碧水、净土保卫战。围绕空气提优，压实21条工作专线职责，深度治理燃煤、扬尘、移动源污染，全面淘汰国Ⅲ及以下柴油货车，实现化工企业达标排放监测全覆盖，确保空气质量持续好转、优良天数持续增加。围绕水体提标，深入落实河长制，抓好河流断面水质管控，严厉打击偷排偷放行为，确保水质稳定达标；加强污水处理厂运营管理，治理农村废旧坑塘，确保饮用水水源地水质安全。严把生态保护红线、环境质量底线和资源利用上线，严控产业导向、项目准入、节能减排“三个关口”，大力发展循环经济、低碳经济，严防高耗能、高污染项目落户，提高经济发展“含绿量”。倡导绿色低碳生活，开展生态文明创建，让勤俭节约、低碳绿色、健康文明的生活方式成为新风尚。加大环境执法力度，严厉打击破坏生态行为。</w:t>
      </w:r>
      <w:r>
        <w:rPr>
          <w:rFonts w:hint="eastAsia" w:ascii="仿宋_GB2312" w:hAnsi="仿宋_GB2312" w:eastAsia="仿宋_GB2312" w:cs="仿宋_GB2312"/>
          <w:b w:val="0"/>
          <w:i w:val="0"/>
          <w:color w:val="000000"/>
          <w:spacing w:val="0"/>
          <w:sz w:val="28"/>
          <w:szCs w:val="28"/>
        </w:rPr>
        <w:t>加</w:t>
      </w:r>
      <w:bookmarkStart w:id="0" w:name="_GoBack"/>
      <w:bookmarkEnd w:id="0"/>
      <w:r>
        <w:rPr>
          <w:rFonts w:hint="eastAsia" w:ascii="仿宋_GB2312" w:hAnsi="仿宋_GB2312" w:eastAsia="仿宋_GB2312" w:cs="仿宋_GB2312"/>
          <w:b w:val="0"/>
          <w:i w:val="0"/>
          <w:color w:val="000000"/>
          <w:spacing w:val="0"/>
          <w:sz w:val="28"/>
          <w:szCs w:val="28"/>
        </w:rPr>
        <w:t>强政务公开宣传，营造良好的公开氛围；完善政务公开培训工作，做好培训组织。</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lang w:eastAsia="zh-CN"/>
        </w:rPr>
      </w:pPr>
      <w:r>
        <w:rPr>
          <w:rFonts w:hint="eastAsia" w:ascii="仿宋_GB2312" w:hAnsi="仿宋_GB2312" w:eastAsia="仿宋_GB2312" w:cs="仿宋_GB2312"/>
          <w:b w:val="0"/>
          <w:i w:val="0"/>
          <w:color w:val="000000"/>
          <w:spacing w:val="0"/>
          <w:sz w:val="28"/>
          <w:szCs w:val="28"/>
        </w:rPr>
        <w:t>（三）</w:t>
      </w:r>
      <w:r>
        <w:rPr>
          <w:rFonts w:hint="eastAsia" w:ascii="仿宋_GB2312" w:hAnsi="仿宋_GB2312" w:eastAsia="仿宋_GB2312" w:cs="仿宋_GB2312"/>
          <w:b w:val="0"/>
          <w:i w:val="0"/>
          <w:color w:val="000000"/>
          <w:spacing w:val="0"/>
          <w:sz w:val="28"/>
          <w:szCs w:val="28"/>
          <w:lang w:eastAsia="zh-CN"/>
        </w:rPr>
        <w:t>人大代表建议和政提案办理结果公开情况。</w:t>
      </w:r>
      <w:r>
        <w:rPr>
          <w:rFonts w:hint="eastAsia" w:ascii="仿宋_GB2312" w:hAnsi="仿宋_GB2312" w:eastAsia="仿宋_GB2312" w:cs="仿宋_GB2312"/>
          <w:b w:val="0"/>
          <w:i w:val="0"/>
          <w:color w:val="000000"/>
          <w:spacing w:val="0"/>
          <w:sz w:val="28"/>
          <w:szCs w:val="28"/>
        </w:rPr>
        <w:t>2021年，我局共承办人大代表建议和政协委员提案</w:t>
      </w:r>
      <w:r>
        <w:rPr>
          <w:rFonts w:hint="eastAsia" w:ascii="仿宋_GB2312" w:hAnsi="仿宋_GB2312" w:eastAsia="仿宋_GB2312" w:cs="仿宋_GB2312"/>
          <w:b w:val="0"/>
          <w:i w:val="0"/>
          <w:color w:val="000000"/>
          <w:spacing w:val="0"/>
          <w:sz w:val="28"/>
          <w:szCs w:val="28"/>
          <w:lang w:val="en-US" w:eastAsia="zh-CN"/>
        </w:rPr>
        <w:t>5</w:t>
      </w:r>
      <w:r>
        <w:rPr>
          <w:rFonts w:hint="eastAsia" w:ascii="仿宋_GB2312" w:hAnsi="仿宋_GB2312" w:eastAsia="仿宋_GB2312" w:cs="仿宋_GB2312"/>
          <w:b w:val="0"/>
          <w:i w:val="0"/>
          <w:color w:val="000000"/>
          <w:spacing w:val="0"/>
          <w:sz w:val="28"/>
          <w:szCs w:val="28"/>
        </w:rPr>
        <w:t>件。其中：县人大代表建议</w:t>
      </w:r>
      <w:r>
        <w:rPr>
          <w:rFonts w:hint="eastAsia" w:ascii="仿宋_GB2312" w:hAnsi="仿宋_GB2312" w:eastAsia="仿宋_GB2312" w:cs="仿宋_GB2312"/>
          <w:b w:val="0"/>
          <w:i w:val="0"/>
          <w:color w:val="000000"/>
          <w:spacing w:val="0"/>
          <w:sz w:val="28"/>
          <w:szCs w:val="28"/>
          <w:lang w:val="en-US" w:eastAsia="zh-CN"/>
        </w:rPr>
        <w:t>1</w:t>
      </w:r>
      <w:r>
        <w:rPr>
          <w:rFonts w:hint="eastAsia" w:ascii="仿宋_GB2312" w:hAnsi="仿宋_GB2312" w:eastAsia="仿宋_GB2312" w:cs="仿宋_GB2312"/>
          <w:b w:val="0"/>
          <w:i w:val="0"/>
          <w:color w:val="000000"/>
          <w:spacing w:val="0"/>
          <w:sz w:val="28"/>
          <w:szCs w:val="28"/>
        </w:rPr>
        <w:t>件；县政协委员提案</w:t>
      </w:r>
      <w:r>
        <w:rPr>
          <w:rFonts w:hint="eastAsia" w:ascii="仿宋_GB2312" w:hAnsi="仿宋_GB2312" w:eastAsia="仿宋_GB2312" w:cs="仿宋_GB2312"/>
          <w:b w:val="0"/>
          <w:i w:val="0"/>
          <w:color w:val="000000"/>
          <w:spacing w:val="0"/>
          <w:sz w:val="28"/>
          <w:szCs w:val="28"/>
          <w:lang w:val="en-US" w:eastAsia="zh-CN"/>
        </w:rPr>
        <w:t>4</w:t>
      </w:r>
      <w:r>
        <w:rPr>
          <w:rFonts w:hint="eastAsia" w:ascii="仿宋_GB2312" w:hAnsi="仿宋_GB2312" w:eastAsia="仿宋_GB2312" w:cs="仿宋_GB2312"/>
          <w:b w:val="0"/>
          <w:i w:val="0"/>
          <w:color w:val="000000"/>
          <w:spacing w:val="0"/>
          <w:sz w:val="28"/>
          <w:szCs w:val="28"/>
        </w:rPr>
        <w:t>件；2021年本单位未承办省级、市级人大代表建议和政协委员提案。我局承办的</w:t>
      </w:r>
      <w:r>
        <w:rPr>
          <w:rFonts w:hint="eastAsia" w:ascii="仿宋_GB2312" w:hAnsi="仿宋_GB2312" w:eastAsia="仿宋_GB2312" w:cs="仿宋_GB2312"/>
          <w:b w:val="0"/>
          <w:i w:val="0"/>
          <w:color w:val="000000"/>
          <w:spacing w:val="0"/>
          <w:sz w:val="28"/>
          <w:szCs w:val="28"/>
          <w:lang w:val="en-US" w:eastAsia="zh-CN"/>
        </w:rPr>
        <w:t>5</w:t>
      </w:r>
      <w:r>
        <w:rPr>
          <w:rFonts w:hint="eastAsia" w:ascii="仿宋_GB2312" w:hAnsi="仿宋_GB2312" w:eastAsia="仿宋_GB2312" w:cs="仿宋_GB2312"/>
          <w:b w:val="0"/>
          <w:i w:val="0"/>
          <w:color w:val="000000"/>
          <w:spacing w:val="0"/>
          <w:sz w:val="28"/>
          <w:szCs w:val="28"/>
        </w:rPr>
        <w:t>件人大建议和政协委员提案均已全部按期答复办理</w:t>
      </w:r>
      <w:r>
        <w:rPr>
          <w:rFonts w:hint="eastAsia" w:ascii="仿宋_GB2312" w:hAnsi="仿宋_GB2312" w:eastAsia="仿宋_GB2312" w:cs="仿宋_GB2312"/>
          <w:b w:val="0"/>
          <w:i w:val="0"/>
          <w:color w:val="000000"/>
          <w:spacing w:val="0"/>
          <w:sz w:val="28"/>
          <w:szCs w:val="28"/>
          <w:lang w:eastAsia="zh-CN"/>
        </w:rPr>
        <w:t>，并都在汶上县政府网站政府信息公开栏目公开。</w:t>
      </w: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color w:val="000000"/>
          <w:spacing w:val="0"/>
          <w:w w:val="100"/>
          <w:position w:val="0"/>
          <w:sz w:val="28"/>
          <w:szCs w:val="28"/>
        </w:rPr>
      </w:pPr>
      <w:r>
        <w:rPr>
          <w:rFonts w:hint="eastAsia" w:ascii="仿宋_GB2312" w:hAnsi="仿宋_GB2312" w:eastAsia="仿宋_GB2312" w:cs="仿宋_GB2312"/>
          <w:b w:val="0"/>
          <w:i w:val="0"/>
          <w:color w:val="000000"/>
          <w:spacing w:val="0"/>
          <w:sz w:val="28"/>
          <w:szCs w:val="28"/>
        </w:rPr>
        <w:t>（四）</w:t>
      </w:r>
      <w:r>
        <w:rPr>
          <w:rFonts w:hint="eastAsia" w:ascii="仿宋_GB2312" w:hAnsi="仿宋_GB2312" w:eastAsia="仿宋_GB2312" w:cs="仿宋_GB2312"/>
          <w:b w:val="0"/>
          <w:i w:val="0"/>
          <w:color w:val="000000"/>
          <w:spacing w:val="0"/>
          <w:sz w:val="28"/>
          <w:szCs w:val="28"/>
          <w:lang w:val="en-US" w:eastAsia="zh-CN"/>
        </w:rPr>
        <w:t>2021</w:t>
      </w:r>
      <w:r>
        <w:rPr>
          <w:rFonts w:hint="eastAsia" w:ascii="仿宋_GB2312" w:hAnsi="仿宋_GB2312" w:eastAsia="仿宋_GB2312" w:cs="仿宋_GB2312"/>
          <w:b w:val="0"/>
          <w:i w:val="0"/>
          <w:color w:val="000000"/>
          <w:spacing w:val="0"/>
          <w:sz w:val="28"/>
          <w:szCs w:val="28"/>
          <w:lang w:eastAsia="zh-CN"/>
        </w:rPr>
        <w:t>年度政务公开工作创新情况。</w:t>
      </w:r>
      <w:r>
        <w:rPr>
          <w:rFonts w:hint="eastAsia" w:ascii="仿宋_GB2312" w:hAnsi="仿宋_GB2312" w:eastAsia="仿宋_GB2312" w:cs="仿宋_GB2312"/>
          <w:b w:val="0"/>
          <w:i w:val="0"/>
          <w:color w:val="000000"/>
          <w:spacing w:val="0"/>
          <w:sz w:val="28"/>
          <w:szCs w:val="28"/>
        </w:rPr>
        <w:t>我局采取多种措施，大力推进政务公开工作。</w:t>
      </w:r>
      <w:r>
        <w:rPr>
          <w:rFonts w:hint="eastAsia" w:ascii="仿宋_GB2312" w:hAnsi="仿宋_GB2312" w:eastAsia="仿宋_GB2312" w:cs="仿宋_GB2312"/>
          <w:color w:val="000000"/>
          <w:spacing w:val="0"/>
          <w:w w:val="100"/>
          <w:position w:val="0"/>
          <w:sz w:val="28"/>
          <w:szCs w:val="28"/>
          <w:lang w:eastAsia="zh-CN"/>
        </w:rPr>
        <w:t>一是“政务公开</w:t>
      </w:r>
      <w:r>
        <w:rPr>
          <w:rFonts w:hint="eastAsia" w:ascii="仿宋_GB2312" w:hAnsi="仿宋_GB2312" w:eastAsia="仿宋_GB2312" w:cs="仿宋_GB2312"/>
          <w:color w:val="000000"/>
          <w:spacing w:val="0"/>
          <w:w w:val="100"/>
          <w:position w:val="0"/>
          <w:sz w:val="28"/>
          <w:szCs w:val="28"/>
          <w:lang w:val="en-US" w:eastAsia="zh-CN"/>
        </w:rPr>
        <w:t>+热线</w:t>
      </w:r>
      <w:r>
        <w:rPr>
          <w:rFonts w:hint="eastAsia" w:ascii="仿宋_GB2312" w:hAnsi="仿宋_GB2312" w:eastAsia="仿宋_GB2312" w:cs="仿宋_GB2312"/>
          <w:color w:val="000000"/>
          <w:spacing w:val="0"/>
          <w:w w:val="100"/>
          <w:position w:val="0"/>
          <w:sz w:val="28"/>
          <w:szCs w:val="28"/>
          <w:lang w:eastAsia="zh-CN"/>
        </w:rPr>
        <w:t>”。</w:t>
      </w:r>
      <w:r>
        <w:rPr>
          <w:rFonts w:hint="eastAsia" w:ascii="仿宋_GB2312" w:hAnsi="仿宋_GB2312" w:eastAsia="仿宋_GB2312" w:cs="仿宋_GB2312"/>
          <w:color w:val="000000"/>
          <w:spacing w:val="0"/>
          <w:w w:val="100"/>
          <w:position w:val="0"/>
          <w:sz w:val="28"/>
          <w:szCs w:val="28"/>
        </w:rPr>
        <w:t>设置了2部民情信访举报电</w:t>
      </w:r>
      <w:r>
        <w:rPr>
          <w:rFonts w:hint="eastAsia" w:ascii="仿宋_GB2312" w:hAnsi="仿宋_GB2312" w:eastAsia="仿宋_GB2312" w:cs="仿宋_GB2312"/>
          <w:color w:val="000000"/>
          <w:spacing w:val="0"/>
          <w:w w:val="100"/>
          <w:position w:val="0"/>
          <w:sz w:val="28"/>
          <w:szCs w:val="28"/>
          <w:lang w:eastAsia="zh-CN"/>
        </w:rPr>
        <w:t>话。</w:t>
      </w:r>
      <w:r>
        <w:rPr>
          <w:rFonts w:hint="eastAsia" w:ascii="仿宋_GB2312" w:hAnsi="仿宋_GB2312" w:eastAsia="仿宋_GB2312" w:cs="仿宋_GB2312"/>
          <w:color w:val="000000"/>
          <w:spacing w:val="0"/>
          <w:w w:val="100"/>
          <w:position w:val="0"/>
          <w:sz w:val="28"/>
          <w:szCs w:val="28"/>
          <w:lang w:val="zh-TW" w:eastAsia="zh-CN"/>
        </w:rPr>
        <w:t>二是“政务公开</w:t>
      </w:r>
      <w:r>
        <w:rPr>
          <w:rFonts w:hint="eastAsia" w:ascii="仿宋_GB2312" w:hAnsi="仿宋_GB2312" w:eastAsia="仿宋_GB2312" w:cs="仿宋_GB2312"/>
          <w:color w:val="000000"/>
          <w:spacing w:val="0"/>
          <w:w w:val="100"/>
          <w:position w:val="0"/>
          <w:sz w:val="28"/>
          <w:szCs w:val="28"/>
          <w:lang w:val="en-US" w:eastAsia="zh-CN"/>
        </w:rPr>
        <w:t>+调度</w:t>
      </w:r>
      <w:r>
        <w:rPr>
          <w:rFonts w:hint="eastAsia" w:ascii="仿宋_GB2312" w:hAnsi="仿宋_GB2312" w:eastAsia="仿宋_GB2312" w:cs="仿宋_GB2312"/>
          <w:color w:val="000000"/>
          <w:spacing w:val="0"/>
          <w:w w:val="100"/>
          <w:position w:val="0"/>
          <w:sz w:val="28"/>
          <w:szCs w:val="28"/>
          <w:lang w:val="zh-TW" w:eastAsia="zh-CN"/>
        </w:rPr>
        <w:t>”。以信访科和环保综合调度指挥中心为主体的民情信访工作专班，不断优化信访办理流程，全天候、不间断24小时有人接听群众的民情诉求，</w:t>
      </w:r>
      <w:r>
        <w:rPr>
          <w:rFonts w:hint="eastAsia" w:ascii="仿宋_GB2312" w:hAnsi="仿宋_GB2312" w:eastAsia="仿宋_GB2312" w:cs="仿宋_GB2312"/>
          <w:color w:val="000000"/>
          <w:spacing w:val="0"/>
          <w:w w:val="100"/>
          <w:position w:val="0"/>
          <w:sz w:val="28"/>
          <w:szCs w:val="28"/>
        </w:rPr>
        <w:t>妥善解决群众关心关注、直接影响人民群众生产生活的环境突出问题，提高群众满意率。</w:t>
      </w:r>
    </w:p>
    <w:p>
      <w:pPr>
        <w:pStyle w:val="7"/>
        <w:keepNext w:val="0"/>
        <w:keepLines w:val="0"/>
        <w:widowControl w:val="0"/>
        <w:shd w:val="clear" w:color="auto" w:fill="auto"/>
        <w:bidi w:val="0"/>
        <w:adjustRightInd/>
        <w:snapToGrid/>
        <w:spacing w:before="0" w:after="0" w:line="601" w:lineRule="exact"/>
        <w:ind w:right="0"/>
        <w:jc w:val="both"/>
        <w:rPr>
          <w:rFonts w:hint="default" w:ascii="仿宋_GB2312" w:hAnsi="仿宋_GB2312" w:eastAsia="仿宋_GB2312" w:cs="仿宋_GB2312"/>
          <w:color w:val="FF0000"/>
          <w:spacing w:val="0"/>
          <w:w w:val="100"/>
          <w:position w:val="0"/>
          <w:sz w:val="28"/>
          <w:szCs w:val="28"/>
          <w:lang w:val="en-US" w:eastAsia="zh-CN"/>
        </w:rPr>
      </w:pP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FF0000"/>
          <w:spacing w:val="0"/>
          <w:sz w:val="28"/>
          <w:szCs w:val="28"/>
        </w:rPr>
      </w:pPr>
    </w:p>
    <w:p>
      <w:pPr>
        <w:keepNext w:val="0"/>
        <w:keepLines w:val="0"/>
        <w:pageBreakBefore w:val="0"/>
        <w:widowControl/>
        <w:kinsoku/>
        <w:wordWrap/>
        <w:overflowPunct/>
        <w:topLinePunct w:val="0"/>
        <w:autoSpaceDE/>
        <w:autoSpaceDN/>
        <w:bidi w:val="0"/>
        <w:adjustRightInd/>
        <w:snapToGrid w:val="0"/>
        <w:spacing w:before="0" w:after="0" w:line="600" w:lineRule="exact"/>
        <w:ind w:left="0" w:right="0" w:firstLine="0"/>
        <w:jc w:val="left"/>
        <w:textAlignment w:val="auto"/>
        <w:rPr>
          <w:rFonts w:hint="eastAsia" w:ascii="仿宋_GB2312" w:hAnsi="仿宋_GB2312" w:eastAsia="仿宋_GB2312" w:cs="仿宋_GB2312"/>
          <w:b w:val="0"/>
          <w:i w:val="0"/>
          <w:color w:val="000000"/>
          <w:spacing w:val="0"/>
          <w:sz w:val="28"/>
          <w:szCs w:val="28"/>
        </w:rPr>
      </w:pPr>
    </w:p>
    <w:sectPr>
      <w:pgSz w:w="11906" w:h="16838"/>
      <w:pgMar w:top="1440" w:right="1800" w:bottom="1440" w:left="1800" w:header="708" w:footer="708"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34"/>
    <w:family w:val="swiss"/>
    <w:pitch w:val="default"/>
    <w:sig w:usb0="80000287" w:usb1="280F3C52"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FD2015"/>
    <w:multiLevelType w:val="singleLevel"/>
    <w:tmpl w:val="DFFD201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
  <w:rsids>
    <w:rsidRoot w:val="00000000"/>
    <w:rsid w:val="021919A7"/>
    <w:rsid w:val="026B31F6"/>
    <w:rsid w:val="03B73BFA"/>
    <w:rsid w:val="07823E27"/>
    <w:rsid w:val="079D5D63"/>
    <w:rsid w:val="09767E52"/>
    <w:rsid w:val="09934F21"/>
    <w:rsid w:val="09AD2310"/>
    <w:rsid w:val="0FE24EB5"/>
    <w:rsid w:val="117F4CD5"/>
    <w:rsid w:val="11B4707B"/>
    <w:rsid w:val="126C7DD8"/>
    <w:rsid w:val="16B10B5A"/>
    <w:rsid w:val="18B23944"/>
    <w:rsid w:val="18C2715D"/>
    <w:rsid w:val="1A80302D"/>
    <w:rsid w:val="21F30F32"/>
    <w:rsid w:val="22FE1A90"/>
    <w:rsid w:val="29D66FC3"/>
    <w:rsid w:val="2B4A1B35"/>
    <w:rsid w:val="2C3D2AC1"/>
    <w:rsid w:val="2CAD747D"/>
    <w:rsid w:val="2D564B80"/>
    <w:rsid w:val="2EFD6983"/>
    <w:rsid w:val="2F9101C0"/>
    <w:rsid w:val="2FBE7390"/>
    <w:rsid w:val="3A625B09"/>
    <w:rsid w:val="3D081531"/>
    <w:rsid w:val="3F5349FF"/>
    <w:rsid w:val="40C95053"/>
    <w:rsid w:val="421B06B8"/>
    <w:rsid w:val="47680CAC"/>
    <w:rsid w:val="4A637D5F"/>
    <w:rsid w:val="4B2D0ACC"/>
    <w:rsid w:val="4B475E4A"/>
    <w:rsid w:val="4CBA230F"/>
    <w:rsid w:val="4ECA553F"/>
    <w:rsid w:val="504F1CF0"/>
    <w:rsid w:val="50D67719"/>
    <w:rsid w:val="510A3C6F"/>
    <w:rsid w:val="51FF5561"/>
    <w:rsid w:val="543771EB"/>
    <w:rsid w:val="5A027EF7"/>
    <w:rsid w:val="5DC93F65"/>
    <w:rsid w:val="5E136F89"/>
    <w:rsid w:val="5FEA68A0"/>
    <w:rsid w:val="688A69A1"/>
    <w:rsid w:val="69315EE3"/>
    <w:rsid w:val="695A263A"/>
    <w:rsid w:val="6E5A0083"/>
    <w:rsid w:val="72220D30"/>
    <w:rsid w:val="73FC5BC2"/>
    <w:rsid w:val="78804F3C"/>
    <w:rsid w:val="7DB26409"/>
    <w:rsid w:val="7DC2717C"/>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2"/>
  </w:style>
  <w:style w:type="table" w:default="1" w:styleId="3">
    <w:name w:val="Normal Table"/>
    <w:semiHidden/>
    <w:unhideWhenUsed/>
    <w:qFormat/>
    <w:uiPriority w:val="3"/>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paragraph" w:customStyle="1" w:styleId="7">
    <w:name w:val="Body text|1"/>
    <w:basedOn w:val="1"/>
    <w:qFormat/>
    <w:uiPriority w:val="0"/>
    <w:pPr>
      <w:widowControl w:val="0"/>
      <w:shd w:val="clear" w:color="auto" w:fill="auto"/>
      <w:spacing w:after="220" w:line="408"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0</Words>
  <Characters>0</Characters>
  <Lines>1</Lines>
  <Paragraphs>1</Paragraphs>
  <TotalTime>11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2022-01-19T02:20:00Z</dcterms:created>
  <dc:creator>Administrator</dc:creator>
  <cp:lastModifiedBy>Administrator</cp:lastModifiedBy>
  <dcterms:modified xsi:type="dcterms:W3CDTF">2022-01-25T02:19:25Z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5B60DB25BAD040AFA968380831140FE2</vt:lpwstr>
  </property>
</Properties>
</file>