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9C6CC"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kern w:val="0"/>
          <w:sz w:val="44"/>
          <w:szCs w:val="44"/>
          <w:lang w:val="en-US" w:eastAsia="zh-CN" w:bidi="ar-SA"/>
        </w:rPr>
        <w:t>寅寺镇人民政府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</w:rPr>
        <w:t>年政府信息公开</w:t>
      </w:r>
    </w:p>
    <w:p w14:paraId="49BB82F8"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</w:rPr>
        <w:t>工作年度报告</w:t>
      </w:r>
    </w:p>
    <w:p w14:paraId="27F9B6D3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</w:p>
    <w:p w14:paraId="7E134C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3" w:firstLineChars="200"/>
        <w:textAlignment w:val="auto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寅寺镇人民政府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2B763F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3" w:firstLineChars="200"/>
        <w:textAlignment w:val="auto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7EF282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3" w:firstLineChars="200"/>
        <w:textAlignment w:val="auto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年1月1日起至202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”政府门户网站（具体网址）查阅或下载。如对本报告有疑问，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请与寅寺镇人民政府联系（地址：汶上县寅寺镇南郭线412号，联系电话：0537-7014101）。</w:t>
      </w:r>
    </w:p>
    <w:p w14:paraId="2DAE00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3" w:firstLineChars="200"/>
        <w:textAlignment w:val="auto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一、总体情况</w:t>
      </w:r>
    </w:p>
    <w:p w14:paraId="0FFE0A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3" w:firstLineChars="200"/>
        <w:textAlignment w:val="auto"/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为全面贯彻落实政府信息公开工作，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寅寺镇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人民政府秉承“以公开为常态、不公开为例外”的原则，紧密围绕构建服务型政府的目标，持续强化政府信息公开力度，深化政府信息公开程度。</w:t>
      </w:r>
    </w:p>
    <w:p w14:paraId="225A3D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3" w:firstLineChars="200"/>
        <w:textAlignment w:val="auto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（一）主动公开情况</w:t>
      </w:r>
    </w:p>
    <w:p w14:paraId="3C44B90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rightChars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年，我镇根据实际情况，进一步健全完善镇政务信息公开制度，积极回应群众关切。202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年，通过政府网站主动公开信息共条，通过省级以上融媒体发文推广904篇新闻稿件，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其中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重点央媒发表43篇，省级报刊48篇，市级电视新闻发表31篇。</w:t>
      </w:r>
    </w:p>
    <w:p w14:paraId="6F60FD2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atLeast"/>
        <w:ind w:left="0" w:right="0" w:firstLine="643" w:firstLineChars="200"/>
        <w:jc w:val="left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drawing>
          <wp:inline distT="0" distB="0" distL="114300" distR="114300">
            <wp:extent cx="4648200" cy="2956560"/>
            <wp:effectExtent l="0" t="0" r="0" b="15240"/>
            <wp:docPr id="1" name="图片 1" descr="1736391221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363912213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94CB9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（二）依申请公开情况</w:t>
      </w:r>
    </w:p>
    <w:p w14:paraId="1ECBBD8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atLeast"/>
        <w:ind w:left="0" w:right="0" w:firstLine="643" w:firstLineChars="200"/>
        <w:jc w:val="left"/>
        <w:textAlignment w:val="auto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2024年全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镇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共收到依申请公开件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件，共办理完成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件，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寅寺镇人民政府将持续完善依申请公开工作机制，明确各工作人员职责按程序进行受理、答复。</w:t>
      </w:r>
    </w:p>
    <w:p w14:paraId="79E23FE9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（三）政府信息管理情况</w:t>
      </w:r>
    </w:p>
    <w:p w14:paraId="706F52DD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寅寺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镇深入贯彻执行政府信息发布审核制度，安排专职人员对信息平台实施管理。在发布信息过程中，严格依照《中华人民共和国政府信息公开条例》及其他相关法规，开展政府信息公开保密审查工作。同时，强化政府信息公开内容建设，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积极开展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政务公开培训工作</w:t>
      </w:r>
      <w:r>
        <w:rPr>
          <w:rFonts w:hint="eastAsia" w:eastAsia="仿宋_GB2312" w:cs="Times New Roman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不断提升工作人员的专业素养</w:t>
      </w:r>
      <w:r>
        <w:rPr>
          <w:rFonts w:hint="eastAsia" w:eastAsia="仿宋_GB2312" w:cs="Times New Roman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确保政府信息公开内容的更新速度和准确程度，实现信息的全面性、真实性、及时性。</w:t>
      </w:r>
    </w:p>
    <w:p w14:paraId="67B34BF7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（四）政府信息公开平台建设情况</w:t>
      </w:r>
    </w:p>
    <w:p w14:paraId="1BF35FB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atLeast"/>
        <w:ind w:left="0" w:right="0" w:firstLine="643" w:firstLineChars="200"/>
        <w:jc w:val="left"/>
        <w:textAlignment w:val="auto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</w:rPr>
        <w:t>我镇主要依托政府网站、政务号等平台对外宣传，重点公开惠民政策、养老服务、社会救助、医疗卫生等涉及基层群众利益方面的信息，及时补充完善相关内容。安排专人负责信息编辑工作，所有公开信息均需经过严格的审核与修改流程，确保信息内容准确无误、合法合规，审核通过后才予以发布。在寅寺镇为民服务中心设立了政务公开专区，并配备了政务便民自助查询窗口，极大地方便了群众查询各类信息，提升了群众获取信息的便捷性。</w:t>
      </w:r>
    </w:p>
    <w:p w14:paraId="470C6304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（五）监督保障情况</w:t>
      </w:r>
    </w:p>
    <w:p w14:paraId="2A5C4F2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atLeast"/>
        <w:ind w:left="0" w:right="0" w:firstLine="643" w:firstLineChars="200"/>
        <w:jc w:val="left"/>
        <w:textAlignment w:val="auto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寅寺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镇人民政府严格遵守和贯彻落实《中华人民共和国政府信息公开条例》，确保职责明确，责任到人，细化公开范围，方便公众查询和获取。我镇政务信息公开办公室设在党政办，共有从事政府信息公开工作人员2人，辅助人员</w:t>
      </w: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名，常态化整合、梳理日常政务信息，及时归纳分类，坚持应公尽公，便民惠民</w:t>
      </w:r>
      <w:r>
        <w:rPr>
          <w:rFonts w:hint="eastAsia" w:eastAsia="仿宋_GB2312" w:cs="Times New Roman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确保职责范围内主动公开的政府信息的全面、及时、准确、规范。</w:t>
      </w:r>
    </w:p>
    <w:p w14:paraId="39B4227F">
      <w:pPr>
        <w:spacing w:line="590" w:lineRule="exact"/>
        <w:ind w:right="-100" w:rightChars="-50" w:firstLine="643" w:firstLineChars="200"/>
        <w:rPr>
          <w:rFonts w:hint="eastAsia" w:ascii="黑体" w:eastAsia="黑体"/>
          <w:b/>
          <w:color w:val="000000"/>
          <w:sz w:val="32"/>
          <w:szCs w:val="32"/>
        </w:rPr>
      </w:pPr>
    </w:p>
    <w:p w14:paraId="57C5B97B">
      <w:pPr>
        <w:spacing w:line="590" w:lineRule="exact"/>
        <w:ind w:right="-100" w:rightChars="-50" w:firstLine="643" w:firstLineChars="200"/>
        <w:rPr>
          <w:rFonts w:hint="eastAsia" w:ascii="黑体" w:eastAsia="黑体"/>
          <w:b/>
          <w:color w:val="000000"/>
          <w:sz w:val="32"/>
          <w:szCs w:val="32"/>
        </w:rPr>
      </w:pPr>
    </w:p>
    <w:p w14:paraId="35CD95D1">
      <w:pPr>
        <w:spacing w:line="590" w:lineRule="exact"/>
        <w:ind w:right="-100" w:rightChars="-50" w:firstLine="643" w:firstLineChars="200"/>
        <w:rPr>
          <w:rFonts w:hint="eastAsia" w:ascii="黑体" w:eastAsia="黑体"/>
          <w:b/>
          <w:color w:val="000000"/>
          <w:sz w:val="32"/>
          <w:szCs w:val="32"/>
        </w:rPr>
      </w:pPr>
    </w:p>
    <w:p w14:paraId="0839C1E2">
      <w:pPr>
        <w:spacing w:line="590" w:lineRule="exact"/>
        <w:ind w:right="-100" w:rightChars="-50" w:firstLine="643" w:firstLineChars="200"/>
        <w:rPr>
          <w:rFonts w:hint="eastAsia" w:ascii="黑体" w:eastAsia="黑体"/>
          <w:b/>
          <w:color w:val="000000"/>
          <w:sz w:val="32"/>
          <w:szCs w:val="32"/>
        </w:rPr>
      </w:pPr>
    </w:p>
    <w:p w14:paraId="7221B1B5">
      <w:pPr>
        <w:spacing w:line="590" w:lineRule="exact"/>
        <w:ind w:right="-100" w:rightChars="-50"/>
        <w:rPr>
          <w:rFonts w:hint="eastAsia" w:ascii="黑体" w:eastAsia="黑体"/>
          <w:b/>
          <w:color w:val="000000"/>
          <w:sz w:val="32"/>
          <w:szCs w:val="32"/>
        </w:rPr>
      </w:pPr>
    </w:p>
    <w:p w14:paraId="37EE83BD"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4CC7C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45DCD04">
            <w:pPr>
              <w:widowControl/>
              <w:spacing w:line="340" w:lineRule="exact"/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29A65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360198B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B4EDC04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6007AB3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A1B64CF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77E33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F6A3DCD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0345066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BD00F36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F5B9985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6CAEF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8C1098B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98E5EBA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2EE1DEF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CF4A309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0A8FC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26E3DC5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7088C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D79C770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01C606F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3BC57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1BBE643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34D1A9B">
            <w:pPr>
              <w:widowControl/>
              <w:spacing w:line="340" w:lineRule="exact"/>
              <w:jc w:val="center"/>
              <w:rPr>
                <w:rFonts w:hint="default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eastAsia="仿宋_GB2312"/>
                <w:b/>
                <w:sz w:val="24"/>
                <w:szCs w:val="24"/>
                <w:lang w:val="en-US" w:eastAsia="zh-CN"/>
              </w:rPr>
              <w:t>287</w:t>
            </w:r>
          </w:p>
        </w:tc>
      </w:tr>
      <w:tr w14:paraId="6A94F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88481F9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55CC2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52C1651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E2CE8CF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348E5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3FDFF34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8D5B895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69F3E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CC2CA6D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0F9B17A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26A5F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60A93E0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68DC4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A4F9EB1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F271B6A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5B9E4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7CEFF08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71FF0D3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00D0D01A">
      <w:pPr>
        <w:spacing w:before="62" w:beforeLines="10" w:after="62" w:afterLines="10" w:line="60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5B3DA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9898A82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楷体" w:eastAsia="黑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1B17146D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4EC26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EDB7392">
            <w:pPr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463C834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489EEDC4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704D5AF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34F1F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45044C2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D939D2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AAF7DE0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商业</w:t>
            </w:r>
          </w:p>
          <w:p w14:paraId="55C849D7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89F212A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科研</w:t>
            </w:r>
          </w:p>
          <w:p w14:paraId="454F8D3A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3D3A5BC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DC038F3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9C60D75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7E7D06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</w:tr>
      <w:tr w14:paraId="2C8D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EFE5086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0F41EC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DAB149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691874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F83AAB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7B268F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B6AA11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87295E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25012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3F46095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EED92A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DA3971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40DCEB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75246F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791762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E95E17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59170C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868A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1126E43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0898D1A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26E094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7F8A62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88FB36D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73240BD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674D91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F6748F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8D156A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177B2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CF6CF2F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9956C20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仿宋_GB2312" w:hAnsi="楷体" w:eastAsia="仿宋_GB2312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DDB241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E8797B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E0F790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54049A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002BD4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287D8D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8D54CE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1307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ADA4EE9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C73B345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F3269D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469ABF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B4AA46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065825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F37F7C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75800F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4A736F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FA29C9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4BF9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CAF6B7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606EC7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E924A34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6D9310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D2037D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41D993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DE02AF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54C5EB5">
            <w:pPr>
              <w:widowControl/>
              <w:spacing w:line="300" w:lineRule="exact"/>
              <w:jc w:val="center"/>
              <w:rPr>
                <w:rFonts w:hint="default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79FF93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1F7C60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765F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CFE84B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55FA91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38EBE2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4024BB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12305BD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0D3CCA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C394A1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855FBF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CFF91F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CCC9FD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DC71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6DDC50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822AAD8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6323FC3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D7B69A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3A8DBF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D92D40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ACB959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A21CE6D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D16111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3C9003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C367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9CA69B8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805217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755BAF1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4E36F9F">
            <w:pPr>
              <w:widowControl/>
              <w:spacing w:line="300" w:lineRule="exact"/>
              <w:jc w:val="center"/>
              <w:rPr>
                <w:rFonts w:hint="default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6B6315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A5EB16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195F29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C45755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0CB22D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1B25E4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0FA8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D3807D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5B1CFD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F6E1EE6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AEAC1BD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CEE32B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3266FA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889F44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682C45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FED55E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478C4B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4FEA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EBF88D5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7A031DC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E17AC4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A6D973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FADBE3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9B11B6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7CCE78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14CE62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CA26A4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7827DD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C3ED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57F87A8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E0D609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F08B1CA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AF3BBE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92419D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57B29E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1E863A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104A90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A805FD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8DA4BF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0588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3FE96AF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707B307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2D7F47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152CED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1E2B2F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E2B917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389FEE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C369A1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1F48BE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906C13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2243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BD2A6C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CDF985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C469332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AA4E1A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40F05B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301457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7DA183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A08AAC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7B2A7D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BA6F1E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4C61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B2AF47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62EE716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F7D36E2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321D48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13C624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7BA902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CC36B6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C4C6FE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B51EF6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B5D3F4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9A75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1DBA21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E1ABD45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019237D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97603ED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E2F331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8ADECD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054313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B5F4B2D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4E270E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781868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ADD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49E1AD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FAACCB5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1927F5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7BC5AA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87FBD2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58E777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09C6FB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D413C6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02974A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935DC2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B282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CF1280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0871CA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8E6D8E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50B12C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71F4E9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347B78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356B46D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206A3A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26F2D6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704943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2435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AFC7B1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C6AFDAF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A14C3BE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4D7B3B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4B03E6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13215E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EF17CB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EB1DC4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38E39D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5A5BC9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8FD6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4FFD96A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D0698D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3A7E4516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3A8873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A48FCB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9EF482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8A2FBB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84FC22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414BDF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B48905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4BF6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9B10C4D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B4FF544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63906091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E6829B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39B4A5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51F9C9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F1F0E5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F48A7A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8C8298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27FC57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A042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950710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8AC3FD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151F9A02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0FD548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734E4F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643031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7E7E93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6E0BE3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EC159C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59169F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2135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4474ECD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E18026F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5446DECD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E8FDF5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A02F3B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892E4A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E2AC35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B8FB42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7F2054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2860C6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9AC2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B6B821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B05865D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9BB610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E0797A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3028BC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F3D1AB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ED594D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C06D3B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68D71F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1F0B0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3FA9C937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C34F10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2C82BF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2C61B8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8C23E6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9E7DC7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CDCEC3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B41A257"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7870FEC9"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060179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24F5F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E89A1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14AA9F3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5232B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3D045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186F6EC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ADFE9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5164C37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0D45F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1B899E4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0CFFB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AF503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85DE1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0F3CDE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5B0FD6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A72EE8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5DC8F5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B162D4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C6278E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ADDA3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3401117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15431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6D2A720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2D627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1977128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07C3E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2D5E003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412EC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C5745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5E69AA3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749BB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2BC893C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874E7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41BD7D2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A6F75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639D160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8494B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78465D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56502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6691A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454E1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4C5B0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52ADD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21A02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2BC3A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46E8E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A07EA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7FE38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A83FB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D8EE2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2166B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23FE1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E5798B"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47D7F219"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五、存在的主要问题及改进情况</w:t>
      </w:r>
    </w:p>
    <w:p w14:paraId="14EE1EE8">
      <w:pPr>
        <w:spacing w:line="590" w:lineRule="exact"/>
        <w:ind w:right="-100" w:rightChars="-50" w:firstLine="643" w:firstLineChars="200"/>
        <w:rPr>
          <w:rFonts w:hint="eastAsia" w:ascii="仿宋_GB2312" w:hAnsi="Times New Roman" w:eastAsia="仿宋_GB2312" w:cs="Times New Roman"/>
          <w:b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2024年，我镇政府信息公开工作虽取得了新的进展，但也还存在一些问题：如部分栏目内容不够丰富；信息更新还不够及时高效；推动政务公开和政府信息公开的力度不够；公开内容不具体，重点不突出等。</w:t>
      </w:r>
    </w:p>
    <w:p w14:paraId="147C79D5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下一步我镇将认真对照政务公开工作有关要求，完善和提升政府信息公开工作。</w:t>
      </w: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丰富栏目内容</w:t>
      </w:r>
      <w:r>
        <w:rPr>
          <w:rFonts w:hint="eastAsia" w:eastAsia="仿宋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针对内容不够丰富的栏目进行全面梳理，通过深入调研、收集数据、整理案例等方式，确保每个栏目都能提供全面且有价值的信息</w:t>
      </w:r>
      <w:r>
        <w:rPr>
          <w:rFonts w:hint="eastAsia" w:eastAsia="仿宋_GB2312" w:cs="Times New Roman"/>
          <w:b/>
          <w:bCs/>
          <w:sz w:val="32"/>
          <w:szCs w:val="32"/>
          <w:lang w:eastAsia="zh-CN"/>
        </w:rPr>
        <w:t>。</w:t>
      </w: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加大政务公开力度</w:t>
      </w:r>
      <w:r>
        <w:rPr>
          <w:rFonts w:hint="eastAsia" w:eastAsia="仿宋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加强对政务公开工作的宣传和培训，提高全体工作人员对政务公开重要性的认识</w:t>
      </w:r>
      <w:r>
        <w:rPr>
          <w:rFonts w:hint="eastAsia" w:eastAsia="仿宋_GB2312" w:cs="Times New Roman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制定详细的政务公开工作方案，明确各部门的职责和任务，拓宽政务公开的渠道和影响力。</w:t>
      </w:r>
    </w:p>
    <w:p w14:paraId="48407BFF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六、其他需要报告的事项</w:t>
      </w:r>
    </w:p>
    <w:p w14:paraId="4B95EA56">
      <w:pPr>
        <w:spacing w:line="590" w:lineRule="exact"/>
        <w:ind w:right="-100" w:rightChars="-50" w:firstLine="643" w:firstLineChars="200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（一）依据《政府信息公开信息处理费管理办法》收取信息处理费的情况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无</w:t>
      </w:r>
    </w:p>
    <w:p w14:paraId="7039004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atLeast"/>
        <w:ind w:left="0" w:right="0" w:firstLine="643" w:firstLineChars="200"/>
        <w:jc w:val="left"/>
        <w:textAlignment w:val="auto"/>
        <w:rPr>
          <w:rFonts w:hint="eastAsia" w:ascii="仿宋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（二）本行政机关落实上级年度政务公开工作要点情况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：为落实上级通知要求，我镇围绕政务公开重点任务，细致拆分工作，责任到人，确保应公开尽公开。同时不断优化流程、加强培训，持续提升政务公开能力。</w:t>
      </w:r>
    </w:p>
    <w:p w14:paraId="35F464EE">
      <w:pPr>
        <w:spacing w:line="590" w:lineRule="exact"/>
        <w:ind w:right="-100" w:rightChars="-50" w:firstLine="643" w:firstLineChars="200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（三）本行政机关人大代表建议和政协提案办理结果公开情况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无</w:t>
      </w:r>
    </w:p>
    <w:p w14:paraId="43FF8E0F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（四）本行政机关年度政务公开工作创新情况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：寅寺镇始终秉持利民、便民的核心理念，大力推进线上线下同步公开模式，积极创新信息公开途径。一方面，在依托政府门户网站这一主要平台的基础上，充分借助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政务号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等新媒体平台，广泛开展信息公开工作，积极宣传工作成果、深入解读政策文件、及时发布便民信息 。另一方面，高度重视线下政务资源公开，在镇服务大厅安排专人进行政策讲解，特别是针对便民服务政策进行详细阐释。这一系列举措成效显著，获得了群众的广泛认可与高度好评。</w:t>
      </w:r>
    </w:p>
    <w:p w14:paraId="3ECECF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45FC0"/>
    <w:rsid w:val="045D1075"/>
    <w:rsid w:val="05E337FC"/>
    <w:rsid w:val="069845E6"/>
    <w:rsid w:val="0C2615EC"/>
    <w:rsid w:val="3FD87226"/>
    <w:rsid w:val="42B34685"/>
    <w:rsid w:val="4B4552BE"/>
    <w:rsid w:val="51F57964"/>
    <w:rsid w:val="52445FC0"/>
    <w:rsid w:val="58254B7B"/>
    <w:rsid w:val="5CD32DF8"/>
    <w:rsid w:val="620B3669"/>
    <w:rsid w:val="7095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2712</Words>
  <Characters>2778</Characters>
  <Lines>0</Lines>
  <Paragraphs>0</Paragraphs>
  <TotalTime>21</TotalTime>
  <ScaleCrop>false</ScaleCrop>
  <LinksUpToDate>false</LinksUpToDate>
  <CharactersWithSpaces>2789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2025-01-09T02:24:00Z</dcterms:created>
  <dc:creator>WPS_1679053304</dc:creator>
  <cp:lastModifiedBy>WPS_1679053304</cp:lastModifiedBy>
  <dcterms:modified xsi:type="dcterms:W3CDTF">2025-01-21T03:34:02Z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A6F134B5DA9B4438BBAD226FBC9BC495_13</vt:lpwstr>
  </property>
  <property fmtid="{D5CDD505-2E9C-101B-9397-08002B2CF9AE}" pid="4" name="KSOTemplateDocerSaveRecord">
    <vt:lpwstr>eyJoZGlkIjoiYmM2NzNiMTBhZGM2Yjc4MzM0MjQ2Njk3OTA2NTEyNjUiLCJ1c2VySWQiOiIxNDc5OTk4MDI3In0=</vt:lpwstr>
  </property>
</Properties>
</file>