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i w:val="0"/>
          <w:iCs w:val="0"/>
          <w:caps w:val="0"/>
          <w:color w:val="222222"/>
          <w:spacing w:val="8"/>
          <w:sz w:val="44"/>
          <w:szCs w:val="44"/>
          <w:shd w:val="clear" w:fill="FFFFFF"/>
        </w:rPr>
        <w:t>一季度</w:t>
      </w:r>
      <w:r>
        <w:rPr>
          <w:rFonts w:hint="eastAsia" w:ascii="方正小标宋简体" w:hAnsi="方正小标宋简体" w:eastAsia="方正小标宋简体" w:cs="方正小标宋简体"/>
          <w:b/>
          <w:bCs/>
          <w:i w:val="0"/>
          <w:iCs w:val="0"/>
          <w:caps w:val="0"/>
          <w:color w:val="222222"/>
          <w:spacing w:val="8"/>
          <w:sz w:val="44"/>
          <w:szCs w:val="44"/>
          <w:shd w:val="clear" w:fill="FFFFFF"/>
          <w:lang w:eastAsia="zh-CN"/>
        </w:rPr>
        <w:t>全县经济</w:t>
      </w:r>
      <w:bookmarkStart w:id="0" w:name="_GoBack"/>
      <w:bookmarkEnd w:id="0"/>
      <w:r>
        <w:rPr>
          <w:rFonts w:hint="eastAsia" w:ascii="方正小标宋简体" w:hAnsi="方正小标宋简体" w:eastAsia="方正小标宋简体" w:cs="方正小标宋简体"/>
          <w:b/>
          <w:bCs/>
          <w:i w:val="0"/>
          <w:iCs w:val="0"/>
          <w:caps w:val="0"/>
          <w:color w:val="222222"/>
          <w:spacing w:val="8"/>
          <w:sz w:val="44"/>
          <w:szCs w:val="44"/>
          <w:shd w:val="clear" w:fill="FFFFFF"/>
          <w:lang w:eastAsia="zh-CN"/>
        </w:rPr>
        <w:t>实现良好开局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今年以来，全县上下深入贯彻落实习近平总书记重要指示要求和党中央决策部署，全力统筹推进疫情防控和经济社会发展，坚定不移稳工业运行、稳项目投资、稳市场预期，全县经济运行总体平稳、好于预期，主要经济指标增势良好，质量效益稳步提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实现良好开局</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根据</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全市地区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生产总值统一核算结果，一季度</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地区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生产总值</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（GDP）完成59.71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按可比价格计算，</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同比增长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6.6</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，增幅列全市第2位</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。其中，第一产业增加值为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3.79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亿元，同比增长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4.8</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%；第二产业增加值为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26.26</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亿元，同比增长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4.5</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%；第三产业增加值为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29.66</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亿元，同比增长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8.7</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eastAsia="zh-CN"/>
          <w14:textFill>
            <w14:solidFill>
              <w14:schemeClr w14:val="tx1"/>
            </w14:solidFill>
          </w14:textFill>
        </w:rPr>
        <w:t>（一）工业生产稳定增长</w:t>
      </w:r>
      <w:r>
        <w:rPr>
          <w:rFonts w:hint="eastAsia" w:ascii="方正楷体简体" w:hAnsi="方正楷体简体" w:eastAsia="方正楷体简体" w:cs="方正楷体简体"/>
          <w:b w:val="0"/>
          <w:bCs w:val="0"/>
          <w:color w:val="000000" w:themeColor="text1"/>
          <w:sz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一季度，全县规模以上工业增加值同比增长10.6%。1-2月份，规模以上工业实现营业收入28.51亿元，同比增长11.89%；实现利润3.39亿元，同比增长31.52%。三大主导产业贡献突出。一季度，规模以上纺织服装产业企业产值同比增长30.33%；规模以上高端装备产业企业产值同比增长7.59%；规模以上绿色化工产业企业产值同比增长21.26%。工业用电稳定增长。一季度，全县工业用电量同比增长10.56%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val="en-US" w:eastAsia="zh-CN"/>
          <w14:textFill>
            <w14:solidFill>
              <w14:schemeClr w14:val="tx1"/>
            </w14:solidFill>
          </w14:textFill>
        </w:rPr>
        <w:t>（二）固定资产投资稳步增长。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一季度，全县固定资产投资同比增长8.9%。民间投资同比增长11.6%，占全部投资比重为80.9%，占比较上年同期提升1.9个百分点。“四新”产业投资同比下降11.0%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占全部投资比重为53.5%，占比较上年同期下降12个百分点。制造业技改投资同比增长26.2%。</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高技术投资同比增长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21.7</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占全部投资的比重为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val="en-US" w:eastAsia="zh-CN"/>
          <w14:textFill>
            <w14:solidFill>
              <w14:schemeClr w14:val="tx1"/>
            </w14:solidFill>
          </w14:textFill>
        </w:rPr>
        <w:t>（三）消费市场总体平稳。</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一季度，全县社会消费品零售总额完成42.01亿元，同比增长6.4%。分行业看，限额以上批发业销售额增长64.1%、限额以上零售业销售额增长11.7%、限额以上住宿业营业额增长16.5%、限额以上餐饮业营业增长51.9%。今年以来，全县新增限额以上批零住餐企业44家，消费市场发展后劲持续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val="en-US" w:eastAsia="zh-CN"/>
          <w14:textFill>
            <w14:solidFill>
              <w14:schemeClr w14:val="tx1"/>
            </w14:solidFill>
          </w14:textFill>
        </w:rPr>
        <w:t>（四）财政收入较快增长。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一季度，全县公共财政预算收入完成65543万元，增长13.2%。全县税收收入完成45681万元，同比增长14.9%，占地方财政收入的比重为69.7%，较上年同期提升1.0个百分点。财政总支出完成110400万元，同比增长6.3%。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eastAsia="zh-CN"/>
          <w14:textFill>
            <w14:solidFill>
              <w14:schemeClr w14:val="tx1"/>
            </w14:solidFill>
          </w14:textFill>
        </w:rPr>
        <w:t>（五）金融市场运行稳健。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截至</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月底，全县金融机构各项存款余额</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425.69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 较年初增加</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34.89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亿元。其中住户储蓄余额</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346.66</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亿元，较年初增加</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27.70</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亿元。各项贷款余额</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267.67</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亿元，较年初增加</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24.40</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亿元。其中非金融企业及机关团体贷款</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122.09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亿元，较年初</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增加16.33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亿元。</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金融系统综合存贷比调整为62.9%，较上年同期提高5.5个百分点。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lang w:val="en-US" w:eastAsia="zh-CN"/>
          <w14:textFill>
            <w14:solidFill>
              <w14:schemeClr w14:val="tx1"/>
            </w14:solidFill>
          </w14:textFill>
        </w:rPr>
        <w:t>（六）城乡收入同步增长。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一季度，全县居民人均可支配收入实现8061元，同比增长7.7%。其中：城镇居民人均可支配收入实现10535元，同比增长6.0%；农村居民人均可支配收入实现6195元，同比增长7.9%。</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今年以来，我县经济运行延续了去年以来的稳定恢复态势，一季度主要经济指标平稳增长，实现良好开局。但是当前国际形势依然复杂严峻，国内经济恢复的基础尚不牢固，我县经济恢复进程中不平衡问题仍突出。下一步，要持续巩固疫情防控和经济社会发展成果，把稳增长放在更加突出位置，狠抓政策落实，有力有效应对经济运行面临的各种不稳定因素，确保经济运行实现质的稳步提升和量的合理增长，推动高质量发展不断取得新成效。</w:t>
      </w:r>
    </w:p>
    <w:sectPr>
      <w:footerReference r:id="rId3" w:type="default"/>
      <w:pgSz w:w="11906" w:h="16838"/>
      <w:pgMar w:top="147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517998"/>
      <w:docPartObj>
        <w:docPartGallery w:val="autotext"/>
      </w:docPartObj>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zUzNzI0NjhhMzllOTRiYWM0ZDg4NDM1OWMyNWMifQ=="/>
  </w:docVars>
  <w:rsids>
    <w:rsidRoot w:val="00462D7E"/>
    <w:rsid w:val="00014522"/>
    <w:rsid w:val="00033113"/>
    <w:rsid w:val="00034FF8"/>
    <w:rsid w:val="000E541D"/>
    <w:rsid w:val="000F0C1C"/>
    <w:rsid w:val="0015457D"/>
    <w:rsid w:val="00161F8C"/>
    <w:rsid w:val="00170F93"/>
    <w:rsid w:val="00175BE5"/>
    <w:rsid w:val="001760FD"/>
    <w:rsid w:val="001B13EB"/>
    <w:rsid w:val="001C59C1"/>
    <w:rsid w:val="001C5DAE"/>
    <w:rsid w:val="001D4815"/>
    <w:rsid w:val="00232CE2"/>
    <w:rsid w:val="00244867"/>
    <w:rsid w:val="002512E5"/>
    <w:rsid w:val="00266BE0"/>
    <w:rsid w:val="00271023"/>
    <w:rsid w:val="00291569"/>
    <w:rsid w:val="00293CC1"/>
    <w:rsid w:val="00343AD2"/>
    <w:rsid w:val="00387D24"/>
    <w:rsid w:val="003A124C"/>
    <w:rsid w:val="003A4F72"/>
    <w:rsid w:val="003D3DD9"/>
    <w:rsid w:val="003F00C4"/>
    <w:rsid w:val="00447D75"/>
    <w:rsid w:val="00452742"/>
    <w:rsid w:val="004529B7"/>
    <w:rsid w:val="00462D7E"/>
    <w:rsid w:val="00483D4A"/>
    <w:rsid w:val="00491F22"/>
    <w:rsid w:val="004B0E54"/>
    <w:rsid w:val="00502564"/>
    <w:rsid w:val="0051427C"/>
    <w:rsid w:val="00527E86"/>
    <w:rsid w:val="00550AE7"/>
    <w:rsid w:val="0055328F"/>
    <w:rsid w:val="00560263"/>
    <w:rsid w:val="0056129A"/>
    <w:rsid w:val="005616BA"/>
    <w:rsid w:val="00586D6A"/>
    <w:rsid w:val="00613DFE"/>
    <w:rsid w:val="00625DA5"/>
    <w:rsid w:val="0063169B"/>
    <w:rsid w:val="00653902"/>
    <w:rsid w:val="00665FC5"/>
    <w:rsid w:val="00692276"/>
    <w:rsid w:val="006934E7"/>
    <w:rsid w:val="00702BE6"/>
    <w:rsid w:val="00712D7B"/>
    <w:rsid w:val="00717085"/>
    <w:rsid w:val="00755376"/>
    <w:rsid w:val="007A5578"/>
    <w:rsid w:val="007E73DB"/>
    <w:rsid w:val="00833B04"/>
    <w:rsid w:val="00892B3A"/>
    <w:rsid w:val="008B0746"/>
    <w:rsid w:val="008C2589"/>
    <w:rsid w:val="008E7E7A"/>
    <w:rsid w:val="008F18B1"/>
    <w:rsid w:val="008F30AF"/>
    <w:rsid w:val="009144DA"/>
    <w:rsid w:val="009233A5"/>
    <w:rsid w:val="009362B9"/>
    <w:rsid w:val="009434BE"/>
    <w:rsid w:val="00951073"/>
    <w:rsid w:val="00960964"/>
    <w:rsid w:val="009A6CE9"/>
    <w:rsid w:val="009C0260"/>
    <w:rsid w:val="009E1964"/>
    <w:rsid w:val="00A30B33"/>
    <w:rsid w:val="00A3370B"/>
    <w:rsid w:val="00A3683E"/>
    <w:rsid w:val="00A501B2"/>
    <w:rsid w:val="00A937A6"/>
    <w:rsid w:val="00AE4EB9"/>
    <w:rsid w:val="00AF72EF"/>
    <w:rsid w:val="00B11AB9"/>
    <w:rsid w:val="00B11B66"/>
    <w:rsid w:val="00B217EB"/>
    <w:rsid w:val="00B563E3"/>
    <w:rsid w:val="00B602E4"/>
    <w:rsid w:val="00B70525"/>
    <w:rsid w:val="00B71734"/>
    <w:rsid w:val="00B77E53"/>
    <w:rsid w:val="00B8742E"/>
    <w:rsid w:val="00BB2133"/>
    <w:rsid w:val="00BD1FFB"/>
    <w:rsid w:val="00BF628E"/>
    <w:rsid w:val="00BF787F"/>
    <w:rsid w:val="00C1671A"/>
    <w:rsid w:val="00C241DB"/>
    <w:rsid w:val="00C65E38"/>
    <w:rsid w:val="00C84185"/>
    <w:rsid w:val="00C95293"/>
    <w:rsid w:val="00CB4301"/>
    <w:rsid w:val="00CB468E"/>
    <w:rsid w:val="00CC096D"/>
    <w:rsid w:val="00D842DA"/>
    <w:rsid w:val="00DD6134"/>
    <w:rsid w:val="00E26F76"/>
    <w:rsid w:val="00E40CFF"/>
    <w:rsid w:val="00E46297"/>
    <w:rsid w:val="00E80370"/>
    <w:rsid w:val="00EB2E5F"/>
    <w:rsid w:val="00EC7694"/>
    <w:rsid w:val="00ED213F"/>
    <w:rsid w:val="00EE4233"/>
    <w:rsid w:val="00F0786B"/>
    <w:rsid w:val="00F11B43"/>
    <w:rsid w:val="00F30C31"/>
    <w:rsid w:val="00F434F7"/>
    <w:rsid w:val="00F76F6B"/>
    <w:rsid w:val="00FA2120"/>
    <w:rsid w:val="00FA5AB1"/>
    <w:rsid w:val="00FB0415"/>
    <w:rsid w:val="01D53350"/>
    <w:rsid w:val="03D0701E"/>
    <w:rsid w:val="046E3570"/>
    <w:rsid w:val="04A13CAC"/>
    <w:rsid w:val="06051786"/>
    <w:rsid w:val="079425FD"/>
    <w:rsid w:val="07B93B17"/>
    <w:rsid w:val="082119A3"/>
    <w:rsid w:val="08250FFC"/>
    <w:rsid w:val="08B651F8"/>
    <w:rsid w:val="093002EF"/>
    <w:rsid w:val="0A426D43"/>
    <w:rsid w:val="0B662F05"/>
    <w:rsid w:val="0C59351C"/>
    <w:rsid w:val="10424C0B"/>
    <w:rsid w:val="10FA2734"/>
    <w:rsid w:val="11AE0381"/>
    <w:rsid w:val="12A96709"/>
    <w:rsid w:val="130706C7"/>
    <w:rsid w:val="13F6218E"/>
    <w:rsid w:val="1574621E"/>
    <w:rsid w:val="15790DAA"/>
    <w:rsid w:val="161053DC"/>
    <w:rsid w:val="162F7630"/>
    <w:rsid w:val="18707901"/>
    <w:rsid w:val="1AD80FFE"/>
    <w:rsid w:val="1B766CC9"/>
    <w:rsid w:val="1E63313F"/>
    <w:rsid w:val="21104EDA"/>
    <w:rsid w:val="227710FC"/>
    <w:rsid w:val="23871813"/>
    <w:rsid w:val="23F30C56"/>
    <w:rsid w:val="24895FF2"/>
    <w:rsid w:val="257F27A2"/>
    <w:rsid w:val="25F50CB6"/>
    <w:rsid w:val="261E645E"/>
    <w:rsid w:val="28F85103"/>
    <w:rsid w:val="29495B60"/>
    <w:rsid w:val="2A3C6B8F"/>
    <w:rsid w:val="2AE936C8"/>
    <w:rsid w:val="2B0025D7"/>
    <w:rsid w:val="2CAE4D81"/>
    <w:rsid w:val="2E0A17C3"/>
    <w:rsid w:val="2FE06533"/>
    <w:rsid w:val="322B7276"/>
    <w:rsid w:val="335C4122"/>
    <w:rsid w:val="338B4774"/>
    <w:rsid w:val="355C665B"/>
    <w:rsid w:val="37397B47"/>
    <w:rsid w:val="379E7EB4"/>
    <w:rsid w:val="38675A43"/>
    <w:rsid w:val="3A7A7584"/>
    <w:rsid w:val="3CAD2E45"/>
    <w:rsid w:val="40E52E63"/>
    <w:rsid w:val="41B96BE3"/>
    <w:rsid w:val="42B90281"/>
    <w:rsid w:val="434A0D83"/>
    <w:rsid w:val="452B7DF8"/>
    <w:rsid w:val="469D1F2E"/>
    <w:rsid w:val="47934F6D"/>
    <w:rsid w:val="48FB59F4"/>
    <w:rsid w:val="49DC285F"/>
    <w:rsid w:val="4A2E1FAE"/>
    <w:rsid w:val="4A677B24"/>
    <w:rsid w:val="4BEA7DCE"/>
    <w:rsid w:val="4C2F6420"/>
    <w:rsid w:val="4EB833D2"/>
    <w:rsid w:val="50E40021"/>
    <w:rsid w:val="52630BD1"/>
    <w:rsid w:val="52A64F62"/>
    <w:rsid w:val="532869E4"/>
    <w:rsid w:val="53A96AB8"/>
    <w:rsid w:val="56666EE2"/>
    <w:rsid w:val="57203535"/>
    <w:rsid w:val="57EF1A7A"/>
    <w:rsid w:val="593257A1"/>
    <w:rsid w:val="59367040"/>
    <w:rsid w:val="593E4F53"/>
    <w:rsid w:val="59996D38"/>
    <w:rsid w:val="5AA411D3"/>
    <w:rsid w:val="5C1E200D"/>
    <w:rsid w:val="5CD8460B"/>
    <w:rsid w:val="5D9C768D"/>
    <w:rsid w:val="5DC075C0"/>
    <w:rsid w:val="5DCF20DC"/>
    <w:rsid w:val="5DD8769D"/>
    <w:rsid w:val="5EF62DCD"/>
    <w:rsid w:val="615A6839"/>
    <w:rsid w:val="61B5712F"/>
    <w:rsid w:val="61C96577"/>
    <w:rsid w:val="62D214D1"/>
    <w:rsid w:val="63477235"/>
    <w:rsid w:val="67B23CF9"/>
    <w:rsid w:val="67F52A97"/>
    <w:rsid w:val="6A426BD7"/>
    <w:rsid w:val="6B8705EC"/>
    <w:rsid w:val="6E017096"/>
    <w:rsid w:val="6F926B42"/>
    <w:rsid w:val="6FC02104"/>
    <w:rsid w:val="70B94173"/>
    <w:rsid w:val="76F97D3E"/>
    <w:rsid w:val="778A0EFD"/>
    <w:rsid w:val="77D21568"/>
    <w:rsid w:val="79E70BFF"/>
    <w:rsid w:val="7A9250D8"/>
    <w:rsid w:val="7CAE5C93"/>
    <w:rsid w:val="7CB82E57"/>
    <w:rsid w:val="7E4F632A"/>
    <w:rsid w:val="7EB74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3</Pages>
  <Words>1544</Words>
  <Characters>1833</Characters>
  <Lines>17</Lines>
  <Paragraphs>4</Paragraphs>
  <TotalTime>0</TotalTime>
  <ScaleCrop>false</ScaleCrop>
  <LinksUpToDate>false</LinksUpToDate>
  <CharactersWithSpaces>1835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2019-06-05T08:14:00Z</dcterms:created>
  <dc:creator>PC</dc:creator>
  <cp:lastModifiedBy>Administrator</cp:lastModifiedBy>
  <cp:lastPrinted>2021-04-22T02:38:00Z</cp:lastPrinted>
  <dcterms:modified xsi:type="dcterms:W3CDTF">2022-04-29T06:19:56Z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2D2565A5903E407B8BB991B18E49961A</vt:lpwstr>
  </property>
  <property fmtid="{D5CDD505-2E9C-101B-9397-08002B2CF9AE}" pid="4" name="commondata">
    <vt:lpwstr>eyJoZGlkIjoiNTExYzE2YjlhOTQwZmI2NDEyN2ViYjMwM2ZmNGZkNGMifQ==</vt:lpwstr>
  </property>
</Properties>
</file>