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对县政协</w:t>
      </w:r>
      <w:r>
        <w:rPr>
          <w:rFonts w:hint="eastAsia" w:ascii="方正小标宋简体" w:hAnsi="方正小标宋简体" w:eastAsia="方正小标宋简体" w:cs="方正小标宋简体"/>
          <w:sz w:val="44"/>
          <w:szCs w:val="44"/>
          <w:lang w:eastAsia="zh-CN"/>
        </w:rPr>
        <w:t>十</w:t>
      </w:r>
      <w:r>
        <w:rPr>
          <w:rFonts w:hint="eastAsia" w:ascii="方正小标宋简体" w:hAnsi="方正小标宋简体" w:eastAsia="方正小标宋简体" w:cs="方正小标宋简体"/>
          <w:sz w:val="44"/>
          <w:szCs w:val="44"/>
        </w:rPr>
        <w:t>届</w:t>
      </w:r>
      <w:r>
        <w:rPr>
          <w:rFonts w:hint="eastAsia" w:ascii="方正小标宋简体" w:hAnsi="方正小标宋简体" w:eastAsia="方正小标宋简体" w:cs="方正小标宋简体"/>
          <w:sz w:val="44"/>
          <w:szCs w:val="44"/>
          <w:lang w:eastAsia="zh-CN"/>
        </w:rPr>
        <w:t>一</w:t>
      </w:r>
      <w:r>
        <w:rPr>
          <w:rFonts w:hint="eastAsia" w:ascii="方正小标宋简体" w:hAnsi="方正小标宋简体" w:eastAsia="方正小标宋简体" w:cs="方正小标宋简体"/>
          <w:sz w:val="44"/>
          <w:szCs w:val="44"/>
        </w:rPr>
        <w:t>次会议第</w:t>
      </w:r>
      <w:r>
        <w:rPr>
          <w:rFonts w:hint="eastAsia" w:ascii="方正小标宋简体" w:hAnsi="方正小标宋简体" w:eastAsia="方正小标宋简体" w:cs="方正小标宋简体"/>
          <w:sz w:val="44"/>
          <w:szCs w:val="44"/>
          <w:lang w:val="en-US" w:eastAsia="zh-CN"/>
        </w:rPr>
        <w:t>315</w:t>
      </w:r>
      <w:r>
        <w:rPr>
          <w:rFonts w:hint="eastAsia" w:ascii="方正小标宋简体" w:hAnsi="方正小标宋简体" w:eastAsia="方正小标宋简体" w:cs="方正小标宋简体"/>
          <w:sz w:val="44"/>
          <w:szCs w:val="44"/>
        </w:rPr>
        <w:t>号提案的</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答</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复</w:t>
      </w:r>
    </w:p>
    <w:p>
      <w:pPr>
        <w:ind w:firstLine="3960" w:firstLineChars="900"/>
        <w:rPr>
          <w:rFonts w:hint="eastAsia" w:ascii="方正大标宋简体" w:hAnsi="方正大标宋简体" w:eastAsia="方正大标宋简体" w:cs="方正大标宋简体"/>
          <w:sz w:val="44"/>
          <w:szCs w:val="44"/>
        </w:rPr>
      </w:pPr>
    </w:p>
    <w:p>
      <w:pP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王杰委员：</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您提出的关于改善农村生态环境的建议收悉，现将办理意见和落实情况答复如下：</w:t>
      </w:r>
    </w:p>
    <w:p>
      <w:pPr>
        <w:widowControl/>
        <w:spacing w:line="600" w:lineRule="exact"/>
        <w:ind w:firstLine="627" w:firstLineChars="196"/>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您反映的农村生态环境现状确实存在，提出的建议也十分中肯和专业，虽然我们在农村农业方面污染治理下了很大气力，取得一定成效，但目前农村农业环境污染治理任务仍十分艰巨，群众对改善农村生态环境的愿望也十分迫切。</w:t>
      </w:r>
    </w:p>
    <w:p>
      <w:pPr>
        <w:widowControl/>
        <w:spacing w:line="600" w:lineRule="exact"/>
        <w:ind w:firstLine="627" w:firstLineChars="196"/>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围绕改善农村生态环境我们重点抓好以下几项工作。</w:t>
      </w:r>
    </w:p>
    <w:p>
      <w:pPr>
        <w:spacing w:line="600" w:lineRule="exact"/>
        <w:ind w:firstLine="643" w:firstLineChars="200"/>
        <w:rPr>
          <w:rFonts w:hint="eastAsia" w:ascii="Times New Roman" w:hAnsi="Times New Roman" w:eastAsia="黑体" w:cs="Times New Roman"/>
          <w:sz w:val="32"/>
          <w:szCs w:val="32"/>
          <w:lang w:eastAsia="zh-CN"/>
        </w:rPr>
      </w:pPr>
      <w:r>
        <w:rPr>
          <w:rFonts w:hint="eastAsia" w:eastAsia="黑体" w:cs="Times New Roman"/>
          <w:b/>
          <w:bCs/>
          <w:color w:val="000000" w:themeColor="text1"/>
          <w:sz w:val="32"/>
          <w:szCs w:val="32"/>
          <w:lang w:val="en-US" w:eastAsia="zh-CN"/>
          <w14:textFill>
            <w14:solidFill>
              <w14:schemeClr w14:val="tx1"/>
            </w14:solidFill>
          </w14:textFill>
        </w:rPr>
        <w:t>一</w:t>
      </w:r>
      <w:r>
        <w:rPr>
          <w:rFonts w:ascii="Times New Roman" w:hAnsi="Times New Roman" w:eastAsia="黑体" w:cs="Times New Roman"/>
          <w:b/>
          <w:bCs/>
          <w:color w:val="000000" w:themeColor="text1"/>
          <w:sz w:val="32"/>
          <w:szCs w:val="32"/>
          <w14:textFill>
            <w14:solidFill>
              <w14:schemeClr w14:val="tx1"/>
            </w14:solidFill>
          </w14:textFill>
        </w:rPr>
        <w:t>、</w:t>
      </w:r>
      <w:r>
        <w:rPr>
          <w:rFonts w:hint="eastAsia" w:eastAsia="黑体" w:cs="Times New Roman"/>
          <w:b/>
          <w:bCs/>
          <w:color w:val="000000" w:themeColor="text1"/>
          <w:sz w:val="32"/>
          <w:szCs w:val="32"/>
          <w:lang w:eastAsia="zh-CN"/>
          <w14:textFill>
            <w14:solidFill>
              <w14:schemeClr w14:val="tx1"/>
            </w14:solidFill>
          </w14:textFill>
        </w:rPr>
        <w:t>科学施肥使药，维护生态平衡</w:t>
      </w:r>
    </w:p>
    <w:p>
      <w:pPr>
        <w:widowControl/>
        <w:spacing w:line="600" w:lineRule="exact"/>
        <w:ind w:firstLine="627" w:firstLineChars="196"/>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合农业农村部门抓好农业面源污染，一是配合实施农药减量控害工程，加强病虫监测预警，大力推广专业化统防统治，提高农药利用率，推广绿色防控技术，降低化学农药使用量，推进科学用药，提高农药利用率；二是实施化肥减量增效工程，深入推进测土配方施肥技术普及应用，积极开展田间肥料试验，加快发展水肥一体化，积极引进推广新型肥料；三是实施有机肥增施替代工程，开展增施有机肥替代化肥工作，推广秸秆还田，提升土壤有机质。推进节水农业和生态农业发展。</w:t>
      </w:r>
    </w:p>
    <w:p>
      <w:pPr>
        <w:pStyle w:val="6"/>
        <w:numPr>
          <w:ilvl w:val="0"/>
          <w:numId w:val="0"/>
        </w:numPr>
        <w:spacing w:line="560" w:lineRule="exact"/>
        <w:ind w:firstLine="643" w:firstLineChars="200"/>
        <w:rPr>
          <w:rFonts w:hint="eastAsia" w:ascii="Times New Roman" w:hAnsi="Times New Roman" w:eastAsia="黑体" w:cs="Times New Roman"/>
          <w:b/>
          <w:bCs/>
          <w:color w:val="000000" w:themeColor="text1"/>
          <w:kern w:val="2"/>
          <w:sz w:val="32"/>
          <w:szCs w:val="32"/>
          <w:lang w:val="en-US" w:eastAsia="zh-CN" w:bidi="ar-SA"/>
          <w14:textFill>
            <w14:solidFill>
              <w14:schemeClr w14:val="tx1"/>
            </w14:solidFill>
          </w14:textFill>
        </w:rPr>
      </w:pPr>
      <w:r>
        <w:rPr>
          <w:rFonts w:hint="eastAsia" w:ascii="Times New Roman" w:eastAsia="黑体" w:cs="Times New Roman"/>
          <w:b/>
          <w:bCs/>
          <w:color w:val="000000" w:themeColor="text1"/>
          <w:kern w:val="2"/>
          <w:sz w:val="32"/>
          <w:szCs w:val="32"/>
          <w:lang w:val="en-US" w:eastAsia="zh-CN" w:bidi="ar-SA"/>
          <w14:textFill>
            <w14:solidFill>
              <w14:schemeClr w14:val="tx1"/>
            </w14:solidFill>
          </w14:textFill>
        </w:rPr>
        <w:t>二、</w:t>
      </w:r>
      <w:r>
        <w:rPr>
          <w:rFonts w:hint="eastAsia" w:ascii="Times New Roman" w:hAnsi="Times New Roman" w:eastAsia="黑体" w:cs="Times New Roman"/>
          <w:b/>
          <w:bCs/>
          <w:color w:val="000000" w:themeColor="text1"/>
          <w:kern w:val="2"/>
          <w:sz w:val="32"/>
          <w:szCs w:val="32"/>
          <w:lang w:val="en-US" w:eastAsia="zh-CN" w:bidi="ar-SA"/>
          <w14:textFill>
            <w14:solidFill>
              <w14:schemeClr w14:val="tx1"/>
            </w14:solidFill>
          </w14:textFill>
        </w:rPr>
        <w:t>提升废弃物资源化水平，减少环境污染</w:t>
      </w:r>
    </w:p>
    <w:p>
      <w:pPr>
        <w:pStyle w:val="6"/>
        <w:numPr>
          <w:ilvl w:val="0"/>
          <w:numId w:val="0"/>
        </w:numPr>
        <w:spacing w:line="560" w:lineRule="exact"/>
        <w:ind w:firstLine="640" w:firstLineChars="200"/>
        <w:rPr>
          <w:rFonts w:hint="eastAsia" w:ascii="Times New Roman" w:cs="Times New Roman"/>
          <w:sz w:val="32"/>
          <w:szCs w:val="32"/>
          <w:lang w:val="en-US" w:eastAsia="zh-CN"/>
        </w:rPr>
      </w:pPr>
      <w:r>
        <w:rPr>
          <w:rFonts w:hint="eastAsia" w:ascii="仿宋_GB2312" w:hAnsi="仿宋_GB2312" w:eastAsia="仿宋_GB2312" w:cs="仿宋_GB2312"/>
          <w:color w:val="auto"/>
          <w:kern w:val="2"/>
          <w:sz w:val="32"/>
          <w:szCs w:val="32"/>
          <w:lang w:val="en-US" w:eastAsia="zh-CN" w:bidi="ar-SA"/>
        </w:rPr>
        <w:t xml:space="preserve">配合农业农村部门抓好秸秆禁烧工作，坚持秸秆禁烧常态化工作机制，加强秸秆资源化综合利用，加强督导巡查和问责处罚力度，优化秸秆综合利用与农业生产相结合，推进秸秆综合利用，全力推广“秸秆全量机械化还田+深耕深松技术+秸秆快腐”就地还田的模式，大力推进以秸秆肥料化利用为主，秸秆青贮、过腹还田、秸秆收储固化、秸秆腐熟等为辅的综合利用措施，提高农作物秸秆肥料化、饲料化、能源化利用水平，目前全县秸秆综合利用利用率达到95.5%以上。 </w:t>
      </w:r>
      <w:r>
        <w:rPr>
          <w:rFonts w:hint="eastAsia" w:ascii="Times New Roman" w:cs="Times New Roman"/>
          <w:sz w:val="32"/>
          <w:szCs w:val="32"/>
          <w:lang w:val="en-US" w:eastAsia="zh-CN"/>
        </w:rPr>
        <w:t xml:space="preserve"> </w:t>
      </w:r>
    </w:p>
    <w:p>
      <w:pPr>
        <w:pStyle w:val="6"/>
        <w:numPr>
          <w:ilvl w:val="0"/>
          <w:numId w:val="0"/>
        </w:numPr>
        <w:spacing w:line="560" w:lineRule="exact"/>
        <w:ind w:firstLine="643" w:firstLineChars="200"/>
        <w:rPr>
          <w:rFonts w:hint="eastAsia" w:ascii="Times New Roman" w:eastAsia="黑体" w:cs="Times New Roman"/>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bCs/>
          <w:color w:val="000000" w:themeColor="text1"/>
          <w:kern w:val="2"/>
          <w:sz w:val="32"/>
          <w:szCs w:val="32"/>
          <w:lang w:val="en-US" w:eastAsia="zh-CN" w:bidi="ar-SA"/>
          <w14:textFill>
            <w14:solidFill>
              <w14:schemeClr w14:val="tx1"/>
            </w14:solidFill>
          </w14:textFill>
        </w:rPr>
        <w:t>三、治理畜禽养殖污染</w:t>
      </w:r>
      <w:r>
        <w:rPr>
          <w:rFonts w:hint="eastAsia" w:ascii="Times New Roman" w:eastAsia="黑体" w:cs="Times New Roman"/>
          <w:b/>
          <w:bCs/>
          <w:color w:val="000000" w:themeColor="text1"/>
          <w:kern w:val="2"/>
          <w:sz w:val="32"/>
          <w:szCs w:val="32"/>
          <w:lang w:val="en-US" w:eastAsia="zh-CN" w:bidi="ar-SA"/>
          <w14:textFill>
            <w14:solidFill>
              <w14:schemeClr w14:val="tx1"/>
            </w14:solidFill>
          </w14:textFill>
        </w:rPr>
        <w:t>，推进绿色养殖进程</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生态环境局配合畜牧兽医部门抓好畜禽养殖污染治理，按照“畜禽良种化、养殖设施化、生产规范化、防疫制度化、粪污处理无害化”的要求，重点发展标准化规模养殖，做好省市级标准化示范场创建，推进养殖生产清洁化和产业模式生态化进程。推进实施畜禽粪污资源化利用整县推进项目，提升养殖场户粪污资源化利用设施设备的升级改造，提升全县畜禽粪污资源化利用水平。配合督促指导非禁养区养殖场（户）加快完善粪污处理设施建设，在源头减量上，推广使用微生物制剂、酶制剂等饲料添加剂，引导采用干清粪、雨污分流、干湿分离等工艺模式，控制养殖污水产生量。在过程控制上，推广发酵床、微生物处理、臭气控制等技术模式，加速粪污无害化处理，减少异味气体排放。在末端利用上，重点推广全量收集还田利用、粪便垫料回用、污水肥料化利用等技术模式，促进粪污就近还田利用，提升畜禽废弃物资源化利用水平，全县畜禽粪污利用率达到91%以上。同时严格落实养殖场户环境保护主体责任制度和畜禽规模养殖环评制度，新建或改扩建畜禽规模养殖场（小区）严格控制在适养区内，并纳入重点污染源管理，认真执行畜禽规模养殖场（小区）建设项目环评分类管理和相关技术标准。持续开展专项执法行动，严厉打击规模化畜禽养殖场（小区）粪污贮存、处理、利用设施不正常运行等环境违法行为，规范畜禽养殖合法生产经营行为，使用畜禽养殖业逐步转向持续健康的良性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Times New Roman" w:hAnsi="Times New Roman" w:eastAsia="黑体" w:cs="Times New Roman"/>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bCs/>
          <w:color w:val="000000" w:themeColor="text1"/>
          <w:kern w:val="2"/>
          <w:sz w:val="32"/>
          <w:szCs w:val="32"/>
          <w:lang w:val="en-US" w:eastAsia="zh-CN" w:bidi="ar-SA"/>
          <w14:textFill>
            <w14:solidFill>
              <w14:schemeClr w14:val="tx1"/>
            </w14:solidFill>
          </w14:textFill>
        </w:rPr>
        <w:t>四、持续加大固体废弃物“上山下乡”行为整治</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目前我县危险废物经营许可的企业共有5家，定期对企业危废进行集中收集后转移到有处置能力的公司无害化方式处置，</w:t>
      </w:r>
      <w:r>
        <w:rPr>
          <w:rFonts w:hint="eastAsia" w:hAnsi="仿宋_GB2312" w:cs="仿宋_GB2312"/>
          <w:color w:val="auto"/>
          <w:kern w:val="2"/>
          <w:sz w:val="32"/>
          <w:szCs w:val="32"/>
          <w:lang w:val="en-US" w:eastAsia="zh-CN" w:bidi="ar-SA"/>
        </w:rPr>
        <w:t>我县</w:t>
      </w:r>
      <w:r>
        <w:rPr>
          <w:rFonts w:hint="eastAsia" w:ascii="仿宋_GB2312" w:hAnsi="仿宋_GB2312" w:eastAsia="仿宋_GB2312" w:cs="仿宋_GB2312"/>
          <w:color w:val="auto"/>
          <w:kern w:val="2"/>
          <w:sz w:val="32"/>
          <w:szCs w:val="32"/>
          <w:lang w:val="en-US" w:eastAsia="zh-CN" w:bidi="ar-SA"/>
        </w:rPr>
        <w:t>共有两家涉重金属企业，分别是济宁中银电化有限公司和山东裕得金属制品股份有限公司。生态环境局严把项目审批关，从源头上控制农村污染，提高建设项目准入门槛，再好的项目，只要影响农村环境，坚决不要，再大的客商，只要影响群众利益，坚决拒绝。</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近年来生态环境局牵头多部门配合开展了打击涉危险废物环境违法犯罪行动，印发了《汶上县危险废物拉网式起底式排查整治专项行动》，</w:t>
      </w:r>
      <w:r>
        <w:rPr>
          <w:rFonts w:hint="default" w:ascii="仿宋_GB2312" w:hAnsi="仿宋_GB2312" w:eastAsia="仿宋_GB2312" w:cs="仿宋_GB2312"/>
          <w:color w:val="auto"/>
          <w:kern w:val="2"/>
          <w:sz w:val="32"/>
          <w:szCs w:val="32"/>
          <w:lang w:val="en-US" w:eastAsia="zh-CN" w:bidi="ar-SA"/>
        </w:rPr>
        <w:t>成立专项检查组开展督查，主要针对辖区外环境及工业固体废物产生单位、固废堆场和危险废物开展现场检查</w:t>
      </w:r>
      <w:r>
        <w:rPr>
          <w:rFonts w:hint="eastAsia" w:ascii="仿宋_GB2312" w:hAnsi="仿宋_GB2312" w:eastAsia="仿宋_GB2312" w:cs="仿宋_GB2312"/>
          <w:color w:val="auto"/>
          <w:kern w:val="2"/>
          <w:sz w:val="32"/>
          <w:szCs w:val="32"/>
          <w:lang w:val="en-US" w:eastAsia="zh-CN" w:bidi="ar-SA"/>
        </w:rPr>
        <w:t>，把提升危险废物规范化管理水平纳入日常管理工作。</w:t>
      </w:r>
      <w:r>
        <w:rPr>
          <w:rFonts w:hint="default" w:ascii="仿宋_GB2312" w:hAnsi="仿宋_GB2312" w:eastAsia="仿宋_GB2312" w:cs="仿宋_GB2312"/>
          <w:color w:val="auto"/>
          <w:kern w:val="2"/>
          <w:sz w:val="32"/>
          <w:szCs w:val="32"/>
          <w:lang w:val="en-US" w:eastAsia="zh-CN" w:bidi="ar-SA"/>
        </w:rPr>
        <w:t>对重点危险废物、涉重金属、重点固废企业开展执法检查，进行规范化管理，对沿河沿湖沿岸、废弃矿井、矿坑、废矿山等较隐蔽的部位进行排查，严厉打击固体废物非法排放倾倒行为</w:t>
      </w:r>
      <w:r>
        <w:rPr>
          <w:rFonts w:hint="eastAsia" w:ascii="仿宋_GB2312" w:hAnsi="仿宋_GB2312" w:eastAsia="仿宋_GB2312" w:cs="仿宋_GB2312"/>
          <w:color w:val="auto"/>
          <w:kern w:val="2"/>
          <w:sz w:val="32"/>
          <w:szCs w:val="32"/>
          <w:lang w:val="en-US" w:eastAsia="zh-CN" w:bidi="ar-SA"/>
        </w:rPr>
        <w:t>，防止污染土壤。加大执法力度，对不符合危险废物规范化管理要求的企业责令其进行整改，对危险废物固体废物通过“上山下乡”造成环境违法的，依法依规予以严厉处罚。对两家涉重金属企业我们经常开展执法检查，使用土壤重金属分析仪定期对现场土壤进行检测。</w:t>
      </w:r>
    </w:p>
    <w:p>
      <w:pPr>
        <w:pStyle w:val="6"/>
        <w:numPr>
          <w:ilvl w:val="0"/>
          <w:numId w:val="0"/>
        </w:numPr>
        <w:spacing w:line="560" w:lineRule="exact"/>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下步</w:t>
      </w:r>
      <w:r>
        <w:rPr>
          <w:rFonts w:hint="default" w:ascii="仿宋_GB2312" w:hAnsi="仿宋_GB2312" w:eastAsia="仿宋_GB2312" w:cs="仿宋_GB2312"/>
          <w:color w:val="auto"/>
          <w:kern w:val="2"/>
          <w:sz w:val="32"/>
          <w:szCs w:val="32"/>
          <w:lang w:val="en-US" w:eastAsia="zh-CN" w:bidi="ar-SA"/>
        </w:rPr>
        <w:t>我们将进一步压实环保责任，深入开展污染防治</w:t>
      </w:r>
      <w:r>
        <w:rPr>
          <w:rFonts w:hint="eastAsia" w:ascii="仿宋_GB2312" w:hAnsi="仿宋_GB2312" w:eastAsia="仿宋_GB2312" w:cs="仿宋_GB2312"/>
          <w:color w:val="auto"/>
          <w:kern w:val="2"/>
          <w:sz w:val="32"/>
          <w:szCs w:val="32"/>
          <w:lang w:val="en-US" w:eastAsia="zh-CN" w:bidi="ar-SA"/>
        </w:rPr>
        <w:t>工作</w:t>
      </w:r>
      <w:r>
        <w:rPr>
          <w:rFonts w:hint="default" w:ascii="仿宋_GB2312" w:hAnsi="仿宋_GB2312" w:eastAsia="仿宋_GB2312" w:cs="仿宋_GB2312"/>
          <w:color w:val="auto"/>
          <w:kern w:val="2"/>
          <w:sz w:val="32"/>
          <w:szCs w:val="32"/>
          <w:lang w:val="en-US" w:eastAsia="zh-CN" w:bidi="ar-SA"/>
        </w:rPr>
        <w:t>，始终保持环境执法高压态势，推动</w:t>
      </w:r>
      <w:r>
        <w:rPr>
          <w:rFonts w:hint="eastAsia" w:ascii="仿宋_GB2312" w:hAnsi="仿宋_GB2312" w:eastAsia="仿宋_GB2312" w:cs="仿宋_GB2312"/>
          <w:color w:val="auto"/>
          <w:kern w:val="2"/>
          <w:sz w:val="32"/>
          <w:szCs w:val="32"/>
          <w:lang w:val="en-US" w:eastAsia="zh-CN" w:bidi="ar-SA"/>
        </w:rPr>
        <w:t>农业农村</w:t>
      </w:r>
      <w:r>
        <w:rPr>
          <w:rFonts w:hint="default" w:ascii="仿宋_GB2312" w:hAnsi="仿宋_GB2312" w:eastAsia="仿宋_GB2312" w:cs="仿宋_GB2312"/>
          <w:color w:val="auto"/>
          <w:kern w:val="2"/>
          <w:sz w:val="32"/>
          <w:szCs w:val="32"/>
          <w:lang w:val="en-US" w:eastAsia="zh-CN" w:bidi="ar-SA"/>
        </w:rPr>
        <w:t>高质量发展，</w:t>
      </w:r>
      <w:r>
        <w:rPr>
          <w:rFonts w:hint="eastAsia" w:ascii="仿宋_GB2312" w:hAnsi="仿宋_GB2312" w:eastAsia="仿宋_GB2312" w:cs="仿宋_GB2312"/>
          <w:color w:val="auto"/>
          <w:kern w:val="2"/>
          <w:sz w:val="32"/>
          <w:szCs w:val="32"/>
          <w:lang w:val="en-US" w:eastAsia="zh-CN" w:bidi="ar-SA"/>
        </w:rPr>
        <w:t>为乡村生态振兴做出应有贡献</w:t>
      </w:r>
      <w:r>
        <w:rPr>
          <w:rFonts w:hint="default" w:ascii="仿宋_GB2312" w:hAnsi="仿宋_GB2312" w:eastAsia="仿宋_GB2312" w:cs="仿宋_GB2312"/>
          <w:color w:val="auto"/>
          <w:kern w:val="2"/>
          <w:sz w:val="32"/>
          <w:szCs w:val="32"/>
          <w:lang w:val="en-US" w:eastAsia="zh-CN" w:bidi="ar-SA"/>
        </w:rPr>
        <w:t>。</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再次谢谢您对环保工作的关心和支持，欢迎今后多提宝贵意见。</w:t>
      </w:r>
    </w:p>
    <w:p>
      <w:pPr>
        <w:pStyle w:val="6"/>
        <w:numPr>
          <w:ilvl w:val="0"/>
          <w:numId w:val="0"/>
        </w:numPr>
        <w:spacing w:line="560" w:lineRule="exact"/>
        <w:ind w:firstLine="3840" w:firstLineChars="1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济宁市生态环境局汶上县分局</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2022年</w:t>
      </w:r>
      <w:r>
        <w:rPr>
          <w:rFonts w:hint="eastAsia" w:hAnsi="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t>月</w:t>
      </w:r>
      <w:r>
        <w:rPr>
          <w:rFonts w:hint="eastAsia" w:hAnsi="仿宋_GB2312" w:cs="仿宋_GB2312"/>
          <w:color w:val="auto"/>
          <w:kern w:val="2"/>
          <w:sz w:val="32"/>
          <w:szCs w:val="32"/>
          <w:lang w:val="en-US" w:eastAsia="zh-CN" w:bidi="ar-SA"/>
        </w:rPr>
        <w:t>15</w:t>
      </w:r>
      <w:r>
        <w:rPr>
          <w:rFonts w:hint="eastAsia" w:ascii="仿宋_GB2312" w:hAnsi="仿宋_GB2312" w:eastAsia="仿宋_GB2312" w:cs="仿宋_GB2312"/>
          <w:color w:val="auto"/>
          <w:kern w:val="2"/>
          <w:sz w:val="32"/>
          <w:szCs w:val="32"/>
          <w:lang w:val="en-US" w:eastAsia="zh-CN" w:bidi="ar-SA"/>
        </w:rPr>
        <w:t>日</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签 发 人：李  伟</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 系 人：王漫雪</w:t>
      </w:r>
    </w:p>
    <w:p>
      <w:pPr>
        <w:pStyle w:val="6"/>
        <w:numPr>
          <w:ilvl w:val="0"/>
          <w:numId w:val="0"/>
        </w:numPr>
        <w:spacing w:line="560" w:lineRule="exact"/>
        <w:ind w:firstLine="640" w:firstLineChars="200"/>
        <w:rPr>
          <w:rFonts w:hint="eastAsia" w:hAnsi="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联系电话：</w:t>
      </w:r>
      <w:r>
        <w:rPr>
          <w:rFonts w:hint="eastAsia" w:hAnsi="仿宋_GB2312" w:cs="仿宋_GB2312"/>
          <w:color w:val="auto"/>
          <w:kern w:val="2"/>
          <w:sz w:val="32"/>
          <w:szCs w:val="32"/>
          <w:lang w:val="en-US" w:eastAsia="zh-CN" w:bidi="ar-SA"/>
        </w:rPr>
        <w:t>3231211</w:t>
      </w:r>
    </w:p>
    <w:p>
      <w:pPr>
        <w:pStyle w:val="6"/>
        <w:numPr>
          <w:ilvl w:val="0"/>
          <w:numId w:val="0"/>
        </w:numPr>
        <w:spacing w:line="56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类    别：A</w:t>
      </w:r>
    </w:p>
    <w:p/>
    <w:p>
      <w:pPr>
        <w:pStyle w:val="8"/>
      </w:pPr>
    </w:p>
    <w:p>
      <w:pPr>
        <w:pStyle w:val="8"/>
      </w:pPr>
    </w:p>
    <w:p>
      <w:pPr>
        <w:pStyle w:val="8"/>
      </w:pPr>
    </w:p>
    <w:p>
      <w:pPr>
        <w:pStyle w:val="8"/>
      </w:pPr>
    </w:p>
    <w:p>
      <w:pPr>
        <w:pStyle w:val="8"/>
      </w:pPr>
    </w:p>
    <w:p>
      <w:pPr>
        <w:pStyle w:val="8"/>
      </w:pPr>
    </w:p>
    <w:p>
      <w:pPr>
        <w:pStyle w:val="8"/>
      </w:pPr>
    </w:p>
    <w:p>
      <w:pPr>
        <w:pStyle w:val="8"/>
      </w:pPr>
    </w:p>
    <w:p>
      <w:pPr>
        <w:ind w:firstLine="440" w:firstLineChars="100"/>
        <w:rPr>
          <w:rFonts w:hint="eastAsia" w:ascii="方正小标宋简体" w:hAnsi="方正小标宋简体" w:eastAsia="方正小标宋简体" w:cs="方正小标宋简体"/>
          <w:sz w:val="44"/>
          <w:szCs w:val="44"/>
        </w:rPr>
      </w:pPr>
    </w:p>
    <w:p>
      <w:pPr>
        <w:pStyle w:val="8"/>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YmNjMzQ5MTMwZjA5YTdiMmQ0YTIzYWNhYjA3MzMifQ=="/>
  </w:docVars>
  <w:rsids>
    <w:rsidRoot w:val="6B49691E"/>
    <w:rsid w:val="0926237D"/>
    <w:rsid w:val="09924C4B"/>
    <w:rsid w:val="0D780CCE"/>
    <w:rsid w:val="0F6634D4"/>
    <w:rsid w:val="12955782"/>
    <w:rsid w:val="1ABA46D4"/>
    <w:rsid w:val="1D5D2CEE"/>
    <w:rsid w:val="27EE5919"/>
    <w:rsid w:val="2B395AE8"/>
    <w:rsid w:val="36456646"/>
    <w:rsid w:val="48AB465B"/>
    <w:rsid w:val="4D011E26"/>
    <w:rsid w:val="51EE0B2B"/>
    <w:rsid w:val="51F35548"/>
    <w:rsid w:val="537A3DDB"/>
    <w:rsid w:val="55975EE6"/>
    <w:rsid w:val="58214DBF"/>
    <w:rsid w:val="604F4E8B"/>
    <w:rsid w:val="612B26D0"/>
    <w:rsid w:val="62197F4B"/>
    <w:rsid w:val="62F1759F"/>
    <w:rsid w:val="646D7339"/>
    <w:rsid w:val="64744EC0"/>
    <w:rsid w:val="68DC1286"/>
    <w:rsid w:val="6B49691E"/>
    <w:rsid w:val="716A38D3"/>
    <w:rsid w:val="74B0519D"/>
    <w:rsid w:val="79DC50C3"/>
    <w:rsid w:val="7BB00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snapToGrid w:val="0"/>
      <w:spacing w:line="640" w:lineRule="exact"/>
      <w:ind w:firstLine="705"/>
    </w:pPr>
    <w:rPr>
      <w:rFonts w:ascii="仿宋_GB2312" w:eastAsia="仿宋_GB2312"/>
      <w:color w:val="000000"/>
      <w:sz w:val="36"/>
      <w:szCs w:val="36"/>
    </w:rPr>
  </w:style>
  <w:style w:type="paragraph" w:styleId="7">
    <w:name w:val="Normal (Web)"/>
    <w:basedOn w:val="1"/>
    <w:unhideWhenUsed/>
    <w:qFormat/>
    <w:uiPriority w:val="0"/>
    <w:pPr>
      <w:adjustRightInd/>
      <w:snapToGrid/>
      <w:spacing w:before="100" w:beforeAutospacing="1" w:after="100" w:afterAutospacing="1" w:line="240" w:lineRule="auto"/>
      <w:ind w:firstLine="0" w:firstLineChars="0"/>
    </w:pPr>
    <w:rPr>
      <w:rFonts w:ascii="宋体" w:hAnsi="宋体" w:cs="宋体"/>
      <w:szCs w:val="24"/>
    </w:rPr>
  </w:style>
  <w:style w:type="paragraph" w:styleId="8">
    <w:name w:val="Body Text First Indent 2"/>
    <w:basedOn w:val="3"/>
    <w:qFormat/>
    <w:uiPriority w:val="0"/>
    <w:pPr>
      <w:ind w:firstLine="420" w:firstLineChars="200"/>
    </w:pPr>
  </w:style>
  <w:style w:type="paragraph" w:customStyle="1" w:styleId="11">
    <w:name w:val="页眉1"/>
    <w:qFormat/>
    <w:uiPriority w:val="0"/>
    <w:pPr>
      <w:widowControl w:val="0"/>
      <w:tabs>
        <w:tab w:val="center" w:pos="4153"/>
        <w:tab w:val="right" w:pos="8306"/>
      </w:tabs>
      <w:jc w:val="center"/>
    </w:pPr>
    <w:rPr>
      <w:rFonts w:ascii="Trebuchet MS" w:hAnsi="Trebuchet MS" w:eastAsia="ヒラギノ角ゴ Pro W3" w:cs="Times New Roman"/>
      <w:color w:val="000000"/>
      <w:kern w:val="2"/>
      <w:sz w:val="1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3865</Words>
  <Characters>3943</Characters>
  <Lines>0</Lines>
  <Paragraphs>0</Paragraphs>
  <TotalTime>57</TotalTime>
  <ScaleCrop>false</ScaleCrop>
  <LinksUpToDate>false</LinksUpToDate>
  <CharactersWithSpaces>4024</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2022-04-12T01:38:00Z</dcterms:created>
  <dc:creator>Administrator</dc:creator>
  <cp:lastModifiedBy>Administrator</cp:lastModifiedBy>
  <dcterms:modified xsi:type="dcterms:W3CDTF">2022-09-14T03:34:38Z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6EA6238EA23948A38B5682E9707E58CC</vt:lpwstr>
  </property>
</Properties>
</file>