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37FFF">
      <w:pPr>
        <w:spacing w:line="590" w:lineRule="exact"/>
        <w:ind w:right="-100" w:rightChars="-50"/>
        <w:jc w:val="center"/>
        <w:rPr>
          <w:rFonts w:hint="eastAsia" w:ascii="Times New Roman" w:hAnsi="Times New Roman" w:eastAsia="方正小标宋简体" w:cs="方正小标宋简体"/>
          <w:b/>
          <w:bCs w:val="0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  <w:t>中都街道办事处</w:t>
      </w:r>
      <w:r>
        <w:rPr>
          <w:rFonts w:hint="eastAsia" w:ascii="Times New Roman" w:hAnsi="Times New Roman" w:eastAsia="方正小标宋简体" w:cs="方正小标宋简体"/>
          <w:b/>
          <w:bCs w:val="0"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方正小标宋简体"/>
          <w:b/>
          <w:bCs w:val="0"/>
          <w:color w:val="000000"/>
          <w:sz w:val="44"/>
          <w:szCs w:val="44"/>
        </w:rPr>
        <w:t>年政府信息公开</w:t>
      </w:r>
    </w:p>
    <w:p w14:paraId="6824E2C6">
      <w:pPr>
        <w:spacing w:line="590" w:lineRule="exact"/>
        <w:ind w:right="-100" w:rightChars="-50"/>
        <w:jc w:val="center"/>
        <w:rPr>
          <w:rFonts w:hint="eastAsia" w:ascii="Times New Roman" w:hAnsi="Times New Roman" w:eastAsia="方正小标宋_GBK" w:cs="方正小标宋_GBK"/>
          <w:b/>
          <w:bCs w:val="0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 w:val="0"/>
          <w:color w:val="000000"/>
          <w:sz w:val="44"/>
          <w:szCs w:val="44"/>
        </w:rPr>
        <w:t>工作年度报告</w:t>
      </w:r>
    </w:p>
    <w:p w14:paraId="3455BF76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/>
          <w:b/>
          <w:bCs w:val="0"/>
          <w:color w:val="000000"/>
          <w:sz w:val="32"/>
          <w:szCs w:val="32"/>
        </w:rPr>
      </w:pPr>
    </w:p>
    <w:p w14:paraId="40266E1C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  <w:t>本报告由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lang w:val="en-US" w:eastAsia="zh-CN"/>
        </w:rPr>
        <w:t>中都街道办事处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3501D363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544DC738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  <w:t>本报告所列数据的统计期限自202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  <w:t>年1月1日起至202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  <w:t>年12月31日止。本报告电子版可在“中国·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  <w:t>”政府门户网站（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http://www.wenshang.gov.cn/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  <w:t>）查阅或下载。如对本报告有疑问，请与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中都街道办事处联系（地址：汶上县圣泽大街2588-10号，联系电话：0537-658071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</w:rPr>
        <w:t>。</w:t>
      </w:r>
    </w:p>
    <w:p w14:paraId="5F7BA0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黑体" w:cs="黑体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黑体" w:cs="黑体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一、总体情况</w:t>
      </w:r>
    </w:p>
    <w:p w14:paraId="0D95415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right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2025年度，在县委、县政府的统一部署下，街道全面贯彻落实《中华人民共和国政府信息公开条例》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省市县基层政务公开工作要求。紧扣街道中心工作与民生关切，以提升政务透明度和群众获得感为导向，深化政务公开内涵建设，严格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遵守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“公开为常态、不公开为例外”准则，全力推进主动公开提质增效，打造规范、高效、便民的政务信息公开体系。</w:t>
      </w:r>
    </w:p>
    <w:p w14:paraId="590D0A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一</w:t>
      </w:r>
      <w:r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主动公开情况</w:t>
      </w:r>
    </w:p>
    <w:p w14:paraId="69DDB62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yellow"/>
        </w:rPr>
      </w:pP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年，中都街道政府信息主动公开共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条，其中，行政权力运行公开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条，公告公示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条、规划计划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条、会议公开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条、行政权力公开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条、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财政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预算决算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条、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扩大有效投资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1条、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其他法定公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开内容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条、政务公开组织管理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条、政务公开基础建设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条。</w:t>
      </w:r>
    </w:p>
    <w:p w14:paraId="5C0AA742">
      <w:pPr>
        <w:rPr>
          <w:rFonts w:hint="eastAsia" w:ascii="Times New Roman" w:hAnsi="Times New Roman" w:eastAsia="仿宋_GB2312" w:cs="仿宋_GB2312"/>
          <w:b/>
          <w:bCs w:val="0"/>
        </w:rPr>
      </w:pPr>
      <w:r>
        <w:rPr>
          <w:rFonts w:hint="eastAsia" w:ascii="Times New Roman" w:hAnsi="Times New Roman" w:eastAsia="仿宋_GB2312" w:cs="仿宋_GB2312"/>
          <w:b/>
          <w:bCs w:val="0"/>
        </w:rPr>
        <w:drawing>
          <wp:inline distT="0" distB="0" distL="114300" distR="114300">
            <wp:extent cx="5272405" cy="2645410"/>
            <wp:effectExtent l="0" t="0" r="0" b="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71B5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b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</w:rPr>
        <w:t>（二）依申请公开情况</w:t>
      </w:r>
    </w:p>
    <w:p w14:paraId="1F287E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年，街道明确依申请公开工作程序，加强工作规范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，共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受理依申请公开政府信息情况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件，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申请内容为</w:t>
      </w:r>
      <w:r>
        <w:rPr>
          <w:rFonts w:hint="eastAsia" w:ascii="Times New Roman" w:hAnsi="Times New Roman" w:eastAsia="仿宋_GB2312" w:cs="仿宋_GB2312"/>
          <w:b/>
          <w:bCs w:val="0"/>
          <w:sz w:val="32"/>
        </w:rPr>
        <w:t>物业服务企业入驻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等情况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已按时依法依规答复到位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，未收取任何费用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。</w:t>
      </w:r>
    </w:p>
    <w:p w14:paraId="25B764D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（三）政府信息管理情况</w:t>
      </w:r>
    </w:p>
    <w:p w14:paraId="3CBA21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一是健全制度体系。严格对标上级基层政务公开标准化规范化要求，结合街道实际修订完善核心制度，明确信息采集、审核、发布、归档全流程规范，构建权责清晰的管理框架。二是完善动态调整机制。建立公开事项动态梳理机制，结合法规修订、群众关切变化，增补民生保障等重点领域事项，删减失效内容确保与实际精准匹配。三是规范文件管理。建立规范性文件全生命周期管理模式，对现行文件分类汇编公开，同步开展到期清理工作，保障政策体系有序。</w:t>
      </w:r>
    </w:p>
    <w:p w14:paraId="23CEAD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（四）政府信息公开平台建设情况</w:t>
      </w:r>
    </w:p>
    <w:p w14:paraId="78121CA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一是规范网站专栏建设。在首页规范设置公开专栏，统一栏目名称和格式，集中展示核心板块并优化层级结构，提升内容可读性保障权威信息获取。二是强化新媒体运营。依托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视频号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搭建轻量化平台，聚焦群众关切开设专题栏目，规范发布频次和格式建立全流程管理机制，优化互动功能及时回应咨询实现“指尖可达”。三是完善线下场所。按标准在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为民服务大厅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设公开专区，配备相关设施摆放纸质材料，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安排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专人更新答疑打通服务“最后一公里”。</w:t>
      </w:r>
    </w:p>
    <w:p w14:paraId="19B554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（五）监督保障情况</w:t>
      </w:r>
    </w:p>
    <w:p w14:paraId="7F9E59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一是强化监督指导。成立工作领导小组，定期召开专题会议部署工作，开展专项督导核查信息发布关键环节，对问题建立台账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限期整改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跟踪销号保障落地。二是完善人员机构。明确党政办为牵头机构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配备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名专职人员，各科室指定联络员组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建工作队伍，建立常态化沟通机制形成上下联动格局。</w:t>
      </w:r>
    </w:p>
    <w:p w14:paraId="5C00FB1B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黑体" w:cs="黑体"/>
          <w:b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b/>
          <w:bCs w:val="0"/>
          <w:color w:val="000000"/>
          <w:sz w:val="32"/>
          <w:szCs w:val="32"/>
          <w:highlight w:val="none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570C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A5EFC8F">
            <w:pPr>
              <w:widowControl/>
              <w:spacing w:line="340" w:lineRule="exact"/>
              <w:jc w:val="center"/>
              <w:rPr>
                <w:rFonts w:ascii="Times New Roman" w:hAnsi="Times New Roman" w:eastAsia="黑体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4"/>
                <w:szCs w:val="24"/>
                <w:highlight w:val="none"/>
                <w:lang w:bidi="ar"/>
              </w:rPr>
              <w:t>第二十条第（一）项</w:t>
            </w:r>
          </w:p>
        </w:tc>
      </w:tr>
      <w:tr w14:paraId="504D7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BE5D4CB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D123BC0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0C35B8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411D203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现行有效件数</w:t>
            </w:r>
          </w:p>
        </w:tc>
      </w:tr>
      <w:tr w14:paraId="60F2A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82A2C40"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AA20B20">
            <w:pPr>
              <w:widowControl/>
              <w:spacing w:line="340" w:lineRule="exact"/>
              <w:jc w:val="left"/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A8F3D12">
            <w:pPr>
              <w:widowControl/>
              <w:spacing w:line="340" w:lineRule="exact"/>
              <w:jc w:val="left"/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6117968">
            <w:pPr>
              <w:widowControl/>
              <w:spacing w:line="340" w:lineRule="exact"/>
              <w:jc w:val="left"/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 w14:paraId="5288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5D1C70F"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C107BAB">
            <w:pPr>
              <w:widowControl/>
              <w:spacing w:line="340" w:lineRule="exact"/>
              <w:jc w:val="left"/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ADE55D2">
            <w:pPr>
              <w:widowControl/>
              <w:spacing w:line="340" w:lineRule="exact"/>
              <w:jc w:val="left"/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AE7FD3C">
            <w:pPr>
              <w:widowControl/>
              <w:spacing w:line="340" w:lineRule="exact"/>
              <w:jc w:val="left"/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 w14:paraId="69AF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7C54F0E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4"/>
                <w:szCs w:val="24"/>
                <w:highlight w:val="none"/>
                <w:lang w:bidi="ar"/>
              </w:rPr>
              <w:t>第二十条第（五）项</w:t>
            </w:r>
          </w:p>
        </w:tc>
      </w:tr>
      <w:tr w14:paraId="1C63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0F18AF3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574EC1C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本年处理决定数量</w:t>
            </w:r>
          </w:p>
        </w:tc>
      </w:tr>
      <w:tr w14:paraId="5D60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0391495"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1A85983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  <w:t>196</w:t>
            </w:r>
          </w:p>
        </w:tc>
      </w:tr>
      <w:tr w14:paraId="027F4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D9C64C9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4"/>
                <w:szCs w:val="24"/>
                <w:highlight w:val="none"/>
                <w:lang w:bidi="ar"/>
              </w:rPr>
              <w:t>第二十条第（六）项</w:t>
            </w:r>
          </w:p>
        </w:tc>
      </w:tr>
      <w:tr w14:paraId="107D4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F7AD2CA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4FC90E2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本年处理决定数量</w:t>
            </w:r>
          </w:p>
        </w:tc>
      </w:tr>
      <w:tr w14:paraId="28C1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9599A34"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DBC4BF9">
            <w:pPr>
              <w:widowControl/>
              <w:spacing w:line="340" w:lineRule="exact"/>
              <w:jc w:val="left"/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eastAsia="zh-CN"/>
              </w:rPr>
              <w:t>0</w:t>
            </w:r>
          </w:p>
        </w:tc>
      </w:tr>
      <w:tr w14:paraId="0B6A3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BBA2A59"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B2560C1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 w14:paraId="088F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48CD9A7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4"/>
                <w:szCs w:val="24"/>
                <w:highlight w:val="none"/>
                <w:lang w:bidi="ar"/>
              </w:rPr>
              <w:t>第二十条第（八）项</w:t>
            </w:r>
          </w:p>
        </w:tc>
      </w:tr>
      <w:tr w14:paraId="725C5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E8A15C4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D030789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本年收费金额（单位：万元）</w:t>
            </w:r>
          </w:p>
        </w:tc>
      </w:tr>
      <w:tr w14:paraId="153E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12E1B33"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4"/>
                <w:szCs w:val="24"/>
                <w:highlight w:val="none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19E76FD">
            <w:pPr>
              <w:spacing w:line="340" w:lineRule="exact"/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</w:tbl>
    <w:p w14:paraId="398DAE36">
      <w:pPr>
        <w:spacing w:before="62" w:beforeLines="10" w:after="62" w:afterLines="10" w:line="600" w:lineRule="exact"/>
        <w:ind w:firstLine="643" w:firstLineChars="200"/>
        <w:rPr>
          <w:rFonts w:hint="eastAsia" w:ascii="Times New Roman" w:hAnsi="Times New Roman" w:eastAsia="黑体" w:cs="黑体"/>
          <w:b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b/>
          <w:bCs w:val="0"/>
          <w:sz w:val="32"/>
          <w:szCs w:val="32"/>
          <w:highlight w:val="none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0C4F2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2529A58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楷体"/>
                <w:b/>
                <w:bCs w:val="0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4A3CE06D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申请人情况</w:t>
            </w:r>
          </w:p>
        </w:tc>
      </w:tr>
      <w:tr w14:paraId="110F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40FB5ED">
            <w:pPr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4A0ECA5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5357CF88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12803FA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总计</w:t>
            </w:r>
          </w:p>
        </w:tc>
      </w:tr>
      <w:tr w14:paraId="0514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3F01B2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9411469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D3B4788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商业</w:t>
            </w:r>
          </w:p>
          <w:p w14:paraId="262117F7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59CF47F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科研</w:t>
            </w:r>
          </w:p>
          <w:p w14:paraId="3656AA60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F3A6123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EF701FA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139A24B"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E585193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</w:tr>
      <w:tr w14:paraId="1AE0B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5C60792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A837FA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DD2AB05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AD59FC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F95788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5F824E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DC853D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1BAA4E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4</w:t>
            </w:r>
          </w:p>
        </w:tc>
      </w:tr>
      <w:tr w14:paraId="7715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560383A1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A4111D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1B0406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12C798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2504F6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A580C7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AE154A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422C54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73B10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BA1E22A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562B191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4D9252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110A40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BB87A3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5E1B06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1B0BCA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48BDCD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14D699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5F5B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04B2B62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DC392D0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Times New Roman" w:hAnsi="Times New Roman" w:eastAsia="仿宋_GB2312" w:cs="楷体"/>
                <w:b/>
                <w:bCs w:val="0"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DB8453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E8386F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F2FA84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16D3C1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3DFD8C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5A3D21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8618E3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730B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C3581A8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867B9FD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0D3A779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28F84B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352A35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1D264F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443243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C17686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CA3E60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7BBA98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2E14C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417DBB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AA2FE8E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ABD00B5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4B33D3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3ACB71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50A4A0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EF07EB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7E71A3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AE609D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B2445F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5257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FA9D2E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7191F33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1B0FECA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7185DB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79DFD1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FB77AA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A5684B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C7656E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73CED1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ECF203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D23C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F3F6278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DA6FFC4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5701F12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22D5D4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6A939E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0503D1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28550B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2A5A35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275996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A57C1D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2E27F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D2C48A7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E99D7B4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C2138B1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AB530B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2A794A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407CF8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A4795C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2FD50F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04DF73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66EC6F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2E1A8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6FF08A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25C0BB2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254B720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FB1F15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A33677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EF37F8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7151F0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D434A5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133304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A23B66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365A2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7ED994A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5BB3CDE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75BBD56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EB57EA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73B809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CD2C80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C57110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F2CC8F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45E592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3632D8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7620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901D71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F19ABD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5BBFDC2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2E7DA6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5FCEF3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AFC35D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D053E1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6913F3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B19BB6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CBA823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5A5C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744EC5F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131126E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2B8EE5A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170FB3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F46093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215F89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F68078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054E31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EF5639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298BDE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4</w:t>
            </w:r>
          </w:p>
        </w:tc>
      </w:tr>
      <w:tr w14:paraId="3E52D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3278DD0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CD2C6C1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5A75B10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96B565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BFA29B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65EBC0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32AA93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CAE0FA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883230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0C7378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2F55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05BD9BB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E81C869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ACA2481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9A849A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D048F2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35A2C1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81B4C7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1D89DD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C296B8D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59CEC7D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1CB3E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24873A1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883E1B9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B20D59E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0FAE13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DA8CCA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B8D43C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17262F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321E96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13F207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4274BA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3F048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CAC0004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9182CBD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B0063A7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693751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FD98D4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E50297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1D860C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0C9FFE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3AC412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1374E4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580A6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83CCA68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298914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5261FE8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54D0D1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649ED7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1E9FC3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D1B0C4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B73D97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DE40DC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44CFB0D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25AF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EC83D3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3FCA8DD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2E65239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D3EC5A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62C95C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55F937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D6C242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26BAC9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1F9C71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D3F0D7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CF2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BAA09E2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3DE822D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53D8859">
            <w:pPr>
              <w:widowControl/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07DE4C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810FAB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1A09D4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14945B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DD36E8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9696FE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EF92E9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A246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76A23AE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3747AB0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3CC9CEF">
            <w:pPr>
              <w:widowControl/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1FC0B8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6FEBF8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2C1D9B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C5A5D5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98B51D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81DBD7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FD52A5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1426A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A8F31CD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F1E43FF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AA72D1A">
            <w:pPr>
              <w:widowControl/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E34B30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F3242C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387FC6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792D3A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C48DFB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19E47A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903B0C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0502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00C1833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8CE444C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6F2FFC8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12F1C8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30BC35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8BD93A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CA48AA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3DB497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3AABA4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867103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8D52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572B897">
            <w:pPr>
              <w:spacing w:line="300" w:lineRule="exac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841D8D5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E99065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2DDEC9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9558BA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5A7FE0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23FCC8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3FAAB5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08B33C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4</w:t>
            </w:r>
          </w:p>
        </w:tc>
      </w:tr>
      <w:tr w14:paraId="0A84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3F081AD">
            <w:pPr>
              <w:widowControl/>
              <w:spacing w:line="300" w:lineRule="exact"/>
              <w:jc w:val="left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D321AD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DC531D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2D7395D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4A6D05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A29858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45E7E8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122898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46EE60C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黑体" w:cs="黑体"/>
          <w:b/>
          <w:bCs w:val="0"/>
          <w:sz w:val="32"/>
          <w:szCs w:val="32"/>
        </w:rPr>
      </w:pPr>
      <w:r>
        <w:rPr>
          <w:rFonts w:hint="eastAsia" w:ascii="Times New Roman" w:hAnsi="Times New Roman" w:eastAsia="黑体" w:cs="黑体"/>
          <w:b/>
          <w:bCs w:val="0"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086DE8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D8FDC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625F2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行政诉讼</w:t>
            </w:r>
          </w:p>
        </w:tc>
      </w:tr>
      <w:tr w14:paraId="582388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7BA4F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92028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结果</w:t>
            </w:r>
          </w:p>
          <w:p w14:paraId="0D45174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ABEA4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其他</w:t>
            </w:r>
          </w:p>
          <w:p w14:paraId="66AB15F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44BC0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尚未</w:t>
            </w:r>
          </w:p>
          <w:p w14:paraId="5FA12FB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96002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85F07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AFE35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复议后起诉</w:t>
            </w:r>
          </w:p>
        </w:tc>
      </w:tr>
      <w:tr w14:paraId="07ABEF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D4387F"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8EEBF7"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F631AD"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A46162"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B25DD8"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CD769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结果</w:t>
            </w:r>
          </w:p>
          <w:p w14:paraId="24B03B9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686CA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结果</w:t>
            </w:r>
          </w:p>
          <w:p w14:paraId="0BDD514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DFAAC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其他</w:t>
            </w:r>
          </w:p>
          <w:p w14:paraId="6A6541A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A7241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尚未</w:t>
            </w:r>
          </w:p>
          <w:p w14:paraId="11FA2FF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A0812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1F88B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结果</w:t>
            </w:r>
          </w:p>
          <w:p w14:paraId="6983C8D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59240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结果</w:t>
            </w:r>
          </w:p>
          <w:p w14:paraId="5254620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EF09D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其他</w:t>
            </w:r>
          </w:p>
          <w:p w14:paraId="4EE8B18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AEB94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尚未</w:t>
            </w:r>
          </w:p>
          <w:p w14:paraId="2B34E24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A8222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黑体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b/>
                <w:bCs w:val="0"/>
                <w:sz w:val="21"/>
                <w:szCs w:val="21"/>
                <w:lang w:bidi="ar"/>
              </w:rPr>
              <w:t>总计</w:t>
            </w:r>
          </w:p>
        </w:tc>
      </w:tr>
      <w:tr w14:paraId="69194B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E83EC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22345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42EC7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3EC39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77397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7E796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B0294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D19C1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8D81C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71C6F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732EB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819DE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AE42F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8E1CA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618C91">
            <w:pPr>
              <w:spacing w:line="340" w:lineRule="exact"/>
              <w:ind w:left="-40" w:leftChars="-20" w:right="-40" w:rightChars="-20"/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bCs w:val="0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702010B2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黑体" w:cs="黑体"/>
          <w:b/>
          <w:bCs w:val="0"/>
          <w:sz w:val="32"/>
          <w:szCs w:val="32"/>
        </w:rPr>
      </w:pPr>
      <w:r>
        <w:rPr>
          <w:rFonts w:hint="eastAsia" w:ascii="Times New Roman" w:hAnsi="Times New Roman" w:eastAsia="黑体" w:cs="黑体"/>
          <w:b/>
          <w:bCs w:val="0"/>
          <w:sz w:val="32"/>
          <w:szCs w:val="32"/>
        </w:rPr>
        <w:t>五、存在的主要问题及改进情况</w:t>
      </w:r>
    </w:p>
    <w:p w14:paraId="618DDF1B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 w:val="0"/>
          <w:sz w:val="32"/>
          <w:szCs w:val="32"/>
        </w:rPr>
        <w:t>（一）本年度存在的问题。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一是公开内容针对性与实用性不足，现有公开信息缺乏面向各类主体的实用办事指引信息，已公开的办事相关内容较为简略，未形成清晰指引，导致相关主体难以快速获取关键政务信息；二是公开渠道联动性不强且回应时效滞后，各公开平台存在信息更新不同步现象，针对各类诉求的回应流程不够顺畅，未能及时满足多元信息获取需求。</w:t>
      </w:r>
    </w:p>
    <w:p w14:paraId="411593D9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 w:val="0"/>
          <w:sz w:val="32"/>
          <w:szCs w:val="32"/>
        </w:rPr>
        <w:t>（</w:t>
      </w:r>
      <w:r>
        <w:rPr>
          <w:rFonts w:hint="eastAsia" w:ascii="Times New Roman" w:hAnsi="Times New Roman" w:eastAsia="楷体_GB2312" w:cs="楷体_GB2312"/>
          <w:b/>
          <w:bCs w:val="0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楷体_GB2312" w:cs="楷体_GB2312"/>
          <w:b/>
          <w:bCs w:val="0"/>
          <w:sz w:val="32"/>
          <w:szCs w:val="32"/>
        </w:rPr>
        <w:t>）下一步改进措施。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一是针对公开内容针对性与实用性不足问题，通过多种方式开展信息需求调研，聚焦各类主体核心需求梳理形成重点领域公开清单，新增便民利企相关服务专栏，编制发布规范化办事指引材料，有效提升信息实用性；二是针对渠道联动不畅及回应滞后问题，建立多平台信息同步发布与审核机制，明确责任分工与更新时限，搭建跨部门信息共享协作通道，解决信息更新不同步问题；同时优化各类诉求接收与转办流程，明确办理时限，确保各类政务诉求得到规范高效回应。</w:t>
      </w:r>
    </w:p>
    <w:p w14:paraId="26801B82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黑体" w:cs="黑体"/>
          <w:b/>
          <w:bCs w:val="0"/>
          <w:sz w:val="32"/>
          <w:szCs w:val="32"/>
        </w:rPr>
      </w:pPr>
      <w:r>
        <w:rPr>
          <w:rFonts w:hint="eastAsia" w:ascii="Times New Roman" w:hAnsi="Times New Roman" w:eastAsia="黑体" w:cs="黑体"/>
          <w:b/>
          <w:bCs w:val="0"/>
          <w:sz w:val="32"/>
          <w:szCs w:val="32"/>
        </w:rPr>
        <w:t>六、其他需要报告的事项</w:t>
      </w:r>
    </w:p>
    <w:p w14:paraId="5A7664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一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）本年度街道不存在依据《政府信息公开信息处理费管理办法》收取信息处理费的情况；</w:t>
      </w:r>
    </w:p>
    <w:p w14:paraId="33A0491E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（二）街道严格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按照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上级政务公开工作要点要求，扎实推进各项任务落地。通过调整完善政务公开工作领导小组，明确各科室责任分工，形成闭环推进机制；聚焦民生保障、政务服务等群众关切领域，依托街道政务公开栏、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党群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服务中心等线上线下载体，持续发布政策文件、工作动态、办事指南等各类信息；同步开展政务公开业务培训，规范信息发布审核流程，未发生信息泄密问题。通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eastAsia="zh-CN"/>
        </w:rPr>
        <w:t>过一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系列务实举措，有效提升了政务公开规范化水平，让群众更清晰了解街道工作，切实保障了群众的知情权和参与权；</w:t>
      </w:r>
    </w:p>
    <w:p w14:paraId="16EE457A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（三）</w:t>
      </w: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lang w:val="en-US" w:eastAsia="zh-CN" w:bidi="ar-SA"/>
        </w:rPr>
        <w:t>2025年我街道共承办人大代表建议6件；政协委员提案12件，答复工作全部按时完成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；</w:t>
      </w:r>
    </w:p>
    <w:p w14:paraId="51F1E7CA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楷体_GB2312" w:cs="楷体_GB2312"/>
          <w:b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 w:val="0"/>
          <w:sz w:val="32"/>
          <w:szCs w:val="32"/>
        </w:rPr>
        <w:t>（四）本行政机关年度政务公开工作创新情况</w:t>
      </w:r>
      <w:r>
        <w:rPr>
          <w:rFonts w:hint="eastAsia" w:ascii="Times New Roman" w:hAnsi="Times New Roman" w:eastAsia="楷体_GB2312" w:cs="楷体_GB2312"/>
          <w:b/>
          <w:bCs w:val="0"/>
          <w:sz w:val="32"/>
          <w:szCs w:val="32"/>
          <w:lang w:eastAsia="zh-CN"/>
        </w:rPr>
        <w:t>：</w:t>
      </w:r>
    </w:p>
    <w:p w14:paraId="06A5DAB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lang w:val="en-US" w:eastAsia="zh-CN" w:bidi="ar-SA"/>
        </w:rPr>
        <w:t>本年度，中都街道立足基层政务公开工作实际，以提升公开质效、满足群众需求为导向，从载体、机制、服务三个维度探索创新发展路径，线上依托政务服务平台开设专栏细化信息分类，线下整合为民服务中心、社区等阵地设立咨询专区，并借助网格力量通过入户走访、邻里议事传递政务信息，完善跨科室协同公开责任清单，针对特殊群体推出适老化服务，推动政务公开与便民办事一站式融合，切实提升群众获得感，下一步街道将持续深化创新实践，推动政务公开工作提质增效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C0553"/>
    <w:rsid w:val="13C67275"/>
    <w:rsid w:val="142C636E"/>
    <w:rsid w:val="2C0B1233"/>
    <w:rsid w:val="358160C2"/>
    <w:rsid w:val="4CAD7ED4"/>
    <w:rsid w:val="4FA75417"/>
    <w:rsid w:val="524934EA"/>
    <w:rsid w:val="5E4132B4"/>
    <w:rsid w:val="6DED667A"/>
    <w:rsid w:val="6EAB7F82"/>
    <w:rsid w:val="6EC9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b8cfc9af-fd6e-4330-8593-19814517aec0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544DC738</paraID>
      <start>85</start>
      <end>87</end>
      <status>unmodified</status>
      <modifiedWord/>
      <trackRevisions>false</trackRevisions>
    </reviewItem>
    <reviewItem>
      <errorID>b10cb14d-8d5e-4580-ab42-05b953d12b5d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590D0AF9</paraID>
      <start>2</start>
      <end>3</end>
      <status>modified</status>
      <modifiedWord>）</modifiedWord>
      <trackRevisions>false</trackRevisions>
    </reviewItem>
    <reviewItem>
      <errorID>124ee7dc-c1fa-4a1f-9ac5-d1975e9df55c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78121CA3</paraID>
      <start>160</start>
      <end>161</end>
      <status>unmodified</status>
      <modifiedWord/>
      <trackRevisions>false</trackRevisions>
    </reviewItem>
    <reviewItem>
      <errorID>f922eda1-a83d-466f-b525-fe576807a69e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53CC9CEF</paraID>
      <start>22</start>
      <end>24</end>
      <status>unmodified</status>
      <modifiedWord/>
      <trackRevisions>false</trackRevisions>
    </reviewItem>
    <reviewItem>
      <errorID>9ce93982-eb50-44e5-8941-ea7ec1045136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7AA72D1A</paraID>
      <start>26</start>
      <end>28</end>
      <status>unmodified</status>
      <modifiedWord/>
      <trackRevisions>false</trackRevisions>
    </reviewItem>
    <reviewItem>
      <errorID>d898f67f-e830-4027-b31d-143896f6c129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618DDF1B</paraID>
      <start>11</start>
      <end>12</end>
      <status>unmodified</status>
      <modifiedWord/>
      <trackRevisions>false</trackRevisions>
    </reviewItem>
    <reviewItem>
      <errorID>2d286ceb-b5e9-49cd-ba28-516373abae34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411593D9</paraID>
      <start>10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4ffe823-f27a-46bc-bb83-170b550c11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3064</Words>
  <Characters>3157</Characters>
  <Lines>0</Lines>
  <Paragraphs>0</Paragraphs>
  <TotalTime>121</TotalTime>
  <ScaleCrop>false</ScaleCrop>
  <LinksUpToDate>false</LinksUpToDate>
  <CharactersWithSpaces>3157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2026-01-13T02:52:00Z</dcterms:created>
  <dc:creator>Administrator</dc:creator>
  <cp:lastModifiedBy>乐乐</cp:lastModifiedBy>
  <dcterms:modified xsi:type="dcterms:W3CDTF">2026-01-23T02:23:25Z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eyJoZGlkIjoiZjdiYTk2YjE4MmNlY2I5ZWM3ZTgyOGU5MzEzYzczOGEiLCJ1c2VySWQiOiI2ODMxODY1NjcifQ==</vt:lpwstr>
  </property>
  <property fmtid="{D5CDD505-2E9C-101B-9397-08002B2CF9AE}" pid="4" name="ICV">
    <vt:lpwstr>5645F6AC42F042AEBDF4F67C36339E9D_12</vt:lpwstr>
  </property>
</Properties>
</file>