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ascii="方正仿宋简体" w:eastAsia="方正仿宋简体"/>
          <w:b/>
          <w:color w:val="000000"/>
          <w:sz w:val="32"/>
          <w:szCs w:val="32"/>
        </w:rPr>
      </w:pPr>
      <w:bookmarkStart w:id="0" w:name="_GoBack"/>
      <w:bookmarkEnd w:id="0"/>
    </w:p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汶上县人力资源和社会保障局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本报告由汶上县人力资源和社会保障局按照《中华人民共和国政府信息公开条例》（以下简称《条例》）和《中华人民共和国政府信息公开工作年度报告格式》（国办公开办函〔2021〕30号）要求编制。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汶上县人力资源和社会保障局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汶上县新世纪路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996号政务服务中心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7212757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年，汶上县人力资源和社会保障局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认真贯彻落实关于政府信息公开工作要求，严格按照《条例》和汶上县政务公开有关规定，进一步完善公开办事制度，加强机关效能建设，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围绕社会保险、就业创业、劳动关系、人事人才等重点工作，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做到“应公开尽公开”，自觉接受广大人民群众的监督，不断提高行政行为的透明度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。</w:t>
      </w:r>
    </w:p>
    <w:p>
      <w:pPr>
        <w:spacing w:line="240" w:lineRule="auto"/>
        <w:ind w:right="-100" w:rightChars="-50"/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5724525" cy="4792345"/>
            <wp:effectExtent l="0" t="0" r="9525" b="825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年全年通过部门网站发布政府信息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518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条、“汶上县人社局”公众号发布政府信息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286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发布解读信息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145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条，公开局长办公会议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次。</w:t>
      </w:r>
    </w:p>
    <w:p>
      <w:pPr>
        <w:spacing w:line="240" w:lineRule="auto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4362450" cy="2829560"/>
            <wp:effectExtent l="0" t="0" r="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2022年我局未收到政府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信息公开申请。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一是成立政府信息公开工作专班。充分认识推进政务公开的重要性，确定专职人员，并积极开展传帮带活动，对专职人员加强培训、指导，全面完善政务公开工作，提升政务公开工作质量。加强对政府信息的合法性和保密性审核，按照"以公开为常态、不公开为例外"的原则，确保应公开尽公开。二是加强学习，提升能力。主动安排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专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职人员通过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查阅资料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专题辅导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等方式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学习了解政务公开平台信息发布的工作流程和具体要求。三是对照标准逐项整改。参照市政府信息公开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工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作考核指标的具体点位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全面梳理失分项目和问题根源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确保每项指标都搞清楚、弄明白、整规范。同时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该局拓宽视野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主动学习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将本级政务公开网站平台与市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人社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局政务公开平台整体对比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找准问题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查缺补差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不断完善。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在局网站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开设“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城乡基层就业岗位发布专区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”专栏，系统发布本县最新招聘信息，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有利于群众快速获取相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关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信息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，更好的促进特殊人群就业。2022年，该专栏共发布招聘信息11条。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同时，在“汶上县人社局”公众号、“汶上招聘”公众号、“汶上招聘”微信小程序广泛发布解读政策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、招聘信息，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促进政民互动。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5267960" cy="2800350"/>
            <wp:effectExtent l="0" t="0" r="8890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4434840" cy="5996940"/>
            <wp:effectExtent l="0" t="0" r="3810" b="381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一是按照“应公开尽公开”的要求，完善政府信息公开管理办法，健全政府信息动态调整机制，梳理政府信息公开平台发布栏目，做到发布前严格审核，发布后定期核查信息有效性，对不予公开的政府信息定期进行评估审查，经评估审查后决定予以公开的，及时调整信息公开属性为“主动公开”。二是选优配强工作人员，定期对各科室（单位）公开情况的及时性准确性规范性进行监督检查，进一步强化落实政府信息公开发布、动态调整机制，提升政府信息公开工作质效。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年，我局未发生涉及信息公开事务的行政复议案件。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9.725</w:t>
            </w:r>
          </w:p>
        </w:tc>
      </w:tr>
    </w:tbl>
    <w:p>
      <w:pPr>
        <w:spacing w:before="62" w:beforeLines="10" w:after="62" w:afterLines="10" w:line="600" w:lineRule="exact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default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right="-40" w:rightChars="-20"/>
              <w:jc w:val="both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22" w:firstLineChars="200"/>
        <w:jc w:val="left"/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针对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2021年政府信息公开工作中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对科室单位的业务指导较少，公开信息内容需进一步完善，政策解读力度需要进一步加强等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问题，我局多举措多方面进行整改：一是加大培训力度，确定专职人员，并积极开展传帮带活动，对专职人员加强培训、指导；二是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丰富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政策</w:t>
      </w:r>
      <w:r>
        <w:rPr>
          <w:rStyle w:val="5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解读方式，加大新媒体公开水平，充分利用政务新媒体优势，开展人社政策动漫解读、视频解读</w:t>
      </w:r>
      <w:r>
        <w:rPr>
          <w:rStyle w:val="5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2022年，我局政务公开工作总体较好，但是也存在一些不足。如信息公开及时性和全面性有待进一步加强、政府信息公开平台有待进一步优化、政务公开工作人员整体业务水平还需提高等问题，采取了以下改进措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一是加强指导管理，加强对政府信息公开工作的督办和考核，推进政府信息公开工作常态化、规范化。政府信息公开工作不是一个科室的事，需要相关科室的大力配合。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二是进一步推进政府信息公开平台建设，加强政府信息管理，合理利用网站、公众号等平台公开政府信息，做到多角度解读、多渠道公开、全受众覆盖。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三是加强对政府信息公开工作人员的业务知识和技能培训，增强业务能力和政务公开意识，提升政府信息公开质效。</w:t>
      </w:r>
    </w:p>
    <w:p>
      <w:pPr>
        <w:spacing w:line="590" w:lineRule="exact"/>
        <w:ind w:right="-100" w:rightChars="-50" w:firstLine="641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（一）我部门在本年度未向信息公开申请人收取任何费用；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（二）根据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政府办公室《关于印发2022年政务公开工作任务分解表的通知》要求，结合人社工作实际，制定了《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汶上县人力资源和社会保障局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2022年政务公开重点工作责任分工方案》，并督导科室、单位按照分工认真抓好落实；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（三）2022年，我单位共承办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县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级人大代表建议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件、政协提案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18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件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；未承办省级、市级人大代表建议和政协提案。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我们积极采取有效措施，大力推动建议提案办理工作，落实率和满意率都实现了100%，答复意见和总体情况均在官方网站进行了公开；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3286125" cy="2609850"/>
            <wp:effectExtent l="0" t="0" r="9525" b="0"/>
            <wp:docPr id="7" name="图片 7" descr="微信截图_2023011216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301121640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（四）2022年，我单位创新开展政务公开工作。开展了“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门面房大走访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”“社保政策进万家”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“人社政策助和谐”等活动，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增进了政民互动；开设了“城乡基层就业岗位发布专区”信息公开专栏，为企业和求职者搭建起互通桥梁。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6B1E2B06"/>
    <w:rsid w:val="063D30C4"/>
    <w:rsid w:val="0E4B3BDB"/>
    <w:rsid w:val="105A7543"/>
    <w:rsid w:val="135A334F"/>
    <w:rsid w:val="197459C9"/>
    <w:rsid w:val="1DD46C89"/>
    <w:rsid w:val="219A525F"/>
    <w:rsid w:val="25C97B2A"/>
    <w:rsid w:val="2AC77B84"/>
    <w:rsid w:val="3D592185"/>
    <w:rsid w:val="438751EB"/>
    <w:rsid w:val="449E58D6"/>
    <w:rsid w:val="533D7009"/>
    <w:rsid w:val="53CA6ACB"/>
    <w:rsid w:val="583A5657"/>
    <w:rsid w:val="5AB1340E"/>
    <w:rsid w:val="5DA02AE2"/>
    <w:rsid w:val="647B624F"/>
    <w:rsid w:val="6B1E2B06"/>
    <w:rsid w:val="6DB225B5"/>
    <w:rsid w:val="7DD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2963</Words>
  <Characters>3085</Characters>
  <Lines>0</Lines>
  <Paragraphs>0</Paragraphs>
  <TotalTime>13</TotalTime>
  <ScaleCrop>false</ScaleCrop>
  <LinksUpToDate>false</LinksUpToDate>
  <CharactersWithSpaces>3282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2023-01-12T07:03:00Z</dcterms:created>
  <dc:creator>Triste</dc:creator>
  <cp:lastModifiedBy>Administrator</cp:lastModifiedBy>
  <dcterms:modified xsi:type="dcterms:W3CDTF">2023-02-06T03:48:13Z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EA4C95DFE7904EE793B9F188C5D519C6</vt:lpwstr>
  </property>
</Properties>
</file>