
<file path=[Content_Types].xml><?xml version="1.0" encoding="utf-8"?>
<Types xmlns="http://schemas.openxmlformats.org/package/2006/content-types">
  <Default Extension="jpeg" ContentType="image/jpeg"/>
  <Default Extension="JPG" ContentType="image/.jp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spacing w:before="0" w:after="0" w:line="540" w:lineRule="exact"/>
        <w:jc w:val="center"/>
        <w:rPr>
          <w:rFonts w:ascii="方正小标宋简体" w:hAnsi="方正小标宋简体" w:eastAsia="方正小标宋简体" w:cs="方正小标宋简体"/>
          <w:b w:val="0"/>
          <w:bCs w:val="0"/>
        </w:rPr>
      </w:pPr>
      <w:r>
        <w:rPr>
          <w:rFonts w:hint="eastAsia" w:ascii="方正小标宋简体" w:hAnsi="方正小标宋简体" w:eastAsia="方正小标宋简体" w:cs="方正小标宋简体"/>
          <w:b w:val="0"/>
          <w:bCs w:val="0"/>
          <w:lang w:val="en-US" w:eastAsia="zh-CN"/>
        </w:rPr>
        <w:t>汶上县</w:t>
      </w:r>
      <w:r>
        <w:rPr>
          <w:rFonts w:hint="eastAsia" w:ascii="方正小标宋简体" w:hAnsi="方正小标宋简体" w:eastAsia="方正小标宋简体" w:cs="方正小标宋简体"/>
          <w:b w:val="0"/>
          <w:bCs w:val="0"/>
        </w:rPr>
        <w:t>社会保障卡居民服务“一件事”</w:t>
      </w:r>
    </w:p>
    <w:p>
      <w:pPr>
        <w:pStyle w:val="2"/>
        <w:spacing w:before="0" w:after="0" w:line="540" w:lineRule="exact"/>
        <w:jc w:val="center"/>
        <w:rPr>
          <w:rFonts w:hint="eastAsia" w:ascii="方正小标宋简体" w:hAnsi="方正小标宋简体" w:eastAsia="方正小标宋简体" w:cs="方正小标宋简体"/>
          <w:b w:val="0"/>
          <w:bCs w:val="0"/>
        </w:rPr>
      </w:pPr>
      <w:r>
        <w:rPr>
          <w:rFonts w:hint="eastAsia" w:ascii="方正小标宋简体" w:hAnsi="方正小标宋简体" w:eastAsia="方正小标宋简体" w:cs="方正小标宋简体"/>
          <w:b w:val="0"/>
          <w:bCs w:val="0"/>
        </w:rPr>
        <w:t>办事指南</w:t>
      </w:r>
    </w:p>
    <w:p>
      <w:pPr>
        <w:pStyle w:val="2"/>
        <w:spacing w:before="0" w:after="0" w:line="540" w:lineRule="exact"/>
        <w:ind w:firstLine="600" w:firstLineChars="200"/>
        <w:jc w:val="both"/>
        <w:rPr>
          <w:rFonts w:hint="eastAsia" w:ascii="黑体" w:hAnsi="黑体" w:eastAsia="黑体" w:cs="Times New Roman"/>
          <w:b w:val="0"/>
          <w:bCs w:val="0"/>
          <w:kern w:val="2"/>
          <w:sz w:val="30"/>
          <w:szCs w:val="30"/>
          <w:lang w:val="en-US" w:eastAsia="zh-CN" w:bidi="ar-SA"/>
        </w:rPr>
      </w:pPr>
      <w:r>
        <w:rPr>
          <w:rFonts w:hint="eastAsia" w:ascii="黑体" w:hAnsi="黑体" w:eastAsia="黑体" w:cs="Times New Roman"/>
          <w:b w:val="0"/>
          <w:bCs w:val="0"/>
          <w:kern w:val="2"/>
          <w:sz w:val="30"/>
          <w:szCs w:val="30"/>
          <w:lang w:val="en-US" w:eastAsia="zh-CN" w:bidi="ar-SA"/>
        </w:rPr>
        <w:t>一、事项名称</w:t>
      </w:r>
    </w:p>
    <w:p>
      <w:pPr>
        <w:pStyle w:val="7"/>
        <w:spacing w:line="540" w:lineRule="exact"/>
        <w:ind w:firstLine="640"/>
        <w:rPr>
          <w:rFonts w:hint="eastAsia" w:ascii="仿宋" w:hAnsi="仿宋" w:eastAsia="仿宋" w:cs="黑体"/>
          <w:sz w:val="32"/>
          <w:szCs w:val="32"/>
        </w:rPr>
      </w:pPr>
      <w:r>
        <w:rPr>
          <w:rFonts w:hint="eastAsia" w:ascii="仿宋" w:hAnsi="仿宋" w:eastAsia="仿宋" w:cs="黑体"/>
          <w:sz w:val="32"/>
          <w:szCs w:val="32"/>
        </w:rPr>
        <w:t>社会保障卡居民服务“一件事”</w:t>
      </w:r>
    </w:p>
    <w:p>
      <w:pPr>
        <w:pStyle w:val="7"/>
        <w:spacing w:line="540" w:lineRule="exact"/>
        <w:ind w:firstLine="640"/>
        <w:rPr>
          <w:rFonts w:hint="eastAsia" w:ascii="黑体" w:hAnsi="黑体" w:eastAsia="黑体"/>
          <w:sz w:val="30"/>
          <w:szCs w:val="30"/>
        </w:rPr>
      </w:pPr>
      <w:r>
        <w:rPr>
          <w:rFonts w:hint="eastAsia" w:ascii="黑体" w:hAnsi="黑体" w:eastAsia="黑体"/>
          <w:sz w:val="30"/>
          <w:szCs w:val="30"/>
        </w:rPr>
        <w:t>二、</w:t>
      </w:r>
      <w:r>
        <w:rPr>
          <w:rFonts w:hint="eastAsia" w:ascii="黑体" w:hAnsi="黑体" w:eastAsia="黑体"/>
          <w:sz w:val="30"/>
          <w:szCs w:val="30"/>
          <w:lang w:val="en-US" w:eastAsia="zh-CN"/>
        </w:rPr>
        <w:t>服务</w:t>
      </w:r>
      <w:r>
        <w:rPr>
          <w:rFonts w:hint="eastAsia" w:ascii="黑体" w:hAnsi="黑体" w:eastAsia="黑体"/>
          <w:sz w:val="30"/>
          <w:szCs w:val="30"/>
        </w:rPr>
        <w:t>事项</w:t>
      </w:r>
    </w:p>
    <w:p>
      <w:pPr>
        <w:spacing w:line="540" w:lineRule="exact"/>
        <w:ind w:firstLine="640" w:firstLineChars="200"/>
        <w:rPr>
          <w:rFonts w:ascii="仿宋" w:hAnsi="仿宋" w:eastAsia="仿宋" w:cs="仿宋_GB2312"/>
        </w:rPr>
      </w:pPr>
      <w:r>
        <w:rPr>
          <w:rFonts w:hint="eastAsia" w:ascii="仿宋" w:hAnsi="仿宋" w:eastAsia="仿宋" w:cs="仿宋_GB2312"/>
        </w:rPr>
        <w:t>（一）人社领域：就业登记、失业保险申领、个人参保证明查询打印、个人参保缴费明细查询、养老保险待遇发放。</w:t>
      </w:r>
    </w:p>
    <w:p>
      <w:pPr>
        <w:spacing w:line="540" w:lineRule="exact"/>
        <w:ind w:firstLine="640" w:firstLineChars="200"/>
        <w:rPr>
          <w:rFonts w:ascii="仿宋" w:hAnsi="仿宋" w:eastAsia="仿宋" w:cs="仿宋_GB2312"/>
        </w:rPr>
      </w:pPr>
      <w:r>
        <w:rPr>
          <w:rFonts w:hint="eastAsia" w:ascii="仿宋" w:hAnsi="仿宋" w:eastAsia="仿宋" w:cs="仿宋_GB2312"/>
        </w:rPr>
        <w:t>（二）就医购药领域：医疗保险关系转移接续、就医购药联网结算、异地就医购药直接结算。</w:t>
      </w:r>
    </w:p>
    <w:p>
      <w:pPr>
        <w:spacing w:line="540" w:lineRule="exact"/>
        <w:ind w:firstLine="640" w:firstLineChars="200"/>
        <w:rPr>
          <w:rFonts w:ascii="仿宋" w:hAnsi="仿宋" w:eastAsia="仿宋" w:cs="仿宋_GB2312"/>
        </w:rPr>
      </w:pPr>
      <w:r>
        <w:rPr>
          <w:rFonts w:hint="eastAsia" w:ascii="仿宋" w:hAnsi="仿宋" w:eastAsia="仿宋" w:cs="仿宋_GB2312"/>
        </w:rPr>
        <w:t>（三）交通出行领域：城市公共交通乘车服务、高速个人ETC收费服务。</w:t>
      </w:r>
    </w:p>
    <w:p>
      <w:pPr>
        <w:spacing w:line="540" w:lineRule="exact"/>
        <w:ind w:firstLine="640" w:firstLineChars="200"/>
        <w:rPr>
          <w:rFonts w:hint="eastAsia" w:ascii="仿宋" w:hAnsi="仿宋" w:eastAsia="仿宋" w:cs="仿宋_GB2312"/>
        </w:rPr>
      </w:pPr>
      <w:r>
        <w:rPr>
          <w:rFonts w:hint="eastAsia" w:ascii="仿宋" w:hAnsi="仿宋" w:eastAsia="仿宋" w:cs="仿宋_GB2312"/>
        </w:rPr>
        <w:t>（四）文化体验领域：图书馆借阅服务、博物馆入馆服务、旅游景区入园服务。</w:t>
      </w:r>
    </w:p>
    <w:p>
      <w:pPr>
        <w:pStyle w:val="2"/>
        <w:spacing w:before="0" w:after="0" w:line="540" w:lineRule="exact"/>
        <w:ind w:firstLine="600" w:firstLineChars="200"/>
        <w:jc w:val="both"/>
        <w:rPr>
          <w:rFonts w:hint="eastAsia" w:ascii="黑体" w:hAnsi="黑体" w:eastAsia="黑体" w:cs="Times New Roman"/>
          <w:b w:val="0"/>
          <w:bCs w:val="0"/>
          <w:kern w:val="2"/>
          <w:sz w:val="30"/>
          <w:szCs w:val="30"/>
          <w:lang w:val="en-US" w:eastAsia="zh-CN" w:bidi="ar-SA"/>
        </w:rPr>
      </w:pPr>
      <w:r>
        <w:rPr>
          <w:rFonts w:hint="eastAsia" w:ascii="黑体" w:hAnsi="黑体" w:eastAsia="黑体" w:cs="Times New Roman"/>
          <w:b w:val="0"/>
          <w:bCs w:val="0"/>
          <w:kern w:val="2"/>
          <w:sz w:val="30"/>
          <w:szCs w:val="30"/>
          <w:lang w:val="en-US" w:eastAsia="zh-CN" w:bidi="ar-SA"/>
        </w:rPr>
        <w:t>三、办理条件</w:t>
      </w:r>
    </w:p>
    <w:p>
      <w:pPr>
        <w:pStyle w:val="7"/>
        <w:spacing w:line="540" w:lineRule="exact"/>
        <w:ind w:firstLine="640"/>
        <w:rPr>
          <w:rFonts w:hint="default" w:ascii="仿宋" w:hAnsi="仿宋" w:eastAsia="仿宋" w:cs="仿宋_GB2312"/>
          <w:kern w:val="2"/>
          <w:sz w:val="32"/>
          <w:szCs w:val="32"/>
          <w:lang w:val="en-US" w:eastAsia="zh-CN" w:bidi="ar-SA"/>
        </w:rPr>
      </w:pPr>
      <w:r>
        <w:rPr>
          <w:rFonts w:hint="eastAsia" w:ascii="仿宋" w:hAnsi="仿宋" w:eastAsia="仿宋" w:cs="仿宋_GB2312"/>
          <w:kern w:val="2"/>
          <w:sz w:val="32"/>
          <w:szCs w:val="32"/>
          <w:lang w:val="en-US" w:eastAsia="zh-CN" w:bidi="ar-SA"/>
        </w:rPr>
        <w:t>持有济宁市社会保障卡，且已签领电子社保卡。</w:t>
      </w:r>
    </w:p>
    <w:p>
      <w:pPr>
        <w:pStyle w:val="7"/>
        <w:spacing w:line="540" w:lineRule="exact"/>
        <w:ind w:firstLine="640"/>
        <w:rPr>
          <w:rFonts w:ascii="黑体" w:hAnsi="黑体" w:eastAsia="黑体"/>
          <w:sz w:val="30"/>
          <w:szCs w:val="30"/>
        </w:rPr>
      </w:pPr>
      <w:r>
        <w:rPr>
          <w:rFonts w:hint="eastAsia" w:ascii="黑体" w:hAnsi="黑体" w:eastAsia="黑体"/>
          <w:sz w:val="30"/>
          <w:szCs w:val="30"/>
        </w:rPr>
        <w:t>四、实施机构</w:t>
      </w:r>
    </w:p>
    <w:p>
      <w:pPr>
        <w:overflowPunct w:val="0"/>
        <w:spacing w:line="540" w:lineRule="exact"/>
        <w:ind w:firstLine="600" w:firstLineChars="200"/>
        <w:rPr>
          <w:rFonts w:eastAsia="仿宋"/>
          <w:sz w:val="30"/>
          <w:szCs w:val="30"/>
        </w:rPr>
      </w:pPr>
      <w:r>
        <w:rPr>
          <w:rFonts w:hint="eastAsia" w:eastAsia="仿宋"/>
          <w:sz w:val="30"/>
          <w:szCs w:val="30"/>
        </w:rPr>
        <w:t>市人力资源社会保障局牵头，联合市交通运输局、市文化旅游局、市医疗保障局共同实施。</w:t>
      </w:r>
    </w:p>
    <w:p>
      <w:pPr>
        <w:pStyle w:val="7"/>
        <w:spacing w:line="540" w:lineRule="exact"/>
        <w:ind w:firstLine="640" w:firstLineChars="0"/>
        <w:rPr>
          <w:rFonts w:ascii="黑体" w:hAnsi="黑体" w:eastAsia="黑体" w:cs="黑体"/>
          <w:sz w:val="30"/>
          <w:szCs w:val="30"/>
        </w:rPr>
      </w:pPr>
      <w:r>
        <w:rPr>
          <w:rFonts w:hint="eastAsia" w:ascii="黑体" w:hAnsi="黑体" w:eastAsia="黑体" w:cs="黑体"/>
          <w:sz w:val="30"/>
          <w:szCs w:val="30"/>
        </w:rPr>
        <w:t>五、法定办结时限</w:t>
      </w:r>
    </w:p>
    <w:p>
      <w:pPr>
        <w:pStyle w:val="7"/>
        <w:spacing w:line="540" w:lineRule="exact"/>
        <w:ind w:firstLine="640"/>
        <w:rPr>
          <w:rFonts w:ascii="仿宋" w:hAnsi="仿宋" w:eastAsia="仿宋" w:cs="仿宋_GB2312"/>
          <w:sz w:val="30"/>
          <w:szCs w:val="30"/>
        </w:rPr>
      </w:pPr>
      <w:r>
        <w:rPr>
          <w:rFonts w:hint="eastAsia" w:ascii="仿宋" w:hAnsi="仿宋" w:eastAsia="仿宋" w:cs="仿宋_GB2312"/>
          <w:sz w:val="30"/>
          <w:szCs w:val="30"/>
        </w:rPr>
        <w:t>无</w:t>
      </w:r>
    </w:p>
    <w:p>
      <w:pPr>
        <w:pStyle w:val="7"/>
        <w:spacing w:line="540" w:lineRule="exact"/>
        <w:ind w:firstLine="640"/>
        <w:rPr>
          <w:rFonts w:ascii="黑体" w:hAnsi="黑体" w:eastAsia="黑体" w:cs="黑体"/>
          <w:sz w:val="30"/>
          <w:szCs w:val="30"/>
        </w:rPr>
      </w:pPr>
      <w:r>
        <w:rPr>
          <w:rFonts w:hint="eastAsia" w:ascii="黑体" w:hAnsi="黑体" w:eastAsia="黑体" w:cs="黑体"/>
          <w:sz w:val="30"/>
          <w:szCs w:val="30"/>
        </w:rPr>
        <w:t>六、承诺办结时限</w:t>
      </w:r>
    </w:p>
    <w:p>
      <w:pPr>
        <w:spacing w:line="540" w:lineRule="exact"/>
        <w:ind w:firstLine="600" w:firstLineChars="200"/>
        <w:rPr>
          <w:rFonts w:ascii="仿宋" w:hAnsi="仿宋" w:eastAsia="仿宋" w:cs="仿宋_GB2312"/>
          <w:sz w:val="30"/>
          <w:szCs w:val="30"/>
        </w:rPr>
      </w:pPr>
      <w:r>
        <w:rPr>
          <w:rFonts w:hint="eastAsia" w:ascii="仿宋" w:hAnsi="仿宋" w:eastAsia="仿宋" w:cs="仿宋_GB2312"/>
          <w:sz w:val="30"/>
          <w:szCs w:val="30"/>
        </w:rPr>
        <w:t>即时办结</w:t>
      </w:r>
    </w:p>
    <w:p>
      <w:pPr>
        <w:pStyle w:val="7"/>
        <w:spacing w:line="540" w:lineRule="exact"/>
        <w:ind w:firstLine="640"/>
        <w:rPr>
          <w:rFonts w:ascii="黑体" w:hAnsi="黑体" w:eastAsia="黑体" w:cs="黑体"/>
          <w:sz w:val="30"/>
          <w:szCs w:val="30"/>
        </w:rPr>
      </w:pPr>
      <w:r>
        <w:rPr>
          <w:rFonts w:hint="eastAsia" w:ascii="黑体" w:hAnsi="黑体" w:eastAsia="黑体" w:cs="黑体"/>
          <w:sz w:val="30"/>
          <w:szCs w:val="30"/>
        </w:rPr>
        <w:t>七、结果名称</w:t>
      </w:r>
    </w:p>
    <w:p>
      <w:pPr>
        <w:spacing w:line="540" w:lineRule="exact"/>
        <w:ind w:firstLine="600" w:firstLineChars="200"/>
        <w:rPr>
          <w:rFonts w:ascii="仿宋" w:hAnsi="仿宋" w:eastAsia="仿宋" w:cs="仿宋_GB2312"/>
          <w:sz w:val="30"/>
          <w:szCs w:val="30"/>
        </w:rPr>
      </w:pPr>
      <w:r>
        <w:rPr>
          <w:rFonts w:hint="eastAsia" w:ascii="仿宋" w:hAnsi="仿宋" w:eastAsia="仿宋" w:cs="仿宋_GB2312"/>
          <w:sz w:val="30"/>
          <w:szCs w:val="30"/>
        </w:rPr>
        <w:t>无</w:t>
      </w:r>
    </w:p>
    <w:p>
      <w:pPr>
        <w:spacing w:line="540" w:lineRule="exact"/>
        <w:ind w:firstLine="600" w:firstLineChars="200"/>
        <w:rPr>
          <w:rFonts w:hint="default" w:ascii="仿宋" w:hAnsi="仿宋" w:eastAsia="仿宋" w:cs="仿宋_GB2312"/>
          <w:lang w:val="en-US" w:eastAsia="zh-CN"/>
        </w:rPr>
      </w:pPr>
      <w:r>
        <w:rPr>
          <w:rFonts w:hint="eastAsia" w:ascii="黑体" w:hAnsi="黑体" w:eastAsia="黑体" w:cs="黑体"/>
          <w:sz w:val="30"/>
          <w:szCs w:val="30"/>
        </w:rPr>
        <w:t>八、结果样本</w:t>
      </w:r>
    </w:p>
    <w:tbl>
      <w:tblPr>
        <w:tblStyle w:val="5"/>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206"/>
        <w:gridCol w:w="426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190" w:type="dxa"/>
          </w:tcPr>
          <w:p>
            <w:pPr>
              <w:pStyle w:val="3"/>
              <w:widowControl/>
              <w:jc w:val="left"/>
              <w:rPr>
                <w:rFonts w:hint="eastAsia" w:ascii="仿宋" w:hAnsi="仿宋" w:eastAsia="仿宋" w:cs="仿宋_GB2312"/>
                <w:sz w:val="32"/>
                <w:szCs w:val="32"/>
              </w:rPr>
            </w:pPr>
            <w:r>
              <w:rPr>
                <w:rFonts w:hint="eastAsia" w:ascii="仿宋" w:hAnsi="仿宋" w:eastAsia="仿宋" w:cs="仿宋_GB2312"/>
                <w:sz w:val="32"/>
                <w:szCs w:val="32"/>
              </w:rPr>
              <w:drawing>
                <wp:inline distT="0" distB="0" distL="0" distR="0">
                  <wp:extent cx="2523490" cy="1607185"/>
                  <wp:effectExtent l="0" t="0" r="10160" b="12065"/>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a:picLocks noChangeAspect="1"/>
                          </pic:cNvPicPr>
                        </pic:nvPicPr>
                        <pic:blipFill>
                          <a:blip r:embed="rId4" cstate="print">
                            <a:extLst>
                              <a:ext uri="{28A0092B-C50C-407E-A947-70E740481C1C}">
                                <a14:useLocalDpi xmlns:a14="http://schemas.microsoft.com/office/drawing/2010/main" val="0"/>
                              </a:ext>
                            </a:extLst>
                          </a:blip>
                          <a:stretch>
                            <a:fillRect/>
                          </a:stretch>
                        </pic:blipFill>
                        <pic:spPr>
                          <a:xfrm>
                            <a:off x="0" y="0"/>
                            <a:ext cx="2539686" cy="1617498"/>
                          </a:xfrm>
                          <a:prstGeom prst="rect">
                            <a:avLst/>
                          </a:prstGeom>
                        </pic:spPr>
                      </pic:pic>
                    </a:graphicData>
                  </a:graphic>
                </wp:inline>
              </w:drawing>
            </w:r>
          </w:p>
        </w:tc>
        <w:tc>
          <w:tcPr>
            <w:tcW w:w="4243" w:type="dxa"/>
          </w:tcPr>
          <w:p>
            <w:pPr>
              <w:pStyle w:val="3"/>
              <w:widowControl/>
              <w:jc w:val="left"/>
              <w:rPr>
                <w:rFonts w:hint="eastAsia" w:ascii="仿宋" w:hAnsi="仿宋" w:eastAsia="仿宋" w:cs="仿宋_GB2312"/>
                <w:sz w:val="32"/>
                <w:szCs w:val="32"/>
              </w:rPr>
            </w:pPr>
            <w:r>
              <w:rPr>
                <w:rFonts w:hint="eastAsia" w:ascii="仿宋" w:hAnsi="仿宋" w:eastAsia="仿宋" w:cs="仿宋_GB2312"/>
                <w:sz w:val="32"/>
                <w:szCs w:val="32"/>
              </w:rPr>
              <w:drawing>
                <wp:inline distT="0" distB="0" distL="0" distR="0">
                  <wp:extent cx="2557145" cy="1617980"/>
                  <wp:effectExtent l="0" t="0" r="14605" b="127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a:picLocks noChangeAspect="1"/>
                          </pic:cNvPicPr>
                        </pic:nvPicPr>
                        <pic:blipFill>
                          <a:blip r:embed="rId5" cstate="print">
                            <a:extLst>
                              <a:ext uri="{28A0092B-C50C-407E-A947-70E740481C1C}">
                                <a14:useLocalDpi xmlns:a14="http://schemas.microsoft.com/office/drawing/2010/main" val="0"/>
                              </a:ext>
                            </a:extLst>
                          </a:blip>
                          <a:stretch>
                            <a:fillRect/>
                          </a:stretch>
                        </pic:blipFill>
                        <pic:spPr>
                          <a:xfrm>
                            <a:off x="0" y="0"/>
                            <a:ext cx="2584287" cy="1635325"/>
                          </a:xfrm>
                          <a:prstGeom prst="rect">
                            <a:avLst/>
                          </a:prstGeom>
                        </pic:spPr>
                      </pic:pic>
                    </a:graphicData>
                  </a:graphic>
                </wp:inline>
              </w:drawing>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190" w:type="dxa"/>
          </w:tcPr>
          <w:p>
            <w:pPr>
              <w:pStyle w:val="3"/>
              <w:widowControl/>
              <w:jc w:val="center"/>
              <w:rPr>
                <w:rFonts w:hint="eastAsia" w:ascii="仿宋" w:hAnsi="仿宋" w:eastAsia="仿宋" w:cs="仿宋_GB2312"/>
                <w:sz w:val="32"/>
                <w:szCs w:val="32"/>
              </w:rPr>
            </w:pPr>
            <w:r>
              <w:rPr>
                <w:rFonts w:hint="eastAsia" w:ascii="仿宋" w:hAnsi="仿宋" w:eastAsia="仿宋" w:cs="仿宋_GB2312"/>
                <w:sz w:val="32"/>
                <w:szCs w:val="32"/>
              </w:rPr>
              <w:drawing>
                <wp:inline distT="0" distB="0" distL="0" distR="0">
                  <wp:extent cx="1280160" cy="2710815"/>
                  <wp:effectExtent l="0" t="0" r="15240" b="13335"/>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pic:cNvPicPr>
                            <a:picLocks noChangeAspect="1"/>
                          </pic:cNvPicPr>
                        </pic:nvPicPr>
                        <pic:blipFill>
                          <a:blip r:embed="rId6" cstate="print">
                            <a:extLst>
                              <a:ext uri="{28A0092B-C50C-407E-A947-70E740481C1C}">
                                <a14:useLocalDpi xmlns:a14="http://schemas.microsoft.com/office/drawing/2010/main" val="0"/>
                              </a:ext>
                            </a:extLst>
                          </a:blip>
                          <a:stretch>
                            <a:fillRect/>
                          </a:stretch>
                        </pic:blipFill>
                        <pic:spPr>
                          <a:xfrm>
                            <a:off x="0" y="0"/>
                            <a:ext cx="1338873" cy="2835685"/>
                          </a:xfrm>
                          <a:prstGeom prst="rect">
                            <a:avLst/>
                          </a:prstGeom>
                        </pic:spPr>
                      </pic:pic>
                    </a:graphicData>
                  </a:graphic>
                </wp:inline>
              </w:drawing>
            </w:r>
          </w:p>
        </w:tc>
        <w:tc>
          <w:tcPr>
            <w:tcW w:w="4243" w:type="dxa"/>
          </w:tcPr>
          <w:p>
            <w:pPr>
              <w:pStyle w:val="3"/>
              <w:widowControl/>
              <w:jc w:val="center"/>
              <w:rPr>
                <w:rFonts w:hint="eastAsia" w:ascii="仿宋" w:hAnsi="仿宋" w:eastAsia="仿宋" w:cs="仿宋_GB2312"/>
                <w:sz w:val="32"/>
                <w:szCs w:val="32"/>
              </w:rPr>
            </w:pPr>
            <w:r>
              <w:rPr>
                <w:rFonts w:hint="eastAsia" w:ascii="仿宋" w:hAnsi="仿宋" w:eastAsia="仿宋" w:cs="仿宋_GB2312"/>
                <w:sz w:val="32"/>
                <w:szCs w:val="32"/>
              </w:rPr>
              <w:drawing>
                <wp:inline distT="0" distB="0" distL="0" distR="0">
                  <wp:extent cx="1288415" cy="2738755"/>
                  <wp:effectExtent l="0" t="0" r="6985" b="4445"/>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pic:cNvPicPr>
                            <a:picLocks noChangeAspect="1"/>
                          </pic:cNvPicPr>
                        </pic:nvPicPr>
                        <pic:blipFill>
                          <a:blip r:embed="rId7" cstate="print">
                            <a:extLst>
                              <a:ext uri="{28A0092B-C50C-407E-A947-70E740481C1C}">
                                <a14:useLocalDpi xmlns:a14="http://schemas.microsoft.com/office/drawing/2010/main" val="0"/>
                              </a:ext>
                            </a:extLst>
                          </a:blip>
                          <a:stretch>
                            <a:fillRect/>
                          </a:stretch>
                        </pic:blipFill>
                        <pic:spPr>
                          <a:xfrm>
                            <a:off x="0" y="0"/>
                            <a:ext cx="1300138" cy="2763833"/>
                          </a:xfrm>
                          <a:prstGeom prst="rect">
                            <a:avLst/>
                          </a:prstGeom>
                        </pic:spPr>
                      </pic:pic>
                    </a:graphicData>
                  </a:graphic>
                </wp:inline>
              </w:drawing>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190" w:type="dxa"/>
          </w:tcPr>
          <w:p>
            <w:pPr>
              <w:pStyle w:val="3"/>
              <w:widowControl/>
              <w:jc w:val="center"/>
              <w:rPr>
                <w:rFonts w:hint="eastAsia" w:ascii="仿宋" w:hAnsi="仿宋" w:eastAsia="仿宋" w:cs="仿宋_GB2312"/>
                <w:sz w:val="32"/>
                <w:szCs w:val="32"/>
              </w:rPr>
            </w:pPr>
            <w:r>
              <w:rPr>
                <w:rFonts w:ascii="仿宋" w:hAnsi="仿宋" w:eastAsia="仿宋" w:cs="仿宋_GB2312"/>
                <w:sz w:val="32"/>
                <w:szCs w:val="32"/>
              </w:rPr>
              <w:drawing>
                <wp:inline distT="0" distB="0" distL="0" distR="0">
                  <wp:extent cx="2426970" cy="2515870"/>
                  <wp:effectExtent l="0" t="0" r="11430" b="17780"/>
                  <wp:docPr id="6"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5"/>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2444667" cy="2534319"/>
                          </a:xfrm>
                          <a:prstGeom prst="rect">
                            <a:avLst/>
                          </a:prstGeom>
                        </pic:spPr>
                      </pic:pic>
                    </a:graphicData>
                  </a:graphic>
                </wp:inline>
              </w:drawing>
            </w:r>
          </w:p>
        </w:tc>
        <w:tc>
          <w:tcPr>
            <w:tcW w:w="4243" w:type="dxa"/>
          </w:tcPr>
          <w:p>
            <w:pPr>
              <w:pStyle w:val="3"/>
              <w:widowControl/>
              <w:jc w:val="center"/>
              <w:rPr>
                <w:rFonts w:hint="eastAsia" w:ascii="仿宋" w:hAnsi="仿宋" w:eastAsia="仿宋" w:cs="仿宋_GB2312"/>
                <w:sz w:val="32"/>
                <w:szCs w:val="32"/>
              </w:rPr>
            </w:pPr>
            <w:r>
              <w:rPr>
                <w:rFonts w:ascii="仿宋" w:hAnsi="仿宋" w:eastAsia="仿宋" w:cs="仿宋_GB2312"/>
                <w:sz w:val="32"/>
                <w:szCs w:val="32"/>
              </w:rPr>
              <w:drawing>
                <wp:inline distT="0" distB="0" distL="0" distR="0">
                  <wp:extent cx="2458720" cy="2531745"/>
                  <wp:effectExtent l="0" t="0" r="17780" b="1905"/>
                  <wp:docPr id="11"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3"/>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2479598" cy="2553391"/>
                          </a:xfrm>
                          <a:prstGeom prst="rect">
                            <a:avLst/>
                          </a:prstGeom>
                        </pic:spPr>
                      </pic:pic>
                    </a:graphicData>
                  </a:graphic>
                </wp:inline>
              </w:drawing>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190" w:type="dxa"/>
          </w:tcPr>
          <w:p>
            <w:pPr>
              <w:pStyle w:val="3"/>
              <w:widowControl/>
              <w:jc w:val="center"/>
              <w:rPr>
                <w:rFonts w:hint="eastAsia" w:ascii="仿宋" w:hAnsi="仿宋" w:eastAsia="仿宋" w:cs="仿宋_GB2312"/>
                <w:sz w:val="32"/>
                <w:szCs w:val="32"/>
              </w:rPr>
            </w:pPr>
            <w:r>
              <w:rPr>
                <w:rFonts w:ascii="仿宋" w:hAnsi="仿宋" w:eastAsia="仿宋" w:cs="仿宋_GB2312"/>
                <w:sz w:val="32"/>
                <w:szCs w:val="32"/>
              </w:rPr>
              <w:drawing>
                <wp:inline distT="0" distB="0" distL="0" distR="0">
                  <wp:extent cx="2437765" cy="2408555"/>
                  <wp:effectExtent l="0" t="0" r="635" b="10795"/>
                  <wp:docPr id="13"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6"/>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445158" cy="2415975"/>
                          </a:xfrm>
                          <a:prstGeom prst="rect">
                            <a:avLst/>
                          </a:prstGeom>
                        </pic:spPr>
                      </pic:pic>
                    </a:graphicData>
                  </a:graphic>
                </wp:inline>
              </w:drawing>
            </w:r>
          </w:p>
        </w:tc>
        <w:tc>
          <w:tcPr>
            <w:tcW w:w="4243" w:type="dxa"/>
          </w:tcPr>
          <w:p>
            <w:pPr>
              <w:pStyle w:val="3"/>
              <w:widowControl/>
              <w:jc w:val="center"/>
              <w:rPr>
                <w:rFonts w:hint="eastAsia" w:ascii="仿宋" w:hAnsi="仿宋" w:eastAsia="仿宋" w:cs="仿宋_GB2312"/>
                <w:sz w:val="32"/>
                <w:szCs w:val="32"/>
              </w:rPr>
            </w:pPr>
            <w:r>
              <w:rPr>
                <w:rFonts w:ascii="仿宋" w:hAnsi="仿宋" w:eastAsia="仿宋" w:cs="仿宋_GB2312"/>
                <w:sz w:val="32"/>
                <w:szCs w:val="32"/>
              </w:rPr>
              <w:drawing>
                <wp:inline distT="0" distB="0" distL="0" distR="0">
                  <wp:extent cx="2241550" cy="2448560"/>
                  <wp:effectExtent l="0" t="0" r="6350" b="8890"/>
                  <wp:docPr id="12"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5"/>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258343" cy="2466707"/>
                          </a:xfrm>
                          <a:prstGeom prst="rect">
                            <a:avLst/>
                          </a:prstGeom>
                        </pic:spPr>
                      </pic:pic>
                    </a:graphicData>
                  </a:graphic>
                </wp:inline>
              </w:drawing>
            </w:r>
          </w:p>
        </w:tc>
      </w:tr>
    </w:tbl>
    <w:p>
      <w:pPr>
        <w:spacing w:line="540" w:lineRule="exact"/>
        <w:ind w:firstLine="640" w:firstLineChars="200"/>
        <w:rPr>
          <w:rFonts w:hint="eastAsia" w:ascii="仿宋" w:hAnsi="仿宋" w:eastAsia="仿宋" w:cs="仿宋_GB2312"/>
        </w:rPr>
      </w:pPr>
      <w:r>
        <w:rPr>
          <w:rFonts w:hint="eastAsia" w:ascii="仿宋" w:hAnsi="仿宋" w:eastAsia="仿宋" w:cs="仿宋_GB2312"/>
        </w:rPr>
        <w:t>九、收费标准及依据</w:t>
      </w:r>
    </w:p>
    <w:p>
      <w:pPr>
        <w:spacing w:line="540" w:lineRule="exact"/>
        <w:ind w:firstLine="640" w:firstLineChars="200"/>
        <w:rPr>
          <w:rFonts w:hint="eastAsia" w:ascii="仿宋" w:hAnsi="仿宋" w:eastAsia="仿宋" w:cs="仿宋_GB2312"/>
        </w:rPr>
      </w:pPr>
      <w:r>
        <w:rPr>
          <w:rFonts w:hint="eastAsia" w:ascii="仿宋" w:hAnsi="仿宋" w:eastAsia="仿宋" w:cs="仿宋_GB2312"/>
        </w:rPr>
        <w:t>不收费</w:t>
      </w:r>
    </w:p>
    <w:p>
      <w:pPr>
        <w:spacing w:line="540" w:lineRule="exact"/>
        <w:ind w:firstLine="640" w:firstLineChars="200"/>
        <w:rPr>
          <w:rFonts w:hint="eastAsia" w:ascii="仿宋" w:hAnsi="仿宋" w:eastAsia="仿宋" w:cs="仿宋_GB2312"/>
        </w:rPr>
      </w:pPr>
      <w:r>
        <w:rPr>
          <w:rFonts w:hint="eastAsia" w:ascii="仿宋" w:hAnsi="仿宋" w:eastAsia="仿宋" w:cs="仿宋_GB2312"/>
        </w:rPr>
        <w:t>十、申请材料</w:t>
      </w:r>
    </w:p>
    <w:p>
      <w:pPr>
        <w:spacing w:line="540" w:lineRule="exact"/>
        <w:ind w:firstLine="640" w:firstLineChars="200"/>
        <w:rPr>
          <w:rFonts w:hint="eastAsia" w:ascii="仿宋" w:hAnsi="仿宋" w:eastAsia="仿宋" w:cs="仿宋_GB2312"/>
        </w:rPr>
      </w:pPr>
      <w:r>
        <w:rPr>
          <w:rFonts w:hint="eastAsia" w:ascii="仿宋" w:hAnsi="仿宋" w:eastAsia="仿宋" w:cs="仿宋_GB2312"/>
        </w:rPr>
        <w:t>社会保障卡</w:t>
      </w:r>
    </w:p>
    <w:p>
      <w:pPr>
        <w:spacing w:line="540" w:lineRule="exact"/>
        <w:ind w:firstLine="640" w:firstLineChars="200"/>
        <w:rPr>
          <w:rFonts w:hint="eastAsia" w:ascii="仿宋" w:hAnsi="仿宋" w:eastAsia="仿宋" w:cs="仿宋_GB2312"/>
        </w:rPr>
      </w:pPr>
      <w:r>
        <w:rPr>
          <w:rFonts w:hint="eastAsia" w:ascii="仿宋" w:hAnsi="仿宋" w:eastAsia="仿宋" w:cs="仿宋_GB2312"/>
        </w:rPr>
        <w:t>十一、办理流程</w:t>
      </w:r>
    </w:p>
    <w:p>
      <w:pPr>
        <w:spacing w:line="540" w:lineRule="exact"/>
        <w:ind w:firstLine="640" w:firstLineChars="200"/>
        <w:rPr>
          <w:rFonts w:hint="eastAsia" w:ascii="仿宋" w:hAnsi="仿宋" w:eastAsia="仿宋" w:cs="仿宋_GB2312"/>
        </w:rPr>
      </w:pPr>
      <w:r>
        <w:rPr>
          <w:rFonts w:hint="eastAsia" w:ascii="仿宋" w:hAnsi="仿宋" w:eastAsia="仿宋" w:cs="仿宋_GB2312"/>
        </w:rPr>
        <w:t>（一）人社领域</w:t>
      </w:r>
    </w:p>
    <w:p>
      <w:pPr>
        <w:spacing w:line="540" w:lineRule="exact"/>
        <w:ind w:firstLine="640" w:firstLineChars="200"/>
        <w:rPr>
          <w:rFonts w:hint="eastAsia" w:ascii="仿宋" w:hAnsi="仿宋" w:eastAsia="仿宋" w:cs="仿宋_GB2312"/>
        </w:rPr>
      </w:pPr>
      <w:r>
        <w:rPr>
          <w:rFonts w:hint="eastAsia" w:ascii="仿宋" w:hAnsi="仿宋" w:eastAsia="仿宋" w:cs="仿宋_GB2312"/>
        </w:rPr>
        <w:t>1、就业登记：个人可凭社会保障卡作为有效身份凭证在全市公共就业和人才服务机构、</w:t>
      </w:r>
      <w:r>
        <w:rPr>
          <w:rFonts w:hint="eastAsia" w:ascii="仿宋" w:hAnsi="仿宋" w:eastAsia="仿宋" w:cs="仿宋_GB2312"/>
          <w:sz w:val="32"/>
          <w:szCs w:val="32"/>
        </w:rPr>
        <w:t>山东公共就业人才服务网上服务大厅</w:t>
      </w:r>
      <w:r>
        <w:rPr>
          <w:rFonts w:hint="eastAsia" w:ascii="仿宋" w:hAnsi="仿宋" w:eastAsia="仿宋" w:cs="仿宋_GB2312"/>
        </w:rPr>
        <w:t>办理就业登记。</w:t>
      </w:r>
    </w:p>
    <w:p>
      <w:pPr>
        <w:spacing w:line="540" w:lineRule="exact"/>
        <w:ind w:firstLine="640" w:firstLineChars="200"/>
        <w:rPr>
          <w:rFonts w:hint="eastAsia" w:ascii="仿宋" w:hAnsi="仿宋" w:eastAsia="仿宋" w:cs="仿宋_GB2312"/>
        </w:rPr>
      </w:pPr>
      <w:r>
        <w:rPr>
          <w:rFonts w:hint="eastAsia" w:ascii="仿宋" w:hAnsi="仿宋" w:eastAsia="仿宋" w:cs="仿宋_GB2312"/>
        </w:rPr>
        <w:t>2、失业保险金申领：个人可凭社会保障卡作为有效身份凭证在全市失业保险经办服务机构、山东省社会保险公共服务平台办理失业保险金申领。</w:t>
      </w:r>
    </w:p>
    <w:p>
      <w:pPr>
        <w:spacing w:line="540" w:lineRule="exact"/>
        <w:ind w:firstLine="640" w:firstLineChars="200"/>
        <w:rPr>
          <w:rFonts w:hint="eastAsia" w:ascii="仿宋" w:hAnsi="仿宋" w:eastAsia="仿宋" w:cs="仿宋_GB2312"/>
        </w:rPr>
      </w:pPr>
      <w:r>
        <w:rPr>
          <w:rFonts w:hint="eastAsia" w:ascii="仿宋" w:hAnsi="仿宋" w:eastAsia="仿宋" w:cs="仿宋_GB2312"/>
        </w:rPr>
        <w:t>3、个人参保证明查询打印：个人可持社会保障卡在全市社会保险经办机构、济宁市社会保障个人网上服务系统查询打印本人社会保险参保证明。</w:t>
      </w:r>
    </w:p>
    <w:p>
      <w:pPr>
        <w:spacing w:line="540" w:lineRule="exact"/>
        <w:ind w:firstLine="640" w:firstLineChars="200"/>
        <w:rPr>
          <w:rFonts w:hint="eastAsia" w:ascii="仿宋" w:hAnsi="仿宋" w:eastAsia="仿宋" w:cs="仿宋_GB2312"/>
        </w:rPr>
      </w:pPr>
      <w:r>
        <w:rPr>
          <w:rFonts w:hint="eastAsia" w:ascii="仿宋" w:hAnsi="仿宋" w:eastAsia="仿宋" w:cs="仿宋_GB2312"/>
        </w:rPr>
        <w:t>4、个人参保缴费明细查询：个人可持社会保障卡在全市社会保险经办机构、济宁市社会保障个人网上服务系统查询本人参保缴费明细。</w:t>
      </w:r>
    </w:p>
    <w:p>
      <w:pPr>
        <w:spacing w:line="540" w:lineRule="exact"/>
        <w:ind w:firstLine="640" w:firstLineChars="200"/>
        <w:rPr>
          <w:rFonts w:hint="eastAsia" w:ascii="仿宋" w:hAnsi="仿宋" w:eastAsia="仿宋" w:cs="仿宋_GB2312"/>
        </w:rPr>
      </w:pPr>
      <w:r>
        <w:rPr>
          <w:rFonts w:hint="eastAsia" w:ascii="仿宋" w:hAnsi="仿宋" w:eastAsia="仿宋" w:cs="仿宋_GB2312"/>
        </w:rPr>
        <w:t>5、养老保险待遇发放：通过社会保障卡发放职工和居民养老保险待遇。</w:t>
      </w:r>
    </w:p>
    <w:p>
      <w:pPr>
        <w:spacing w:line="540" w:lineRule="exact"/>
        <w:ind w:firstLine="640" w:firstLineChars="200"/>
        <w:rPr>
          <w:rFonts w:hint="eastAsia" w:ascii="仿宋" w:hAnsi="仿宋" w:eastAsia="仿宋" w:cs="仿宋_GB2312"/>
        </w:rPr>
      </w:pPr>
      <w:r>
        <w:rPr>
          <w:rFonts w:hint="eastAsia" w:ascii="仿宋" w:hAnsi="仿宋" w:eastAsia="仿宋" w:cs="仿宋_GB2312"/>
        </w:rPr>
        <w:t>（二）就医购药领域</w:t>
      </w:r>
    </w:p>
    <w:p>
      <w:pPr>
        <w:spacing w:line="540" w:lineRule="exact"/>
        <w:ind w:firstLine="640" w:firstLineChars="200"/>
        <w:rPr>
          <w:rFonts w:hint="eastAsia" w:ascii="仿宋" w:hAnsi="仿宋" w:eastAsia="仿宋" w:cs="仿宋_GB2312"/>
        </w:rPr>
      </w:pPr>
      <w:r>
        <w:rPr>
          <w:rFonts w:hint="eastAsia" w:ascii="仿宋" w:hAnsi="仿宋" w:eastAsia="仿宋" w:cs="仿宋_GB2312"/>
        </w:rPr>
        <w:t>1、医疗保险关系转移接续：个人持社会保障卡办理医疗保险关系转移接续。</w:t>
      </w:r>
    </w:p>
    <w:p>
      <w:pPr>
        <w:spacing w:line="540" w:lineRule="exact"/>
        <w:ind w:firstLine="640" w:firstLineChars="200"/>
        <w:rPr>
          <w:rFonts w:hint="eastAsia" w:ascii="仿宋" w:hAnsi="仿宋" w:eastAsia="仿宋" w:cs="仿宋_GB2312"/>
        </w:rPr>
      </w:pPr>
      <w:r>
        <w:rPr>
          <w:rFonts w:hint="eastAsia" w:ascii="仿宋" w:hAnsi="仿宋" w:eastAsia="仿宋" w:cs="仿宋_GB2312"/>
        </w:rPr>
        <w:t>2、就医购药联网结算：个人持社会保障卡在定点医药机构就医购药。</w:t>
      </w:r>
    </w:p>
    <w:p>
      <w:pPr>
        <w:spacing w:line="540" w:lineRule="exact"/>
        <w:ind w:firstLine="640" w:firstLineChars="200"/>
        <w:rPr>
          <w:rFonts w:hint="eastAsia" w:ascii="仿宋" w:hAnsi="仿宋" w:eastAsia="仿宋" w:cs="仿宋_GB2312"/>
        </w:rPr>
      </w:pPr>
      <w:r>
        <w:rPr>
          <w:rFonts w:hint="eastAsia" w:ascii="仿宋" w:hAnsi="仿宋" w:eastAsia="仿宋" w:cs="仿宋_GB2312"/>
        </w:rPr>
        <w:t>3、异地就医购药直接结算：个人持社会保障卡跨省和省内异地就医购药直接结算医疗费用。</w:t>
      </w:r>
    </w:p>
    <w:p>
      <w:pPr>
        <w:spacing w:line="540" w:lineRule="exact"/>
        <w:ind w:firstLine="640" w:firstLineChars="200"/>
        <w:rPr>
          <w:rFonts w:hint="eastAsia" w:ascii="仿宋" w:hAnsi="仿宋" w:eastAsia="仿宋" w:cs="仿宋_GB2312"/>
        </w:rPr>
      </w:pPr>
      <w:r>
        <w:rPr>
          <w:rFonts w:hint="eastAsia" w:ascii="仿宋" w:hAnsi="仿宋" w:eastAsia="仿宋" w:cs="仿宋_GB2312"/>
        </w:rPr>
        <w:t>（三）交通出行领域</w:t>
      </w:r>
    </w:p>
    <w:p>
      <w:pPr>
        <w:spacing w:line="540" w:lineRule="exact"/>
        <w:ind w:firstLine="640" w:firstLineChars="200"/>
        <w:rPr>
          <w:rFonts w:hint="eastAsia" w:ascii="仿宋" w:hAnsi="仿宋" w:eastAsia="仿宋" w:cs="仿宋_GB2312"/>
        </w:rPr>
      </w:pPr>
      <w:r>
        <w:rPr>
          <w:rFonts w:hint="eastAsia" w:ascii="仿宋" w:hAnsi="仿宋" w:eastAsia="仿宋" w:cs="仿宋_GB2312"/>
        </w:rPr>
        <w:t>1、城市公共交通乘车服务：个人持开通“闪付”功能的社会保障卡或关联支付功能的电子社保卡可刷卡、扫码乘坐城市公共交通工具，包括济宁市城市公交和城际公交。</w:t>
      </w:r>
    </w:p>
    <w:p>
      <w:pPr>
        <w:spacing w:line="540" w:lineRule="exact"/>
        <w:ind w:firstLine="640" w:firstLineChars="200"/>
        <w:rPr>
          <w:rFonts w:hint="eastAsia" w:ascii="仿宋" w:hAnsi="仿宋" w:eastAsia="仿宋" w:cs="仿宋_GB2312"/>
        </w:rPr>
      </w:pPr>
      <w:r>
        <w:rPr>
          <w:rFonts w:hint="eastAsia" w:ascii="仿宋" w:hAnsi="仿宋" w:eastAsia="仿宋" w:cs="仿宋_GB2312"/>
        </w:rPr>
        <w:t>2、高速个人ETC收费服务：个人高速收费领域ETC绑定社会保障卡金融账户支付通行。</w:t>
      </w:r>
    </w:p>
    <w:p>
      <w:pPr>
        <w:spacing w:line="540" w:lineRule="exact"/>
        <w:ind w:firstLine="640" w:firstLineChars="200"/>
        <w:rPr>
          <w:rFonts w:hint="eastAsia" w:ascii="仿宋" w:hAnsi="仿宋" w:eastAsia="仿宋" w:cs="仿宋_GB2312"/>
        </w:rPr>
      </w:pPr>
      <w:r>
        <w:rPr>
          <w:rFonts w:hint="eastAsia" w:ascii="仿宋" w:hAnsi="仿宋" w:eastAsia="仿宋" w:cs="仿宋_GB2312"/>
        </w:rPr>
        <w:t>（四）文化体验领域</w:t>
      </w:r>
    </w:p>
    <w:p>
      <w:pPr>
        <w:spacing w:line="540" w:lineRule="exact"/>
        <w:ind w:firstLine="640" w:firstLineChars="200"/>
        <w:rPr>
          <w:rFonts w:hint="eastAsia" w:ascii="仿宋" w:hAnsi="仿宋" w:eastAsia="仿宋" w:cs="仿宋_GB2312"/>
        </w:rPr>
      </w:pPr>
      <w:r>
        <w:rPr>
          <w:rFonts w:hint="eastAsia" w:ascii="仿宋" w:hAnsi="仿宋" w:eastAsia="仿宋" w:cs="仿宋_GB2312"/>
        </w:rPr>
        <w:t>1、图书馆借阅服务：个人凭电子社保卡作为身份凭证在济宁市图书馆扫码免费借阅图书。</w:t>
      </w:r>
    </w:p>
    <w:p>
      <w:pPr>
        <w:spacing w:line="540" w:lineRule="exact"/>
        <w:ind w:firstLine="640" w:firstLineChars="200"/>
        <w:rPr>
          <w:rFonts w:hint="eastAsia" w:ascii="仿宋" w:hAnsi="仿宋" w:eastAsia="仿宋" w:cs="仿宋_GB2312"/>
        </w:rPr>
      </w:pPr>
      <w:r>
        <w:rPr>
          <w:rFonts w:hint="eastAsia" w:ascii="仿宋" w:hAnsi="仿宋" w:eastAsia="仿宋" w:cs="仿宋_GB2312"/>
        </w:rPr>
        <w:t>2、博物馆入馆服务：个人凭社会保障卡或电子社保卡刷卡（扫码）进入济宁市博物馆（古槐路馆）参观。</w:t>
      </w:r>
    </w:p>
    <w:p>
      <w:pPr>
        <w:spacing w:line="540" w:lineRule="exact"/>
        <w:ind w:firstLine="640" w:firstLineChars="200"/>
        <w:rPr>
          <w:rFonts w:hint="eastAsia" w:ascii="仿宋" w:hAnsi="仿宋" w:eastAsia="仿宋" w:cs="仿宋_GB2312"/>
        </w:rPr>
      </w:pPr>
      <w:r>
        <w:rPr>
          <w:rFonts w:hint="eastAsia" w:ascii="仿宋" w:hAnsi="仿宋" w:eastAsia="仿宋" w:cs="仿宋_GB2312"/>
        </w:rPr>
        <w:t>3、旅游景区购票入园服务：使用电子社保卡优惠购买山东省“好客山东一码通”旅游年卡后，即可实现年票覆盖景区通行；在济宁市曲阜尼山圣境、微山湖旅游景区等景点实名认证优惠购票后，可进入景区参观游览。</w:t>
      </w:r>
    </w:p>
    <w:p>
      <w:pPr>
        <w:snapToGrid w:val="0"/>
        <w:spacing w:line="540" w:lineRule="exact"/>
        <w:ind w:firstLine="640" w:firstLineChars="200"/>
        <w:rPr>
          <w:rFonts w:ascii="黑体" w:hAnsi="黑体" w:eastAsia="黑体" w:cs="黑体"/>
        </w:rPr>
      </w:pPr>
      <w:r>
        <w:rPr>
          <w:rFonts w:hint="eastAsia" w:ascii="黑体" w:hAnsi="黑体" w:eastAsia="黑体" w:cs="黑体"/>
        </w:rPr>
        <w:t>十二、办理形式</w:t>
      </w:r>
    </w:p>
    <w:p>
      <w:pPr>
        <w:spacing w:line="560" w:lineRule="exact"/>
        <w:ind w:firstLine="640" w:firstLineChars="200"/>
        <w:rPr>
          <w:rFonts w:ascii="黑体" w:hAnsi="黑体" w:eastAsia="黑体" w:cs="黑体"/>
        </w:rPr>
      </w:pPr>
      <w:r>
        <w:rPr>
          <w:rFonts w:hint="eastAsia" w:ascii="楷体_GB2312" w:hAnsi="楷体_GB2312" w:eastAsia="楷体_GB2312" w:cs="楷体_GB2312"/>
        </w:rPr>
        <w:t>（一）人社领域</w:t>
      </w:r>
    </w:p>
    <w:p>
      <w:pPr>
        <w:spacing w:line="560" w:lineRule="exact"/>
        <w:ind w:firstLine="640" w:firstLineChars="200"/>
        <w:rPr>
          <w:rFonts w:eastAsia="仿宋"/>
        </w:rPr>
      </w:pPr>
      <w:r>
        <w:rPr>
          <w:rFonts w:eastAsia="仿宋"/>
        </w:rPr>
        <w:t>社会保障卡作为有效身份证件在市、县人力资源社会保障服务机构亮证或扫码验证个人身份办理就业登记、失业保险金申领、养老待遇发放等人社领域业务，通过“爱山东”政务服务网、爱山东APP、电子社保卡向持卡群众提供人社领域业务在线办理和信息查询服务。</w:t>
      </w:r>
    </w:p>
    <w:p>
      <w:pPr>
        <w:spacing w:line="560" w:lineRule="exact"/>
        <w:ind w:firstLine="640" w:firstLineChars="200"/>
        <w:rPr>
          <w:rFonts w:ascii="楷体_GB2312" w:hAnsi="楷体_GB2312" w:eastAsia="楷体_GB2312" w:cs="楷体_GB2312"/>
        </w:rPr>
      </w:pPr>
      <w:r>
        <w:rPr>
          <w:rFonts w:hint="eastAsia" w:ascii="楷体_GB2312" w:hAnsi="楷体_GB2312" w:eastAsia="楷体_GB2312" w:cs="楷体_GB2312"/>
        </w:rPr>
        <w:t>（二）就医购药领域</w:t>
      </w:r>
    </w:p>
    <w:p>
      <w:pPr>
        <w:spacing w:line="560" w:lineRule="exact"/>
        <w:ind w:firstLine="640" w:firstLineChars="200"/>
        <w:rPr>
          <w:rFonts w:ascii="仿宋" w:hAnsi="仿宋" w:eastAsia="仿宋" w:cs="仿宋_GB2312"/>
        </w:rPr>
      </w:pPr>
      <w:r>
        <w:rPr>
          <w:rFonts w:hint="eastAsia" w:ascii="仿宋" w:hAnsi="仿宋" w:eastAsia="仿宋" w:cs="仿宋_GB2312"/>
        </w:rPr>
        <w:t>已参加基本医疗保险且医保参保状态正常的社会保障卡持卡群众，可持社会保障卡在市、县医疗保障经办机构办理医疗费用手工报销等医疗保障个人业务。在本人参保地或省内及跨省医保定点医药机构享受挂号、诊疗、住院登记、缴费等就医购药直接联网结算服务。</w:t>
      </w:r>
    </w:p>
    <w:p>
      <w:pPr>
        <w:adjustRightInd w:val="0"/>
        <w:snapToGrid w:val="0"/>
        <w:spacing w:line="560" w:lineRule="exact"/>
        <w:ind w:firstLine="640" w:firstLineChars="200"/>
        <w:rPr>
          <w:rFonts w:ascii="仿宋_GB2312" w:hAnsi="仿宋_GB2312" w:cs="仿宋_GB2312"/>
        </w:rPr>
      </w:pPr>
      <w:r>
        <w:rPr>
          <w:rFonts w:hint="eastAsia" w:ascii="楷体_GB2312" w:hAnsi="楷体_GB2312" w:eastAsia="楷体_GB2312" w:cs="楷体_GB2312"/>
        </w:rPr>
        <w:t>（三）交通出行领域</w:t>
      </w:r>
    </w:p>
    <w:p>
      <w:pPr>
        <w:spacing w:line="560" w:lineRule="exact"/>
        <w:ind w:firstLine="640" w:firstLineChars="200"/>
        <w:rPr>
          <w:rFonts w:ascii="仿宋" w:hAnsi="仿宋" w:eastAsia="仿宋" w:cs="仿宋_GB2312"/>
          <w:color w:val="FF0000"/>
        </w:rPr>
      </w:pPr>
      <w:r>
        <w:rPr>
          <w:rFonts w:eastAsia="仿宋"/>
        </w:rPr>
        <w:t>可通过“爱山东APP、云闪付APP、中国工商银行APP、工行融e联APP、中国农业银行APP、中国建设银行APP、邮储银行APP、山东农信APP</w:t>
      </w:r>
      <w:r>
        <w:rPr>
          <w:rFonts w:hint="eastAsia" w:eastAsia="仿宋"/>
        </w:rPr>
        <w:t>、济宁银行APP</w:t>
      </w:r>
      <w:r>
        <w:rPr>
          <w:rFonts w:eastAsia="仿宋"/>
        </w:rPr>
        <w:t>”线上渠道的“电子社保卡－公交乘车码”展码乘车（其它电子社保卡签发渠道暂不支持）。如：“云闪付”APP--我的社保--点击“社保卡详情”--选择“公交乘车码”--确保账号余额充足并进行支付。</w:t>
      </w:r>
    </w:p>
    <w:p>
      <w:pPr>
        <w:spacing w:line="560" w:lineRule="exact"/>
        <w:ind w:firstLine="640" w:firstLineChars="200"/>
        <w:rPr>
          <w:rFonts w:ascii="楷体_GB2312" w:hAnsi="楷体_GB2312" w:eastAsia="楷体_GB2312" w:cs="楷体_GB2312"/>
        </w:rPr>
      </w:pPr>
      <w:r>
        <w:rPr>
          <w:rFonts w:hint="eastAsia" w:ascii="楷体_GB2312" w:hAnsi="楷体_GB2312" w:eastAsia="楷体_GB2312" w:cs="楷体_GB2312"/>
        </w:rPr>
        <w:t>（四）文化体验领域</w:t>
      </w:r>
    </w:p>
    <w:p>
      <w:pPr>
        <w:spacing w:line="540" w:lineRule="exact"/>
        <w:ind w:firstLine="640" w:firstLineChars="200"/>
        <w:rPr>
          <w:rFonts w:hint="eastAsia" w:ascii="仿宋" w:hAnsi="仿宋" w:eastAsia="仿宋" w:cs="仿宋_GB2312"/>
        </w:rPr>
      </w:pPr>
      <w:r>
        <w:rPr>
          <w:rFonts w:hint="eastAsia" w:ascii="仿宋" w:hAnsi="仿宋" w:eastAsia="仿宋" w:cs="仿宋_GB2312"/>
        </w:rPr>
        <w:t>1、电子社保卡扫码参观博物馆、借阅图书使用方式</w:t>
      </w:r>
    </w:p>
    <w:p>
      <w:pPr>
        <w:spacing w:line="540" w:lineRule="exact"/>
        <w:ind w:firstLine="640" w:firstLineChars="200"/>
        <w:rPr>
          <w:rFonts w:hint="eastAsia" w:ascii="仿宋" w:hAnsi="仿宋" w:eastAsia="仿宋" w:cs="仿宋_GB2312"/>
        </w:rPr>
      </w:pPr>
      <w:r>
        <w:rPr>
          <w:rFonts w:hint="eastAsia" w:ascii="仿宋" w:hAnsi="仿宋" w:eastAsia="仿宋" w:cs="仿宋_GB2312"/>
        </w:rPr>
        <w:t>通过“爱山东APP、云闪付APP、中国工商银行APP、工行融e联APP、中国农业银行APP、中国建设银行APP、邮储银行APP、山东农信APP、济宁银行APP”线上渠道的“电子社保卡－二维码”扫码入园或借阅图书。</w:t>
      </w:r>
    </w:p>
    <w:p>
      <w:pPr>
        <w:spacing w:line="540" w:lineRule="exact"/>
        <w:ind w:firstLine="640" w:firstLineChars="200"/>
        <w:rPr>
          <w:rFonts w:hint="eastAsia" w:ascii="仿宋" w:hAnsi="仿宋" w:eastAsia="仿宋" w:cs="仿宋_GB2312"/>
        </w:rPr>
      </w:pPr>
      <w:r>
        <w:rPr>
          <w:rFonts w:hint="eastAsia" w:ascii="仿宋" w:hAnsi="仿宋" w:eastAsia="仿宋" w:cs="仿宋_GB2312"/>
        </w:rPr>
        <w:t>2、电子社保卡旅游景区扫码购票使用方式</w:t>
      </w:r>
    </w:p>
    <w:p>
      <w:pPr>
        <w:spacing w:line="540" w:lineRule="exact"/>
        <w:ind w:firstLine="640" w:firstLineChars="200"/>
        <w:rPr>
          <w:rFonts w:hint="eastAsia" w:ascii="仿宋" w:hAnsi="仿宋" w:eastAsia="仿宋" w:cs="仿宋_GB2312"/>
        </w:rPr>
      </w:pPr>
      <w:r>
        <w:rPr>
          <w:rFonts w:hint="eastAsia" w:ascii="仿宋" w:hAnsi="仿宋" w:eastAsia="仿宋" w:cs="仿宋_GB2312"/>
        </w:rPr>
        <w:t>通过“爱山东APP、云闪付APP、中国工商银行APP、工行融e联APP、中国农业银行APP、中国建设银行APP、邮储银行APP、山东农信APP、济宁银行APP”线上渠道的“电子社保卡－消费码”扫码购票。</w:t>
      </w:r>
    </w:p>
    <w:p>
      <w:pPr>
        <w:snapToGrid w:val="0"/>
        <w:spacing w:line="540" w:lineRule="exact"/>
        <w:ind w:firstLine="640" w:firstLineChars="200"/>
        <w:rPr>
          <w:rFonts w:ascii="黑体" w:hAnsi="黑体" w:eastAsia="黑体" w:cs="黑体"/>
        </w:rPr>
      </w:pPr>
      <w:r>
        <w:rPr>
          <w:rFonts w:hint="eastAsia" w:ascii="黑体" w:hAnsi="黑体" w:eastAsia="黑体" w:cs="黑体"/>
        </w:rPr>
        <w:t>十三、办理地点</w:t>
      </w:r>
    </w:p>
    <w:p>
      <w:pPr>
        <w:spacing w:line="540" w:lineRule="exact"/>
        <w:ind w:firstLine="642"/>
        <w:rPr>
          <w:rFonts w:hint="eastAsia" w:ascii="仿宋" w:hAnsi="仿宋" w:eastAsia="仿宋" w:cs="仿宋_GB2312"/>
          <w:lang w:val="en-US" w:eastAsia="zh-CN"/>
        </w:rPr>
      </w:pPr>
      <w:r>
        <w:rPr>
          <w:rFonts w:hint="eastAsia" w:ascii="仿宋" w:hAnsi="仿宋" w:eastAsia="仿宋" w:cs="仿宋_GB2312"/>
          <w:lang w:val="en-US" w:eastAsia="zh-CN"/>
        </w:rPr>
        <w:t>汶上县地址：汶上县南站街道新世纪路996号政务服务中心一楼A04窗口</w:t>
      </w:r>
    </w:p>
    <w:p>
      <w:pPr>
        <w:pStyle w:val="8"/>
        <w:spacing w:before="0" w:beforeAutospacing="0" w:after="0" w:afterAutospacing="0" w:line="540" w:lineRule="exact"/>
        <w:ind w:firstLine="642"/>
        <w:rPr>
          <w:rFonts w:ascii="黑体" w:hAnsi="黑体" w:eastAsia="黑体" w:cs="黑体"/>
          <w:b w:val="0"/>
          <w:bCs w:val="0"/>
          <w:sz w:val="32"/>
          <w:szCs w:val="32"/>
        </w:rPr>
      </w:pPr>
      <w:r>
        <w:rPr>
          <w:rFonts w:hint="eastAsia" w:ascii="黑体" w:hAnsi="黑体" w:eastAsia="黑体" w:cs="黑体"/>
          <w:b w:val="0"/>
          <w:bCs w:val="0"/>
          <w:sz w:val="32"/>
          <w:szCs w:val="32"/>
        </w:rPr>
        <w:t>十四、办理时间</w:t>
      </w:r>
    </w:p>
    <w:p>
      <w:pPr>
        <w:spacing w:line="540" w:lineRule="exact"/>
        <w:ind w:firstLine="642"/>
        <w:rPr>
          <w:rFonts w:ascii="仿宋" w:hAnsi="仿宋" w:eastAsia="仿宋" w:cs="仿宋_GB2312"/>
        </w:rPr>
      </w:pPr>
      <w:r>
        <w:rPr>
          <w:rFonts w:hint="eastAsia" w:ascii="仿宋" w:hAnsi="仿宋" w:eastAsia="仿宋" w:cs="仿宋_GB2312"/>
        </w:rPr>
        <w:t>工作日：上午9:00-12:00，下午13:00-17:00。</w:t>
      </w:r>
    </w:p>
    <w:p>
      <w:pPr>
        <w:snapToGrid w:val="0"/>
        <w:spacing w:line="540" w:lineRule="exact"/>
        <w:ind w:firstLine="640" w:firstLineChars="200"/>
        <w:rPr>
          <w:rFonts w:ascii="黑体" w:hAnsi="黑体" w:eastAsia="黑体" w:cs="黑体"/>
        </w:rPr>
      </w:pPr>
      <w:r>
        <w:rPr>
          <w:rFonts w:hint="eastAsia" w:ascii="黑体" w:hAnsi="黑体" w:eastAsia="黑体" w:cs="黑体"/>
        </w:rPr>
        <w:t>十五、咨询电话</w:t>
      </w:r>
    </w:p>
    <w:p>
      <w:pPr>
        <w:spacing w:line="540" w:lineRule="exact"/>
        <w:ind w:firstLine="642"/>
        <w:rPr>
          <w:rFonts w:hint="eastAsia" w:ascii="仿宋" w:hAnsi="仿宋" w:eastAsia="仿宋" w:cs="仿宋_GB2312"/>
        </w:rPr>
      </w:pPr>
      <w:r>
        <w:rPr>
          <w:rFonts w:hint="eastAsia" w:ascii="仿宋" w:hAnsi="仿宋" w:eastAsia="仿宋" w:cs="仿宋_GB2312"/>
        </w:rPr>
        <w:t>0537-12333</w:t>
      </w:r>
    </w:p>
    <w:p>
      <w:pPr>
        <w:pStyle w:val="8"/>
        <w:spacing w:before="0" w:beforeAutospacing="0" w:after="0" w:afterAutospacing="0" w:line="540" w:lineRule="exact"/>
        <w:ind w:firstLine="642"/>
        <w:rPr>
          <w:rFonts w:ascii="黑体" w:hAnsi="黑体" w:eastAsia="黑体" w:cs="黑体"/>
          <w:b w:val="0"/>
          <w:bCs w:val="0"/>
          <w:sz w:val="32"/>
          <w:szCs w:val="32"/>
        </w:rPr>
      </w:pPr>
      <w:r>
        <w:rPr>
          <w:rFonts w:hint="eastAsia" w:ascii="黑体" w:hAnsi="黑体" w:eastAsia="黑体" w:cs="黑体"/>
          <w:b w:val="0"/>
          <w:bCs w:val="0"/>
          <w:sz w:val="32"/>
          <w:szCs w:val="32"/>
        </w:rPr>
        <w:t>十六、监督电话</w:t>
      </w:r>
    </w:p>
    <w:p>
      <w:pPr>
        <w:spacing w:line="540" w:lineRule="exact"/>
        <w:ind w:firstLine="642"/>
        <w:rPr>
          <w:rFonts w:hint="default" w:ascii="仿宋" w:hAnsi="仿宋" w:eastAsia="仿宋" w:cs="仿宋_GB2312"/>
          <w:lang w:val="en-US" w:eastAsia="zh-CN"/>
        </w:rPr>
      </w:pPr>
      <w:r>
        <w:rPr>
          <w:rFonts w:hint="eastAsia" w:ascii="仿宋" w:hAnsi="仿宋" w:eastAsia="仿宋" w:cs="仿宋_GB2312"/>
        </w:rPr>
        <w:t>0537-</w:t>
      </w:r>
      <w:r>
        <w:rPr>
          <w:rFonts w:hint="eastAsia" w:ascii="仿宋" w:hAnsi="仿宋" w:eastAsia="仿宋" w:cs="仿宋_GB2312"/>
          <w:lang w:val="en-US" w:eastAsia="zh-CN"/>
        </w:rPr>
        <w:t>12345</w:t>
      </w:r>
    </w:p>
    <w:p>
      <w:pPr>
        <w:snapToGrid w:val="0"/>
        <w:spacing w:line="540" w:lineRule="exact"/>
        <w:ind w:firstLine="640" w:firstLineChars="200"/>
        <w:rPr>
          <w:rFonts w:ascii="黑体" w:hAnsi="黑体" w:eastAsia="黑体" w:cs="黑体"/>
        </w:rPr>
      </w:pPr>
      <w:r>
        <w:rPr>
          <w:rFonts w:hint="eastAsia" w:ascii="黑体" w:hAnsi="黑体" w:eastAsia="黑体" w:cs="黑体"/>
        </w:rPr>
        <w:t>十七、快递物流</w:t>
      </w:r>
    </w:p>
    <w:p>
      <w:pPr>
        <w:spacing w:line="540" w:lineRule="exact"/>
        <w:ind w:firstLine="642"/>
        <w:rPr>
          <w:rFonts w:ascii="仿宋" w:hAnsi="仿宋" w:eastAsia="仿宋" w:cs="仿宋_GB2312"/>
        </w:rPr>
      </w:pPr>
      <w:r>
        <w:rPr>
          <w:rFonts w:hint="eastAsia" w:ascii="仿宋" w:hAnsi="仿宋" w:eastAsia="仿宋" w:cs="仿宋_GB2312"/>
        </w:rPr>
        <w:t>无需快递</w:t>
      </w:r>
    </w:p>
    <w:p>
      <w:pPr>
        <w:spacing w:line="540" w:lineRule="exact"/>
        <w:ind w:firstLine="642"/>
        <w:rPr>
          <w:rFonts w:ascii="仿宋" w:hAnsi="仿宋" w:eastAsia="仿宋" w:cs="仿宋_GB2312"/>
        </w:rPr>
      </w:pPr>
    </w:p>
    <w:p>
      <w:pPr>
        <w:spacing w:line="540" w:lineRule="exact"/>
        <w:ind w:firstLine="640" w:firstLineChars="200"/>
        <w:rPr>
          <w:rFonts w:hint="default" w:ascii="Times New Roman" w:hAnsi="Times New Roman" w:eastAsia="仿宋" w:cs="Times New Roman"/>
          <w:kern w:val="2"/>
          <w:sz w:val="32"/>
          <w:szCs w:val="32"/>
          <w:lang w:val="en-US" w:eastAsia="zh-CN" w:bidi="ar-SA"/>
        </w:rPr>
      </w:pP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altName w:val="黑体"/>
    <w:panose1 w:val="03000509000000000000"/>
    <w:charset w:val="86"/>
    <w:family w:val="auto"/>
    <w:pitch w:val="default"/>
    <w:sig w:usb0="00000000" w:usb1="00000000" w:usb2="00000000" w:usb3="00000000" w:csb0="00040000"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方正楷体简体">
    <w:altName w:val="宋体"/>
    <w:panose1 w:val="03000509000000000000"/>
    <w:charset w:val="86"/>
    <w:family w:val="auto"/>
    <w:pitch w:val="default"/>
    <w:sig w:usb0="00000000" w:usb1="00000000" w:usb2="00000000" w:usb3="00000000" w:csb0="00040000" w:csb1="00000000"/>
  </w:font>
  <w:font w:name="楷体_GB2312">
    <w:altName w:val="楷体"/>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2QyYjQ1NDJlNDI3OWVjNThmOGVmNWQxMDQyMmYxMGEifQ=="/>
  </w:docVars>
  <w:rsids>
    <w:rsidRoot w:val="55E25C1B"/>
    <w:rsid w:val="03BD55AE"/>
    <w:rsid w:val="05B16FE4"/>
    <w:rsid w:val="55E25C1B"/>
    <w:rsid w:val="73E7745D"/>
    <w:rsid w:val="7D1F356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32"/>
      <w:szCs w:val="32"/>
      <w:lang w:val="en-US" w:eastAsia="zh-CN" w:bidi="ar-SA"/>
    </w:rPr>
  </w:style>
  <w:style w:type="paragraph" w:styleId="2">
    <w:name w:val="heading 1"/>
    <w:basedOn w:val="1"/>
    <w:next w:val="1"/>
    <w:qFormat/>
    <w:uiPriority w:val="9"/>
    <w:pPr>
      <w:keepNext/>
      <w:keepLines/>
      <w:spacing w:before="340" w:after="330" w:line="578" w:lineRule="auto"/>
      <w:outlineLvl w:val="0"/>
    </w:pPr>
    <w:rPr>
      <w:rFonts w:asciiTheme="minorHAnsi" w:hAnsiTheme="minorHAnsi" w:eastAsiaTheme="minorEastAsia" w:cstheme="minorBidi"/>
      <w:b/>
      <w:bCs/>
      <w:kern w:val="44"/>
      <w:sz w:val="44"/>
      <w:szCs w:val="44"/>
    </w:rPr>
  </w:style>
  <w:style w:type="character" w:default="1" w:styleId="6">
    <w:name w:val="Default Paragraph Font"/>
    <w:semiHidden/>
    <w:uiPriority w:val="0"/>
  </w:style>
  <w:style w:type="table" w:default="1" w:styleId="4">
    <w:name w:val="Normal Table"/>
    <w:autoRedefine/>
    <w:semiHidden/>
    <w:qFormat/>
    <w:uiPriority w:val="0"/>
    <w:tblPr>
      <w:tblCellMar>
        <w:top w:w="0" w:type="dxa"/>
        <w:left w:w="108" w:type="dxa"/>
        <w:bottom w:w="0" w:type="dxa"/>
        <w:right w:w="108" w:type="dxa"/>
      </w:tblCellMar>
    </w:tblPr>
  </w:style>
  <w:style w:type="paragraph" w:styleId="3">
    <w:name w:val="Normal (Web)"/>
    <w:basedOn w:val="1"/>
    <w:qFormat/>
    <w:uiPriority w:val="0"/>
    <w:rPr>
      <w:rFonts w:asciiTheme="minorHAnsi" w:hAnsiTheme="minorHAnsi" w:eastAsiaTheme="minorEastAsia" w:cstheme="minorBidi"/>
      <w:sz w:val="24"/>
      <w:szCs w:val="24"/>
    </w:rPr>
  </w:style>
  <w:style w:type="table" w:styleId="5">
    <w:name w:val="Table Grid"/>
    <w:basedOn w:val="4"/>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7">
    <w:name w:val="列出段落1"/>
    <w:basedOn w:val="1"/>
    <w:qFormat/>
    <w:uiPriority w:val="34"/>
    <w:pPr>
      <w:ind w:firstLine="420" w:firstLineChars="200"/>
    </w:pPr>
    <w:rPr>
      <w:rFonts w:ascii="等线" w:hAnsi="等线" w:eastAsia="等线"/>
      <w:sz w:val="21"/>
      <w:szCs w:val="22"/>
    </w:rPr>
  </w:style>
  <w:style w:type="paragraph" w:customStyle="1" w:styleId="8">
    <w:name w:val="UserStyle_0"/>
    <w:basedOn w:val="1"/>
    <w:next w:val="1"/>
    <w:autoRedefine/>
    <w:qFormat/>
    <w:locked/>
    <w:uiPriority w:val="0"/>
    <w:pPr>
      <w:widowControl/>
      <w:spacing w:before="100" w:beforeAutospacing="1" w:after="100" w:afterAutospacing="1"/>
      <w:jc w:val="left"/>
      <w:textAlignment w:val="baseline"/>
    </w:pPr>
    <w:rPr>
      <w:rFonts w:ascii="宋体" w:hAnsi="宋体" w:eastAsiaTheme="minorEastAsia"/>
      <w:b/>
      <w:bCs/>
      <w:kern w:val="36"/>
      <w:sz w:val="48"/>
      <w:szCs w:val="48"/>
    </w:r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png"/><Relationship Id="rId7" Type="http://schemas.openxmlformats.org/officeDocument/2006/relationships/image" Target="media/image4.jpeg"/><Relationship Id="rId6" Type="http://schemas.openxmlformats.org/officeDocument/2006/relationships/image" Target="media/image3.png"/><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image" Target="media/image8.png"/><Relationship Id="rId10" Type="http://schemas.openxmlformats.org/officeDocument/2006/relationships/image" Target="media/image7.png"/><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0</Words>
  <Characters>0</Characters>
  <Lines>0</Lines>
  <Paragraphs>0</Paragraphs>
  <TotalTime>0</TotalTime>
  <ScaleCrop>false</ScaleCrop>
  <LinksUpToDate>false</LinksUpToDate>
  <CharactersWithSpaces>0</CharactersWithSpaces>
  <Application>WPS Office_12.1.0.16729_F1E327BC-269C-435d-A152-05C5408002CA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2024-10-28T07:59:00Z</dcterms:created>
  <dc:creator>陈洪雷</dc:creator>
  <cp:lastModifiedBy>陈洪雷</cp:lastModifiedBy>
  <dcterms:modified xsi:type="dcterms:W3CDTF">2024-10-28T08:31:02Z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ICV">
    <vt:lpwstr>4C270210C20B44C8A504056BEA1F16A9_11</vt:lpwstr>
  </property>
</Properties>
</file>