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6月16日至2020年6月24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tbl>
      <w:tblPr>
        <w:tblStyle w:val="3"/>
        <w:tblpPr w:leftFromText="180" w:rightFromText="180" w:vertAnchor="text" w:horzAnchor="page" w:tblpX="2235" w:tblpY="1383"/>
        <w:tblOverlap w:val="never"/>
        <w:tblW w:w="82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1735"/>
        <w:gridCol w:w="1573"/>
        <w:gridCol w:w="1586"/>
        <w:gridCol w:w="1122"/>
        <w:gridCol w:w="15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汶上县第二人民医院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</w:t>
            </w: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第二人民医院（新院）及养老中心建设项目</w:t>
            </w:r>
            <w:bookmarkEnd w:id="0"/>
            <w:r>
              <w:rPr>
                <w:rFonts w:hint="default" w:ascii="Calibri" w:hAnsi="Calibri" w:eastAsia="sans-serif" w:cs="Calibri"/>
                <w:sz w:val="24"/>
                <w:szCs w:val="24"/>
              </w:rPr>
              <w:t>1—4#楼、老年活动中心、6#连廊、7#连廊、地下车库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中都街道路街社区以北，规划玉晨路以东，峨眉山路以西，兴中路以南。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魏军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57250.32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2020年6月15日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>
      <w:pPr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E7C52"/>
    <w:rsid w:val="224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2020-12-27T03:09:00Z</dcterms:created>
  <dc:creator>SPJ3</dc:creator>
  <cp:lastModifiedBy>SPJ3</cp:lastModifiedBy>
  <dcterms:modified xsi:type="dcterms:W3CDTF">2020-12-27T03:14:12Z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