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C18254">
      <w:pPr>
        <w:spacing w:line="360" w:lineRule="auto"/>
        <w:jc w:val="center"/>
        <w:rPr>
          <w:rFonts w:ascii="宋体" w:hAnsi="宋体" w:cs="宋体"/>
          <w:b/>
          <w:color w:val="000000"/>
          <w:sz w:val="28"/>
          <w:szCs w:val="28"/>
        </w:rPr>
      </w:pPr>
      <w:r>
        <w:rPr>
          <w:rFonts w:hint="eastAsia" w:ascii="宋体" w:hAnsi="宋体" w:cs="宋体"/>
          <w:b/>
          <w:color w:val="000000"/>
          <w:sz w:val="28"/>
          <w:szCs w:val="28"/>
          <w:lang w:eastAsia="zh-CN"/>
        </w:rPr>
        <w:t>汶上县</w:t>
      </w:r>
      <w:r>
        <w:rPr>
          <w:rFonts w:hint="eastAsia" w:ascii="宋体" w:hAnsi="宋体" w:cs="宋体"/>
          <w:b/>
          <w:color w:val="000000"/>
          <w:sz w:val="28"/>
          <w:szCs w:val="28"/>
        </w:rPr>
        <w:t>液化石油气产品质量监督抽查实施细则</w:t>
      </w:r>
    </w:p>
    <w:p w14:paraId="7E40EC02">
      <w:pPr>
        <w:spacing w:line="360" w:lineRule="auto"/>
        <w:rPr>
          <w:rFonts w:ascii="宋体" w:hAnsi="宋体"/>
          <w:szCs w:val="21"/>
        </w:rPr>
      </w:pPr>
      <w:r>
        <w:rPr>
          <w:rFonts w:hint="eastAsia" w:ascii="宋体" w:hAnsi="宋体"/>
          <w:b/>
          <w:bCs/>
          <w:szCs w:val="21"/>
        </w:rPr>
        <w:t>1 抽样</w:t>
      </w:r>
    </w:p>
    <w:p w14:paraId="1BAB125F">
      <w:pPr>
        <w:spacing w:line="360" w:lineRule="auto"/>
        <w:rPr>
          <w:rFonts w:ascii="宋体" w:hAnsi="宋体"/>
          <w:szCs w:val="21"/>
        </w:rPr>
      </w:pPr>
      <w:r>
        <w:rPr>
          <w:rFonts w:hint="eastAsia" w:ascii="宋体" w:hAnsi="宋体"/>
          <w:szCs w:val="21"/>
        </w:rPr>
        <w:t>1.1抽样方法</w:t>
      </w:r>
    </w:p>
    <w:p w14:paraId="0CEC93EB">
      <w:pPr>
        <w:spacing w:line="360" w:lineRule="auto"/>
        <w:ind w:firstLine="420" w:firstLineChars="200"/>
        <w:rPr>
          <w:rFonts w:ascii="宋体" w:hAnsi="宋体"/>
          <w:szCs w:val="21"/>
        </w:rPr>
      </w:pPr>
      <w:r>
        <w:rPr>
          <w:rFonts w:hint="eastAsia" w:ascii="宋体" w:hAnsi="宋体"/>
          <w:szCs w:val="21"/>
        </w:rPr>
        <w:t>以随机抽样的方式在被抽样生产者、销售者的待销产品中抽取。</w:t>
      </w:r>
    </w:p>
    <w:p w14:paraId="6AF343D5">
      <w:pPr>
        <w:spacing w:line="360" w:lineRule="auto"/>
        <w:ind w:firstLine="420" w:firstLineChars="200"/>
        <w:rPr>
          <w:rFonts w:ascii="宋体" w:hAnsi="宋体"/>
          <w:szCs w:val="21"/>
        </w:rPr>
      </w:pPr>
      <w:r>
        <w:rPr>
          <w:rFonts w:hint="eastAsia" w:ascii="宋体" w:hAnsi="宋体"/>
          <w:szCs w:val="21"/>
        </w:rPr>
        <w:t>随机数一般可使用随机数表等方法产生。</w:t>
      </w:r>
    </w:p>
    <w:p w14:paraId="117E3BB1">
      <w:pPr>
        <w:spacing w:line="360" w:lineRule="auto"/>
        <w:rPr>
          <w:rFonts w:ascii="宋体" w:hAnsi="宋体"/>
          <w:szCs w:val="21"/>
        </w:rPr>
      </w:pPr>
      <w:r>
        <w:rPr>
          <w:rFonts w:hint="eastAsia" w:ascii="宋体" w:hAnsi="宋体"/>
          <w:szCs w:val="21"/>
        </w:rPr>
        <w:t>1.2抽样基数</w:t>
      </w:r>
    </w:p>
    <w:p w14:paraId="32C4ABC6">
      <w:pPr>
        <w:spacing w:line="360" w:lineRule="auto"/>
        <w:ind w:firstLine="420" w:firstLineChars="200"/>
        <w:rPr>
          <w:rFonts w:ascii="宋体" w:hAnsi="宋体"/>
          <w:szCs w:val="21"/>
        </w:rPr>
      </w:pPr>
      <w:r>
        <w:rPr>
          <w:rFonts w:hint="eastAsia" w:ascii="宋体" w:hAnsi="宋体"/>
          <w:szCs w:val="21"/>
        </w:rPr>
        <w:t>抽查样品基数满足抽样数量即可。</w:t>
      </w:r>
    </w:p>
    <w:p w14:paraId="3DFEA6CB">
      <w:pPr>
        <w:spacing w:line="360" w:lineRule="auto"/>
        <w:rPr>
          <w:rFonts w:ascii="宋体" w:hAnsi="宋体"/>
          <w:szCs w:val="21"/>
        </w:rPr>
      </w:pPr>
      <w:r>
        <w:rPr>
          <w:rFonts w:hint="eastAsia" w:ascii="宋体" w:hAnsi="宋体"/>
          <w:szCs w:val="21"/>
        </w:rPr>
        <w:t>1.3抽样范围</w:t>
      </w:r>
    </w:p>
    <w:p w14:paraId="6D5187BE">
      <w:pPr>
        <w:spacing w:line="360" w:lineRule="auto"/>
        <w:ind w:firstLine="420" w:firstLineChars="200"/>
        <w:rPr>
          <w:rFonts w:ascii="宋体" w:hAnsi="宋体"/>
          <w:szCs w:val="21"/>
        </w:rPr>
      </w:pPr>
      <w:r>
        <w:rPr>
          <w:rFonts w:hint="eastAsia" w:ascii="宋体" w:hAnsi="宋体"/>
          <w:szCs w:val="21"/>
        </w:rPr>
        <w:t>抽样产品种类包括液化石油气。</w:t>
      </w:r>
    </w:p>
    <w:p w14:paraId="6BD18798">
      <w:pPr>
        <w:spacing w:line="360" w:lineRule="auto"/>
        <w:rPr>
          <w:rFonts w:ascii="宋体" w:hAnsi="宋体"/>
          <w:szCs w:val="21"/>
        </w:rPr>
      </w:pPr>
      <w:r>
        <w:rPr>
          <w:rFonts w:hint="eastAsia" w:ascii="宋体" w:hAnsi="宋体"/>
          <w:szCs w:val="21"/>
        </w:rPr>
        <w:t>1.4抽样数量</w:t>
      </w:r>
    </w:p>
    <w:p w14:paraId="604BD0EC">
      <w:pPr>
        <w:spacing w:line="360" w:lineRule="auto"/>
        <w:ind w:firstLine="420" w:firstLineChars="200"/>
        <w:rPr>
          <w:rFonts w:ascii="宋体" w:hAnsi="宋体" w:cs="宋体"/>
          <w:snapToGrid w:val="0"/>
        </w:rPr>
      </w:pPr>
      <w:r>
        <w:rPr>
          <w:rFonts w:hint="eastAsia" w:ascii="宋体" w:hAnsi="宋体"/>
          <w:szCs w:val="21"/>
        </w:rPr>
        <w:t>每批次液化石油气抽取不少于</w:t>
      </w:r>
      <w:r>
        <w:rPr>
          <w:rFonts w:hint="eastAsia" w:ascii="宋体" w:hAnsi="宋体"/>
          <w:szCs w:val="21"/>
          <w:lang w:val="en-US" w:eastAsia="zh-CN"/>
        </w:rPr>
        <w:t>10kg</w:t>
      </w:r>
      <w:r>
        <w:rPr>
          <w:rFonts w:hint="eastAsia" w:ascii="宋体" w:hAnsi="宋体"/>
          <w:szCs w:val="21"/>
        </w:rPr>
        <w:t>样品，其中</w:t>
      </w:r>
      <w:r>
        <w:rPr>
          <w:rFonts w:hint="eastAsia" w:ascii="宋体" w:hAnsi="宋体"/>
          <w:szCs w:val="21"/>
          <w:lang w:val="en-US" w:eastAsia="zh-CN"/>
        </w:rPr>
        <w:t>5kg</w:t>
      </w:r>
      <w:r>
        <w:rPr>
          <w:rFonts w:hint="eastAsia" w:ascii="宋体" w:hAnsi="宋体"/>
          <w:szCs w:val="21"/>
        </w:rPr>
        <w:t>作为检样，另</w:t>
      </w:r>
      <w:r>
        <w:rPr>
          <w:rFonts w:hint="eastAsia" w:ascii="宋体" w:hAnsi="宋体"/>
          <w:szCs w:val="21"/>
          <w:lang w:val="en-US" w:eastAsia="zh-CN"/>
        </w:rPr>
        <w:t>5kg</w:t>
      </w:r>
      <w:r>
        <w:rPr>
          <w:rFonts w:hint="eastAsia" w:ascii="宋体" w:hAnsi="宋体"/>
          <w:szCs w:val="21"/>
        </w:rPr>
        <w:t>作为备样。使用符合SH/T 0233-1992《液化石油气采样法》要求的不锈钢采样器进行</w:t>
      </w:r>
      <w:bookmarkStart w:id="0" w:name="_GoBack"/>
      <w:bookmarkEnd w:id="0"/>
      <w:r>
        <w:rPr>
          <w:rFonts w:hint="eastAsia" w:ascii="宋体" w:hAnsi="宋体"/>
          <w:szCs w:val="21"/>
        </w:rPr>
        <w:t>取样</w:t>
      </w:r>
      <w:r>
        <w:rPr>
          <w:rFonts w:hint="eastAsia" w:ascii="宋体" w:hAnsi="宋体" w:cs="宋体"/>
          <w:snapToGrid w:val="0"/>
        </w:rPr>
        <w:t>。</w:t>
      </w:r>
    </w:p>
    <w:p w14:paraId="579ACD91">
      <w:pPr>
        <w:pStyle w:val="3"/>
        <w:spacing w:line="360" w:lineRule="auto"/>
        <w:rPr>
          <w:rFonts w:ascii="宋体" w:hAnsi="宋体" w:cs="宋体"/>
          <w:bCs/>
          <w:color w:val="000000" w:themeColor="text1"/>
          <w:szCs w:val="21"/>
        </w:rPr>
      </w:pPr>
      <w:r>
        <w:rPr>
          <w:rFonts w:hint="eastAsia" w:ascii="宋体" w:hAnsi="宋体" w:cs="宋体"/>
          <w:b/>
          <w:bCs/>
          <w:color w:val="000000"/>
          <w:szCs w:val="21"/>
        </w:rPr>
        <w:t>2 检验项目及检测方法</w:t>
      </w:r>
    </w:p>
    <w:p w14:paraId="68CD19BA">
      <w:pPr>
        <w:spacing w:line="360" w:lineRule="auto"/>
        <w:jc w:val="center"/>
        <w:rPr>
          <w:rFonts w:ascii="宋体" w:hAnsi="宋体" w:cs="宋体"/>
          <w:b/>
          <w:bCs/>
          <w:color w:val="000000"/>
          <w:szCs w:val="21"/>
        </w:rPr>
      </w:pPr>
      <w:r>
        <w:rPr>
          <w:rFonts w:hint="eastAsia" w:ascii="宋体" w:hAnsi="宋体" w:cs="宋体"/>
          <w:b/>
          <w:bCs/>
          <w:color w:val="000000"/>
          <w:szCs w:val="21"/>
        </w:rPr>
        <w:t>表1-1液化石油气产品检验项目</w:t>
      </w:r>
    </w:p>
    <w:tbl>
      <w:tblPr>
        <w:tblStyle w:val="10"/>
        <w:tblW w:w="69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2977"/>
        <w:gridCol w:w="2728"/>
      </w:tblGrid>
      <w:tr w14:paraId="3B159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F60DD8C">
            <w:pPr>
              <w:adjustRightInd w:val="0"/>
              <w:snapToGrid w:val="0"/>
              <w:jc w:val="center"/>
              <w:rPr>
                <w:rFonts w:ascii="宋体" w:hAnsi="宋体"/>
                <w:color w:val="000000"/>
                <w:szCs w:val="21"/>
              </w:rPr>
            </w:pPr>
            <w:r>
              <w:rPr>
                <w:rFonts w:hint="eastAsia" w:ascii="宋体" w:hAnsi="宋体"/>
                <w:color w:val="000000"/>
                <w:szCs w:val="21"/>
              </w:rPr>
              <w:t>序号</w:t>
            </w:r>
          </w:p>
        </w:tc>
        <w:tc>
          <w:tcPr>
            <w:tcW w:w="2977" w:type="dxa"/>
            <w:tcBorders>
              <w:top w:val="single" w:color="auto" w:sz="4" w:space="0"/>
              <w:left w:val="nil"/>
              <w:bottom w:val="single" w:color="auto" w:sz="4" w:space="0"/>
              <w:right w:val="single" w:color="auto" w:sz="4" w:space="0"/>
            </w:tcBorders>
            <w:vAlign w:val="center"/>
          </w:tcPr>
          <w:p w14:paraId="622009B1">
            <w:pPr>
              <w:adjustRightInd w:val="0"/>
              <w:snapToGrid w:val="0"/>
              <w:jc w:val="center"/>
              <w:rPr>
                <w:rFonts w:ascii="宋体" w:hAnsi="宋体"/>
                <w:color w:val="000000"/>
                <w:szCs w:val="21"/>
              </w:rPr>
            </w:pPr>
            <w:r>
              <w:rPr>
                <w:rFonts w:hint="eastAsia" w:ascii="宋体" w:hAnsi="宋体"/>
                <w:color w:val="000000"/>
                <w:szCs w:val="21"/>
              </w:rPr>
              <w:t>检验项目</w:t>
            </w:r>
          </w:p>
        </w:tc>
        <w:tc>
          <w:tcPr>
            <w:tcW w:w="2728" w:type="dxa"/>
            <w:tcBorders>
              <w:top w:val="single" w:color="auto" w:sz="4" w:space="0"/>
              <w:left w:val="nil"/>
              <w:bottom w:val="single" w:color="auto" w:sz="4" w:space="0"/>
              <w:right w:val="single" w:color="auto" w:sz="4" w:space="0"/>
            </w:tcBorders>
            <w:vAlign w:val="center"/>
          </w:tcPr>
          <w:p w14:paraId="0220B03C">
            <w:pPr>
              <w:adjustRightInd w:val="0"/>
              <w:snapToGrid w:val="0"/>
              <w:jc w:val="center"/>
              <w:rPr>
                <w:rFonts w:ascii="宋体" w:hAnsi="宋体"/>
                <w:color w:val="000000"/>
                <w:szCs w:val="21"/>
              </w:rPr>
            </w:pPr>
            <w:r>
              <w:rPr>
                <w:rFonts w:hint="eastAsia" w:ascii="宋体" w:hAnsi="宋体"/>
                <w:color w:val="000000"/>
                <w:szCs w:val="21"/>
              </w:rPr>
              <w:t>检测方法</w:t>
            </w:r>
          </w:p>
        </w:tc>
      </w:tr>
      <w:tr w14:paraId="4F1CF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273AB2A">
            <w:pPr>
              <w:adjustRightInd w:val="0"/>
              <w:snapToGrid w:val="0"/>
              <w:jc w:val="center"/>
              <w:rPr>
                <w:rFonts w:hint="eastAsia" w:ascii="宋体" w:hAnsi="宋体" w:eastAsiaTheme="minorEastAsia"/>
                <w:color w:val="000000"/>
                <w:szCs w:val="21"/>
                <w:lang w:val="en-US" w:eastAsia="zh-CN"/>
              </w:rPr>
            </w:pPr>
            <w:r>
              <w:rPr>
                <w:rFonts w:hint="eastAsia" w:ascii="宋体" w:hAnsi="宋体"/>
                <w:color w:val="000000"/>
                <w:szCs w:val="21"/>
                <w:lang w:val="en-US" w:eastAsia="zh-CN"/>
              </w:rPr>
              <w:t>1</w:t>
            </w:r>
          </w:p>
        </w:tc>
        <w:tc>
          <w:tcPr>
            <w:tcW w:w="2977" w:type="dxa"/>
            <w:tcBorders>
              <w:top w:val="single" w:color="auto" w:sz="4" w:space="0"/>
              <w:left w:val="nil"/>
              <w:bottom w:val="single" w:color="auto" w:sz="4" w:space="0"/>
              <w:right w:val="single" w:color="auto" w:sz="4" w:space="0"/>
            </w:tcBorders>
            <w:vAlign w:val="center"/>
          </w:tcPr>
          <w:p w14:paraId="2BA869EC">
            <w:pPr>
              <w:adjustRightInd w:val="0"/>
              <w:snapToGrid w:val="0"/>
              <w:jc w:val="center"/>
              <w:rPr>
                <w:rFonts w:hint="eastAsia" w:ascii="宋体" w:hAnsi="宋体"/>
                <w:color w:val="000000"/>
                <w:szCs w:val="21"/>
              </w:rPr>
            </w:pPr>
            <w:r>
              <w:rPr>
                <w:spacing w:val="-1"/>
              </w:rPr>
              <w:t>组分</w:t>
            </w:r>
          </w:p>
        </w:tc>
        <w:tc>
          <w:tcPr>
            <w:tcW w:w="2728" w:type="dxa"/>
            <w:tcBorders>
              <w:top w:val="single" w:color="auto" w:sz="4" w:space="0"/>
              <w:left w:val="nil"/>
              <w:bottom w:val="single" w:color="auto" w:sz="4" w:space="0"/>
              <w:right w:val="single" w:color="auto" w:sz="4" w:space="0"/>
            </w:tcBorders>
            <w:vAlign w:val="center"/>
          </w:tcPr>
          <w:p w14:paraId="52A0A439">
            <w:pPr>
              <w:adjustRightInd w:val="0"/>
              <w:snapToGrid w:val="0"/>
              <w:jc w:val="center"/>
              <w:rPr>
                <w:rFonts w:hint="eastAsia" w:ascii="宋体" w:hAnsi="宋体"/>
                <w:color w:val="000000"/>
                <w:szCs w:val="21"/>
              </w:rPr>
            </w:pPr>
            <w:r>
              <w:rPr>
                <w:rFonts w:hint="eastAsia" w:ascii="宋体" w:hAnsi="宋体"/>
                <w:color w:val="000000"/>
                <w:szCs w:val="21"/>
              </w:rPr>
              <w:t>GB11174</w:t>
            </w:r>
          </w:p>
        </w:tc>
      </w:tr>
      <w:tr w14:paraId="14757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44C9E3A">
            <w:pPr>
              <w:adjustRightInd w:val="0"/>
              <w:snapToGrid w:val="0"/>
              <w:jc w:val="center"/>
              <w:rPr>
                <w:rFonts w:hint="eastAsia" w:ascii="宋体" w:hAnsi="宋体" w:eastAsiaTheme="minorEastAsia"/>
                <w:color w:val="000000"/>
                <w:szCs w:val="21"/>
                <w:lang w:val="en-US" w:eastAsia="zh-CN"/>
              </w:rPr>
            </w:pPr>
            <w:r>
              <w:rPr>
                <w:rFonts w:hint="eastAsia" w:ascii="宋体" w:hAnsi="宋体"/>
                <w:color w:val="000000"/>
                <w:szCs w:val="21"/>
                <w:lang w:val="en-US" w:eastAsia="zh-CN"/>
              </w:rPr>
              <w:t>2</w:t>
            </w:r>
          </w:p>
        </w:tc>
        <w:tc>
          <w:tcPr>
            <w:tcW w:w="2977" w:type="dxa"/>
            <w:tcBorders>
              <w:top w:val="single" w:color="auto" w:sz="4" w:space="0"/>
              <w:left w:val="nil"/>
              <w:bottom w:val="single" w:color="auto" w:sz="4" w:space="0"/>
              <w:right w:val="single" w:color="auto" w:sz="4" w:space="0"/>
            </w:tcBorders>
            <w:vAlign w:val="center"/>
          </w:tcPr>
          <w:p w14:paraId="758E8524">
            <w:pPr>
              <w:adjustRightInd w:val="0"/>
              <w:snapToGrid w:val="0"/>
              <w:jc w:val="center"/>
              <w:rPr>
                <w:rFonts w:hint="eastAsia" w:ascii="宋体" w:hAnsi="宋体"/>
                <w:color w:val="000000"/>
                <w:szCs w:val="21"/>
              </w:rPr>
            </w:pPr>
            <w:r>
              <w:rPr>
                <w:spacing w:val="-1"/>
              </w:rPr>
              <w:t>密度</w:t>
            </w:r>
          </w:p>
        </w:tc>
        <w:tc>
          <w:tcPr>
            <w:tcW w:w="2728" w:type="dxa"/>
            <w:tcBorders>
              <w:top w:val="single" w:color="auto" w:sz="4" w:space="0"/>
              <w:left w:val="nil"/>
              <w:bottom w:val="single" w:color="auto" w:sz="4" w:space="0"/>
              <w:right w:val="single" w:color="auto" w:sz="4" w:space="0"/>
            </w:tcBorders>
            <w:vAlign w:val="center"/>
          </w:tcPr>
          <w:p w14:paraId="594B6B07">
            <w:pPr>
              <w:adjustRightInd w:val="0"/>
              <w:snapToGrid w:val="0"/>
              <w:jc w:val="center"/>
              <w:rPr>
                <w:rFonts w:hint="eastAsia" w:ascii="宋体" w:hAnsi="宋体"/>
                <w:color w:val="000000"/>
                <w:szCs w:val="21"/>
              </w:rPr>
            </w:pPr>
            <w:r>
              <w:rPr>
                <w:rFonts w:hint="eastAsia" w:ascii="宋体" w:hAnsi="宋体"/>
                <w:color w:val="000000"/>
                <w:szCs w:val="21"/>
              </w:rPr>
              <w:t>GB11174</w:t>
            </w:r>
          </w:p>
        </w:tc>
      </w:tr>
      <w:tr w14:paraId="3D64F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0169690">
            <w:pPr>
              <w:adjustRightInd w:val="0"/>
              <w:snapToGrid w:val="0"/>
              <w:jc w:val="center"/>
              <w:rPr>
                <w:rFonts w:hint="eastAsia" w:ascii="宋体" w:hAnsi="宋体" w:eastAsiaTheme="minorEastAsia"/>
                <w:color w:val="000000"/>
                <w:szCs w:val="21"/>
                <w:lang w:val="en-US" w:eastAsia="zh-CN"/>
              </w:rPr>
            </w:pPr>
            <w:r>
              <w:rPr>
                <w:rFonts w:hint="eastAsia" w:ascii="宋体" w:hAnsi="宋体"/>
                <w:color w:val="000000"/>
                <w:szCs w:val="21"/>
                <w:lang w:val="en-US" w:eastAsia="zh-CN"/>
              </w:rPr>
              <w:t>3</w:t>
            </w:r>
          </w:p>
        </w:tc>
        <w:tc>
          <w:tcPr>
            <w:tcW w:w="2977" w:type="dxa"/>
            <w:tcBorders>
              <w:top w:val="single" w:color="auto" w:sz="4" w:space="0"/>
              <w:left w:val="nil"/>
              <w:bottom w:val="single" w:color="auto" w:sz="4" w:space="0"/>
              <w:right w:val="single" w:color="auto" w:sz="4" w:space="0"/>
            </w:tcBorders>
            <w:vAlign w:val="center"/>
          </w:tcPr>
          <w:p w14:paraId="28F8939E">
            <w:pPr>
              <w:adjustRightInd w:val="0"/>
              <w:snapToGrid w:val="0"/>
              <w:jc w:val="center"/>
              <w:rPr>
                <w:rFonts w:hint="eastAsia" w:ascii="宋体" w:hAnsi="宋体"/>
                <w:color w:val="000000"/>
                <w:szCs w:val="21"/>
              </w:rPr>
            </w:pPr>
            <w:r>
              <w:rPr>
                <w:spacing w:val="-1"/>
              </w:rPr>
              <w:t>蒸气压</w:t>
            </w:r>
          </w:p>
        </w:tc>
        <w:tc>
          <w:tcPr>
            <w:tcW w:w="2728" w:type="dxa"/>
            <w:tcBorders>
              <w:top w:val="single" w:color="auto" w:sz="4" w:space="0"/>
              <w:left w:val="nil"/>
              <w:bottom w:val="single" w:color="auto" w:sz="4" w:space="0"/>
              <w:right w:val="single" w:color="auto" w:sz="4" w:space="0"/>
            </w:tcBorders>
            <w:vAlign w:val="center"/>
          </w:tcPr>
          <w:p w14:paraId="031C890E">
            <w:pPr>
              <w:adjustRightInd w:val="0"/>
              <w:snapToGrid w:val="0"/>
              <w:jc w:val="center"/>
              <w:rPr>
                <w:rFonts w:hint="eastAsia" w:ascii="宋体" w:hAnsi="宋体"/>
                <w:color w:val="000000"/>
                <w:szCs w:val="21"/>
              </w:rPr>
            </w:pPr>
            <w:r>
              <w:rPr>
                <w:rFonts w:hint="eastAsia" w:ascii="宋体" w:hAnsi="宋体"/>
                <w:color w:val="000000"/>
                <w:szCs w:val="21"/>
              </w:rPr>
              <w:t>GB11174</w:t>
            </w:r>
          </w:p>
        </w:tc>
      </w:tr>
      <w:tr w14:paraId="48E16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8B9809F">
            <w:pPr>
              <w:adjustRightInd w:val="0"/>
              <w:snapToGrid w:val="0"/>
              <w:jc w:val="center"/>
              <w:rPr>
                <w:rFonts w:hint="eastAsia" w:ascii="宋体" w:hAnsi="宋体" w:eastAsiaTheme="minorEastAsia"/>
                <w:color w:val="000000"/>
                <w:szCs w:val="21"/>
                <w:lang w:val="en-US" w:eastAsia="zh-CN"/>
              </w:rPr>
            </w:pPr>
            <w:r>
              <w:rPr>
                <w:rFonts w:hint="eastAsia" w:ascii="宋体" w:hAnsi="宋体"/>
                <w:color w:val="000000"/>
                <w:szCs w:val="21"/>
                <w:lang w:val="en-US" w:eastAsia="zh-CN"/>
              </w:rPr>
              <w:t>4</w:t>
            </w:r>
          </w:p>
        </w:tc>
        <w:tc>
          <w:tcPr>
            <w:tcW w:w="2977" w:type="dxa"/>
            <w:tcBorders>
              <w:top w:val="single" w:color="auto" w:sz="4" w:space="0"/>
              <w:left w:val="nil"/>
              <w:bottom w:val="single" w:color="auto" w:sz="4" w:space="0"/>
              <w:right w:val="single" w:color="auto" w:sz="4" w:space="0"/>
            </w:tcBorders>
            <w:vAlign w:val="center"/>
          </w:tcPr>
          <w:p w14:paraId="69FC916B">
            <w:pPr>
              <w:adjustRightInd w:val="0"/>
              <w:snapToGrid w:val="0"/>
              <w:jc w:val="center"/>
              <w:rPr>
                <w:rFonts w:hint="eastAsia" w:ascii="宋体" w:hAnsi="宋体"/>
                <w:color w:val="000000"/>
                <w:szCs w:val="21"/>
              </w:rPr>
            </w:pPr>
            <w:r>
              <w:rPr>
                <w:spacing w:val="-1"/>
              </w:rPr>
              <w:t>残留物</w:t>
            </w:r>
          </w:p>
        </w:tc>
        <w:tc>
          <w:tcPr>
            <w:tcW w:w="2728" w:type="dxa"/>
            <w:tcBorders>
              <w:top w:val="single" w:color="auto" w:sz="4" w:space="0"/>
              <w:left w:val="nil"/>
              <w:bottom w:val="single" w:color="auto" w:sz="4" w:space="0"/>
              <w:right w:val="single" w:color="auto" w:sz="4" w:space="0"/>
            </w:tcBorders>
            <w:vAlign w:val="center"/>
          </w:tcPr>
          <w:p w14:paraId="6E58447D">
            <w:pPr>
              <w:adjustRightInd w:val="0"/>
              <w:snapToGrid w:val="0"/>
              <w:jc w:val="center"/>
              <w:rPr>
                <w:rFonts w:hint="eastAsia" w:ascii="宋体" w:hAnsi="宋体"/>
                <w:color w:val="000000"/>
                <w:szCs w:val="21"/>
              </w:rPr>
            </w:pPr>
            <w:r>
              <w:rPr>
                <w:rFonts w:hint="eastAsia" w:ascii="宋体" w:hAnsi="宋体"/>
                <w:color w:val="000000"/>
                <w:szCs w:val="21"/>
              </w:rPr>
              <w:t>GB11174</w:t>
            </w:r>
          </w:p>
        </w:tc>
      </w:tr>
      <w:tr w14:paraId="10D11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7467FA0">
            <w:pPr>
              <w:adjustRightInd w:val="0"/>
              <w:snapToGrid w:val="0"/>
              <w:jc w:val="center"/>
              <w:rPr>
                <w:rFonts w:hint="eastAsia" w:ascii="宋体" w:hAnsi="宋体" w:eastAsiaTheme="minorEastAsia"/>
                <w:color w:val="000000"/>
                <w:szCs w:val="21"/>
                <w:lang w:val="en-US" w:eastAsia="zh-CN"/>
              </w:rPr>
            </w:pPr>
            <w:r>
              <w:rPr>
                <w:rFonts w:hint="eastAsia" w:ascii="宋体" w:hAnsi="宋体"/>
                <w:color w:val="000000"/>
                <w:szCs w:val="21"/>
                <w:lang w:val="en-US" w:eastAsia="zh-CN"/>
              </w:rPr>
              <w:t>5</w:t>
            </w:r>
          </w:p>
        </w:tc>
        <w:tc>
          <w:tcPr>
            <w:tcW w:w="2977" w:type="dxa"/>
            <w:tcBorders>
              <w:top w:val="single" w:color="auto" w:sz="4" w:space="0"/>
              <w:left w:val="nil"/>
              <w:bottom w:val="single" w:color="auto" w:sz="4" w:space="0"/>
              <w:right w:val="single" w:color="auto" w:sz="4" w:space="0"/>
            </w:tcBorders>
            <w:vAlign w:val="center"/>
          </w:tcPr>
          <w:p w14:paraId="063ABD89">
            <w:pPr>
              <w:adjustRightInd w:val="0"/>
              <w:snapToGrid w:val="0"/>
              <w:jc w:val="center"/>
              <w:rPr>
                <w:rFonts w:hint="eastAsia" w:ascii="宋体" w:hAnsi="宋体"/>
                <w:color w:val="000000"/>
                <w:szCs w:val="21"/>
              </w:rPr>
            </w:pPr>
            <w:r>
              <w:rPr>
                <w:spacing w:val="-1"/>
              </w:rPr>
              <w:t>铜片腐蚀</w:t>
            </w:r>
          </w:p>
        </w:tc>
        <w:tc>
          <w:tcPr>
            <w:tcW w:w="2728" w:type="dxa"/>
            <w:tcBorders>
              <w:top w:val="single" w:color="auto" w:sz="4" w:space="0"/>
              <w:left w:val="nil"/>
              <w:bottom w:val="single" w:color="auto" w:sz="4" w:space="0"/>
              <w:right w:val="single" w:color="auto" w:sz="4" w:space="0"/>
            </w:tcBorders>
            <w:vAlign w:val="center"/>
          </w:tcPr>
          <w:p w14:paraId="2D97D05E">
            <w:pPr>
              <w:adjustRightInd w:val="0"/>
              <w:snapToGrid w:val="0"/>
              <w:jc w:val="center"/>
              <w:rPr>
                <w:rFonts w:hint="eastAsia" w:ascii="宋体" w:hAnsi="宋体"/>
                <w:color w:val="000000"/>
                <w:szCs w:val="21"/>
              </w:rPr>
            </w:pPr>
            <w:r>
              <w:rPr>
                <w:rFonts w:hint="eastAsia" w:ascii="宋体" w:hAnsi="宋体"/>
                <w:color w:val="000000"/>
                <w:szCs w:val="21"/>
              </w:rPr>
              <w:t>GB11174</w:t>
            </w:r>
          </w:p>
        </w:tc>
      </w:tr>
    </w:tbl>
    <w:p w14:paraId="731FE8DD">
      <w:pPr>
        <w:spacing w:line="360" w:lineRule="auto"/>
        <w:ind w:firstLine="417" w:firstLineChars="199"/>
        <w:rPr>
          <w:rFonts w:ascii="宋体" w:hAnsi="宋体"/>
          <w:color w:val="000000"/>
          <w:szCs w:val="21"/>
        </w:rPr>
      </w:pPr>
    </w:p>
    <w:p w14:paraId="671DFBF4">
      <w:pPr>
        <w:spacing w:line="360" w:lineRule="auto"/>
        <w:ind w:firstLine="417" w:firstLineChars="199"/>
        <w:rPr>
          <w:rFonts w:ascii="宋体" w:hAnsi="宋体"/>
          <w:color w:val="000000"/>
          <w:szCs w:val="21"/>
        </w:rPr>
      </w:pPr>
    </w:p>
    <w:p w14:paraId="0457B7FB">
      <w:pPr>
        <w:spacing w:line="360" w:lineRule="auto"/>
        <w:ind w:firstLine="417" w:firstLineChars="199"/>
        <w:rPr>
          <w:rFonts w:ascii="宋体" w:hAnsi="宋体"/>
          <w:color w:val="000000"/>
          <w:szCs w:val="21"/>
        </w:rPr>
      </w:pPr>
    </w:p>
    <w:p w14:paraId="0A11DC7B">
      <w:pPr>
        <w:spacing w:line="360" w:lineRule="auto"/>
        <w:ind w:firstLine="420" w:firstLineChars="200"/>
        <w:jc w:val="left"/>
        <w:rPr>
          <w:rFonts w:ascii="宋体" w:hAnsi="宋体" w:cs="宋体"/>
          <w:snapToGrid w:val="0"/>
        </w:rPr>
      </w:pPr>
      <w:r>
        <w:rPr>
          <w:rFonts w:hint="eastAsia" w:ascii="宋体" w:hAnsi="宋体" w:cs="宋体"/>
          <w:snapToGrid w:val="0"/>
        </w:rPr>
        <w:t>注：上表所列检验项目是有关法律法规、标准等规定的，重点涉及健康、安全、节能、环保以及消费者、有关组织反映有质量问题的重要项目。</w:t>
      </w:r>
    </w:p>
    <w:p w14:paraId="6A44083D">
      <w:pPr>
        <w:spacing w:line="360" w:lineRule="auto"/>
        <w:ind w:firstLine="420" w:firstLineChars="200"/>
        <w:jc w:val="left"/>
        <w:rPr>
          <w:rFonts w:ascii="宋体" w:hAnsi="宋体" w:cs="宋体"/>
          <w:b/>
          <w:bCs/>
        </w:rPr>
      </w:pPr>
      <w:r>
        <w:rPr>
          <w:rFonts w:hint="eastAsia" w:ascii="宋体" w:hAnsi="宋体" w:cs="宋体"/>
          <w:snapToGrid w:val="0"/>
        </w:rPr>
        <w:t>执行企业标准、团体标准、地方标准的产品，检验项目参照上述内容执行。</w:t>
      </w:r>
    </w:p>
    <w:p w14:paraId="599442B4">
      <w:pPr>
        <w:spacing w:line="360" w:lineRule="auto"/>
        <w:ind w:firstLine="420" w:firstLineChars="200"/>
        <w:rPr>
          <w:rFonts w:ascii="宋体" w:hAnsi="宋体"/>
          <w:color w:val="000000"/>
          <w:szCs w:val="21"/>
        </w:rPr>
      </w:pPr>
      <w:r>
        <w:rPr>
          <w:rFonts w:hint="eastAsia" w:ascii="宋体" w:hAnsi="宋体" w:cs="方正仿宋简体"/>
          <w:color w:val="000000"/>
        </w:rPr>
        <w:t>凡是注日期的文件，其随后所有的修改单（不包括勘误的内容）或修订版不适用于本细则。凡是不注日期的文件，其最新版本适用于本细则。</w:t>
      </w:r>
    </w:p>
    <w:p w14:paraId="27CFCA62">
      <w:pPr>
        <w:spacing w:line="360" w:lineRule="auto"/>
        <w:rPr>
          <w:rFonts w:ascii="黑体" w:hAnsi="宋体" w:eastAsia="黑体"/>
          <w:b/>
          <w:bCs/>
          <w:color w:val="000000"/>
          <w:szCs w:val="21"/>
        </w:rPr>
      </w:pPr>
      <w:r>
        <w:rPr>
          <w:rFonts w:hint="eastAsia" w:ascii="黑体" w:hAnsi="宋体" w:eastAsia="黑体"/>
          <w:b/>
          <w:bCs/>
          <w:color w:val="000000"/>
          <w:szCs w:val="21"/>
        </w:rPr>
        <w:t>3</w:t>
      </w:r>
      <w:r>
        <w:rPr>
          <w:rFonts w:hint="eastAsia" w:ascii="宋体" w:hAnsi="宋体" w:cs="宋体"/>
          <w:b/>
          <w:bCs/>
          <w:color w:val="000000"/>
          <w:szCs w:val="21"/>
        </w:rPr>
        <w:t xml:space="preserve"> 判定规则</w:t>
      </w:r>
    </w:p>
    <w:p w14:paraId="6993E705">
      <w:pPr>
        <w:spacing w:line="360" w:lineRule="auto"/>
        <w:rPr>
          <w:rFonts w:asciiTheme="minorEastAsia" w:hAnsiTheme="minorEastAsia" w:cstheme="minorEastAsia"/>
          <w:color w:val="000000"/>
          <w:szCs w:val="21"/>
        </w:rPr>
      </w:pPr>
      <w:r>
        <w:rPr>
          <w:rFonts w:hint="eastAsia" w:asciiTheme="minorEastAsia" w:hAnsiTheme="minorEastAsia" w:cstheme="minorEastAsia"/>
          <w:color w:val="000000"/>
          <w:szCs w:val="21"/>
        </w:rPr>
        <w:t>3.1标准依据</w:t>
      </w:r>
    </w:p>
    <w:p w14:paraId="6A12875A">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GB 11174 液化石油气</w:t>
      </w:r>
    </w:p>
    <w:p w14:paraId="0D605A2F">
      <w:pPr>
        <w:spacing w:line="360" w:lineRule="auto"/>
        <w:ind w:firstLine="420" w:firstLineChars="200"/>
        <w:rPr>
          <w:rFonts w:asciiTheme="minorEastAsia" w:hAnsiTheme="minorEastAsia" w:cstheme="minorEastAsia"/>
          <w:color w:val="000000"/>
          <w:szCs w:val="21"/>
        </w:rPr>
      </w:pPr>
      <w:r>
        <w:rPr>
          <w:rFonts w:hint="eastAsia" w:asciiTheme="minorEastAsia" w:hAnsiTheme="minorEastAsia" w:cstheme="minorEastAsia"/>
          <w:color w:val="000000"/>
          <w:szCs w:val="21"/>
        </w:rPr>
        <w:t>相关的法律、行政法规、部门规章、规范性文件</w:t>
      </w:r>
    </w:p>
    <w:p w14:paraId="44707D23">
      <w:pPr>
        <w:spacing w:line="360" w:lineRule="auto"/>
        <w:ind w:firstLine="420" w:firstLineChars="200"/>
        <w:rPr>
          <w:rFonts w:ascii="宋体" w:hAnsi="宋体"/>
          <w:color w:val="000000"/>
          <w:szCs w:val="21"/>
        </w:rPr>
      </w:pPr>
      <w:r>
        <w:rPr>
          <w:rFonts w:hint="eastAsia" w:asciiTheme="minorEastAsia" w:hAnsiTheme="minorEastAsia" w:cstheme="minorEastAsia"/>
          <w:color w:val="000000"/>
          <w:szCs w:val="21"/>
        </w:rPr>
        <w:t>现行有效的企业标准、团体标准、地方标准</w:t>
      </w:r>
      <w:r>
        <w:rPr>
          <w:rFonts w:hint="eastAsia" w:ascii="宋体" w:hAnsi="宋体"/>
          <w:color w:val="000000"/>
          <w:szCs w:val="21"/>
        </w:rPr>
        <w:t>及产品明示质量要求</w:t>
      </w:r>
    </w:p>
    <w:p w14:paraId="2A7D8D2B">
      <w:pPr>
        <w:spacing w:line="360" w:lineRule="auto"/>
        <w:rPr>
          <w:rFonts w:ascii="宋体" w:hAnsi="宋体"/>
          <w:color w:val="000000"/>
          <w:szCs w:val="21"/>
        </w:rPr>
      </w:pPr>
      <w:r>
        <w:rPr>
          <w:rFonts w:hint="eastAsia" w:ascii="宋体" w:hAnsi="宋体"/>
          <w:color w:val="000000"/>
          <w:szCs w:val="21"/>
        </w:rPr>
        <w:t>3.2判定原则</w:t>
      </w:r>
    </w:p>
    <w:p w14:paraId="2D9D8237">
      <w:pPr>
        <w:spacing w:line="360" w:lineRule="auto"/>
        <w:ind w:firstLine="420" w:firstLineChars="200"/>
        <w:rPr>
          <w:rFonts w:ascii="宋体" w:hAnsi="宋体"/>
          <w:color w:val="000000"/>
          <w:szCs w:val="21"/>
        </w:rPr>
      </w:pPr>
      <w:r>
        <w:rPr>
          <w:rFonts w:hint="eastAsia" w:ascii="宋体" w:hAnsi="宋体"/>
          <w:szCs w:val="21"/>
        </w:rPr>
        <w:t>经检验，检验项目全部合格，判定为被抽查产品所检项目未发现不合格；</w:t>
      </w:r>
      <w:r>
        <w:rPr>
          <w:rFonts w:hint="eastAsia" w:ascii="宋体" w:hAnsi="宋体"/>
          <w:color w:val="000000"/>
          <w:szCs w:val="21"/>
        </w:rPr>
        <w:t>检验项目中任一项或一项以上不合格，判定为被抽查产品不合格。</w:t>
      </w:r>
    </w:p>
    <w:p w14:paraId="0E99386C">
      <w:pPr>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271642CE">
      <w:pPr>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1C0D9BD3">
      <w:pPr>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14:paraId="511FAFF7">
      <w:pPr>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47AE670E">
      <w:pPr>
        <w:spacing w:line="360" w:lineRule="auto"/>
        <w:ind w:firstLine="417" w:firstLineChars="199"/>
        <w:rPr>
          <w:rFonts w:ascii="方正仿宋简体" w:hAnsi="仿宋" w:eastAsia="方正仿宋简体"/>
          <w:color w:val="000000"/>
          <w:sz w:val="24"/>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14:paraId="08B45324">
      <w:pPr>
        <w:spacing w:line="360" w:lineRule="auto"/>
        <w:rPr>
          <w:rFonts w:ascii="黑体" w:hAnsi="宋体" w:eastAsia="黑体"/>
          <w:b/>
          <w:bCs/>
          <w:color w:val="000000"/>
          <w:szCs w:val="21"/>
        </w:rPr>
      </w:pPr>
      <w:r>
        <w:rPr>
          <w:rFonts w:hint="eastAsia" w:ascii="黑体" w:hAnsi="宋体" w:eastAsia="黑体"/>
          <w:b/>
          <w:bCs/>
          <w:color w:val="000000"/>
          <w:szCs w:val="21"/>
        </w:rPr>
        <w:t>4</w:t>
      </w:r>
      <w:r>
        <w:rPr>
          <w:rFonts w:hint="eastAsia" w:ascii="宋体" w:hAnsi="宋体" w:cs="宋体"/>
          <w:b/>
          <w:bCs/>
          <w:color w:val="000000"/>
          <w:szCs w:val="21"/>
        </w:rPr>
        <w:t xml:space="preserve"> 异议复检 </w:t>
      </w:r>
    </w:p>
    <w:p w14:paraId="08E63165">
      <w:pPr>
        <w:spacing w:line="360" w:lineRule="auto"/>
        <w:ind w:firstLine="420" w:firstLineChars="200"/>
        <w:rPr>
          <w:rFonts w:ascii="宋体" w:hAnsi="宋体"/>
          <w:color w:val="000000"/>
          <w:szCs w:val="21"/>
        </w:rPr>
      </w:pPr>
      <w:r>
        <w:rPr>
          <w:rFonts w:hint="eastAsia" w:ascii="宋体" w:hAnsi="宋体"/>
          <w:color w:val="000000"/>
          <w:szCs w:val="21"/>
        </w:rPr>
        <w:t>本细则中确定的全部检验项目，采用备用样品进行复检。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HorizontalSpacing w:val="107"/>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lmNjlhNDYzM2E3OWM1ZDNhODcxMjRiZTFkMDc4ZjcifQ=="/>
    <w:docVar w:name="KSO_WPS_MARK_KEY" w:val="19eeafd5-58ca-4dde-9f2a-3f6e0a156871"/>
  </w:docVars>
  <w:rsids>
    <w:rsidRoot w:val="0058020A"/>
    <w:rsid w:val="00001B72"/>
    <w:rsid w:val="000910AC"/>
    <w:rsid w:val="00096F95"/>
    <w:rsid w:val="000B4AFC"/>
    <w:rsid w:val="000C107A"/>
    <w:rsid w:val="000C666B"/>
    <w:rsid w:val="000D2F06"/>
    <w:rsid w:val="000E6281"/>
    <w:rsid w:val="001221F5"/>
    <w:rsid w:val="0012481C"/>
    <w:rsid w:val="00132E86"/>
    <w:rsid w:val="001357EC"/>
    <w:rsid w:val="001509FF"/>
    <w:rsid w:val="00161882"/>
    <w:rsid w:val="0019092A"/>
    <w:rsid w:val="00191861"/>
    <w:rsid w:val="001958FF"/>
    <w:rsid w:val="001A03B3"/>
    <w:rsid w:val="001A2558"/>
    <w:rsid w:val="001C66FC"/>
    <w:rsid w:val="001D32A1"/>
    <w:rsid w:val="0023123A"/>
    <w:rsid w:val="00235B78"/>
    <w:rsid w:val="00243B21"/>
    <w:rsid w:val="002639CC"/>
    <w:rsid w:val="00271B67"/>
    <w:rsid w:val="002A1E32"/>
    <w:rsid w:val="002A7F8C"/>
    <w:rsid w:val="002C27C8"/>
    <w:rsid w:val="002E164C"/>
    <w:rsid w:val="002E2B0B"/>
    <w:rsid w:val="003071DD"/>
    <w:rsid w:val="0031090B"/>
    <w:rsid w:val="0031165E"/>
    <w:rsid w:val="0034580E"/>
    <w:rsid w:val="003464BC"/>
    <w:rsid w:val="00360EF9"/>
    <w:rsid w:val="00374157"/>
    <w:rsid w:val="0038068C"/>
    <w:rsid w:val="003847A4"/>
    <w:rsid w:val="00385C31"/>
    <w:rsid w:val="003879EE"/>
    <w:rsid w:val="003952D3"/>
    <w:rsid w:val="003B57C8"/>
    <w:rsid w:val="003C2D7C"/>
    <w:rsid w:val="003F786F"/>
    <w:rsid w:val="00400E1B"/>
    <w:rsid w:val="0042157C"/>
    <w:rsid w:val="00426C0E"/>
    <w:rsid w:val="0043005D"/>
    <w:rsid w:val="00475980"/>
    <w:rsid w:val="00476701"/>
    <w:rsid w:val="00477389"/>
    <w:rsid w:val="00485752"/>
    <w:rsid w:val="004937F7"/>
    <w:rsid w:val="004B1D14"/>
    <w:rsid w:val="004B6591"/>
    <w:rsid w:val="004B7554"/>
    <w:rsid w:val="004C5E27"/>
    <w:rsid w:val="004C73A4"/>
    <w:rsid w:val="004D1AA9"/>
    <w:rsid w:val="004F13AC"/>
    <w:rsid w:val="004F3979"/>
    <w:rsid w:val="0050616D"/>
    <w:rsid w:val="005166EB"/>
    <w:rsid w:val="00530232"/>
    <w:rsid w:val="00547B63"/>
    <w:rsid w:val="00551989"/>
    <w:rsid w:val="0056298F"/>
    <w:rsid w:val="00564050"/>
    <w:rsid w:val="0057084C"/>
    <w:rsid w:val="005729ED"/>
    <w:rsid w:val="00577B11"/>
    <w:rsid w:val="0058020A"/>
    <w:rsid w:val="005B774D"/>
    <w:rsid w:val="005C20A1"/>
    <w:rsid w:val="005C2B56"/>
    <w:rsid w:val="005C7FD3"/>
    <w:rsid w:val="005D136B"/>
    <w:rsid w:val="005E6497"/>
    <w:rsid w:val="005F1D02"/>
    <w:rsid w:val="006165F8"/>
    <w:rsid w:val="00620EC3"/>
    <w:rsid w:val="0062213B"/>
    <w:rsid w:val="006230AD"/>
    <w:rsid w:val="0063327B"/>
    <w:rsid w:val="00634E51"/>
    <w:rsid w:val="00637C93"/>
    <w:rsid w:val="006530E9"/>
    <w:rsid w:val="00657D81"/>
    <w:rsid w:val="0066365C"/>
    <w:rsid w:val="00665C73"/>
    <w:rsid w:val="006814B1"/>
    <w:rsid w:val="00695D88"/>
    <w:rsid w:val="006C4232"/>
    <w:rsid w:val="006D36F0"/>
    <w:rsid w:val="006D47CA"/>
    <w:rsid w:val="006D6728"/>
    <w:rsid w:val="006E26DE"/>
    <w:rsid w:val="006F5B54"/>
    <w:rsid w:val="00702E19"/>
    <w:rsid w:val="007036E1"/>
    <w:rsid w:val="0070541A"/>
    <w:rsid w:val="00711EF4"/>
    <w:rsid w:val="007379CC"/>
    <w:rsid w:val="00750F71"/>
    <w:rsid w:val="007577BF"/>
    <w:rsid w:val="007B132C"/>
    <w:rsid w:val="007B1A3D"/>
    <w:rsid w:val="007D1E38"/>
    <w:rsid w:val="007E2200"/>
    <w:rsid w:val="007E26BD"/>
    <w:rsid w:val="007E74C1"/>
    <w:rsid w:val="00806FC4"/>
    <w:rsid w:val="00815046"/>
    <w:rsid w:val="00827DBC"/>
    <w:rsid w:val="008408ED"/>
    <w:rsid w:val="00840E3B"/>
    <w:rsid w:val="008448AB"/>
    <w:rsid w:val="00891700"/>
    <w:rsid w:val="00895063"/>
    <w:rsid w:val="008A6F26"/>
    <w:rsid w:val="008B779E"/>
    <w:rsid w:val="008C4BED"/>
    <w:rsid w:val="008D00C8"/>
    <w:rsid w:val="008E16B3"/>
    <w:rsid w:val="008F62DA"/>
    <w:rsid w:val="00943EC4"/>
    <w:rsid w:val="00947680"/>
    <w:rsid w:val="009533F5"/>
    <w:rsid w:val="00957BD7"/>
    <w:rsid w:val="009A5350"/>
    <w:rsid w:val="009C0ED2"/>
    <w:rsid w:val="009C5923"/>
    <w:rsid w:val="009D0320"/>
    <w:rsid w:val="009D64CB"/>
    <w:rsid w:val="009E5C67"/>
    <w:rsid w:val="009E779F"/>
    <w:rsid w:val="00A028C3"/>
    <w:rsid w:val="00A51102"/>
    <w:rsid w:val="00A649D9"/>
    <w:rsid w:val="00A727F5"/>
    <w:rsid w:val="00AA3646"/>
    <w:rsid w:val="00AA53FC"/>
    <w:rsid w:val="00AB0C65"/>
    <w:rsid w:val="00AB5281"/>
    <w:rsid w:val="00AD7C59"/>
    <w:rsid w:val="00B02E87"/>
    <w:rsid w:val="00B03CC1"/>
    <w:rsid w:val="00B04ECA"/>
    <w:rsid w:val="00B07B80"/>
    <w:rsid w:val="00B178D3"/>
    <w:rsid w:val="00B205EE"/>
    <w:rsid w:val="00B21600"/>
    <w:rsid w:val="00B32164"/>
    <w:rsid w:val="00B446FA"/>
    <w:rsid w:val="00B61E20"/>
    <w:rsid w:val="00B65426"/>
    <w:rsid w:val="00B709F2"/>
    <w:rsid w:val="00B85851"/>
    <w:rsid w:val="00B97233"/>
    <w:rsid w:val="00BB4819"/>
    <w:rsid w:val="00BB632D"/>
    <w:rsid w:val="00BC2713"/>
    <w:rsid w:val="00BD2794"/>
    <w:rsid w:val="00BD3712"/>
    <w:rsid w:val="00BE300B"/>
    <w:rsid w:val="00BF4D9A"/>
    <w:rsid w:val="00BF596C"/>
    <w:rsid w:val="00C17498"/>
    <w:rsid w:val="00C215EC"/>
    <w:rsid w:val="00C454BD"/>
    <w:rsid w:val="00C5544F"/>
    <w:rsid w:val="00CC1329"/>
    <w:rsid w:val="00CD5D33"/>
    <w:rsid w:val="00CE1362"/>
    <w:rsid w:val="00D40E18"/>
    <w:rsid w:val="00D47119"/>
    <w:rsid w:val="00D65833"/>
    <w:rsid w:val="00D826FD"/>
    <w:rsid w:val="00D91DDB"/>
    <w:rsid w:val="00DA24E7"/>
    <w:rsid w:val="00DA7D1A"/>
    <w:rsid w:val="00DB3277"/>
    <w:rsid w:val="00DD4F13"/>
    <w:rsid w:val="00DE5122"/>
    <w:rsid w:val="00DE7FE3"/>
    <w:rsid w:val="00DF1844"/>
    <w:rsid w:val="00E033A7"/>
    <w:rsid w:val="00E43EE6"/>
    <w:rsid w:val="00E535C7"/>
    <w:rsid w:val="00E6037A"/>
    <w:rsid w:val="00E6366B"/>
    <w:rsid w:val="00E7049B"/>
    <w:rsid w:val="00EF7431"/>
    <w:rsid w:val="00F17895"/>
    <w:rsid w:val="00F2250E"/>
    <w:rsid w:val="00F37CB4"/>
    <w:rsid w:val="00F42219"/>
    <w:rsid w:val="00F538E9"/>
    <w:rsid w:val="00F80AD2"/>
    <w:rsid w:val="00F91FB0"/>
    <w:rsid w:val="00F97B52"/>
    <w:rsid w:val="00FA0CDA"/>
    <w:rsid w:val="00FB48BA"/>
    <w:rsid w:val="00FD62F0"/>
    <w:rsid w:val="00FE4E38"/>
    <w:rsid w:val="03031878"/>
    <w:rsid w:val="043552C1"/>
    <w:rsid w:val="053B739E"/>
    <w:rsid w:val="058C5AED"/>
    <w:rsid w:val="05DE61B6"/>
    <w:rsid w:val="07611C2A"/>
    <w:rsid w:val="08C77DBF"/>
    <w:rsid w:val="096F5601"/>
    <w:rsid w:val="0BBC3BE4"/>
    <w:rsid w:val="0C154FFB"/>
    <w:rsid w:val="0D180C55"/>
    <w:rsid w:val="0E01156E"/>
    <w:rsid w:val="0E042741"/>
    <w:rsid w:val="0EBA4961"/>
    <w:rsid w:val="0F2F448E"/>
    <w:rsid w:val="1052784D"/>
    <w:rsid w:val="106B4D17"/>
    <w:rsid w:val="106C698F"/>
    <w:rsid w:val="12B41326"/>
    <w:rsid w:val="148213F1"/>
    <w:rsid w:val="14D31460"/>
    <w:rsid w:val="16305F13"/>
    <w:rsid w:val="18073E94"/>
    <w:rsid w:val="181755D4"/>
    <w:rsid w:val="1971180B"/>
    <w:rsid w:val="1ABE36B0"/>
    <w:rsid w:val="1AE11722"/>
    <w:rsid w:val="1CD8260D"/>
    <w:rsid w:val="1DC14A3C"/>
    <w:rsid w:val="1E502514"/>
    <w:rsid w:val="1E9B7544"/>
    <w:rsid w:val="20DC422F"/>
    <w:rsid w:val="21A61310"/>
    <w:rsid w:val="21E504DB"/>
    <w:rsid w:val="22597A50"/>
    <w:rsid w:val="24721D92"/>
    <w:rsid w:val="2481249B"/>
    <w:rsid w:val="24923942"/>
    <w:rsid w:val="2544791E"/>
    <w:rsid w:val="26A37F72"/>
    <w:rsid w:val="26FC0ADE"/>
    <w:rsid w:val="27DA25E1"/>
    <w:rsid w:val="28145EFA"/>
    <w:rsid w:val="28CF3A40"/>
    <w:rsid w:val="28ED0A96"/>
    <w:rsid w:val="29F34762"/>
    <w:rsid w:val="2A077D42"/>
    <w:rsid w:val="2BC10524"/>
    <w:rsid w:val="2C24708F"/>
    <w:rsid w:val="2C530EA4"/>
    <w:rsid w:val="2C54129C"/>
    <w:rsid w:val="2D217F48"/>
    <w:rsid w:val="2E27046D"/>
    <w:rsid w:val="2E941CC4"/>
    <w:rsid w:val="2F2C757E"/>
    <w:rsid w:val="305C3099"/>
    <w:rsid w:val="319819A0"/>
    <w:rsid w:val="32F50265"/>
    <w:rsid w:val="3398794C"/>
    <w:rsid w:val="33E1550E"/>
    <w:rsid w:val="347B71E2"/>
    <w:rsid w:val="34AE0567"/>
    <w:rsid w:val="353B01B8"/>
    <w:rsid w:val="37175421"/>
    <w:rsid w:val="37624A31"/>
    <w:rsid w:val="37651EE4"/>
    <w:rsid w:val="376C70DF"/>
    <w:rsid w:val="387A69F8"/>
    <w:rsid w:val="3881319F"/>
    <w:rsid w:val="388A374E"/>
    <w:rsid w:val="3B10428B"/>
    <w:rsid w:val="3BD04DA1"/>
    <w:rsid w:val="3C734083"/>
    <w:rsid w:val="3C9B1C4D"/>
    <w:rsid w:val="3CAE2628"/>
    <w:rsid w:val="3F0B7066"/>
    <w:rsid w:val="41D918DD"/>
    <w:rsid w:val="422E4F77"/>
    <w:rsid w:val="42576B28"/>
    <w:rsid w:val="42A367DF"/>
    <w:rsid w:val="439B36D6"/>
    <w:rsid w:val="441D4008"/>
    <w:rsid w:val="448E5D87"/>
    <w:rsid w:val="44E959C8"/>
    <w:rsid w:val="459B787D"/>
    <w:rsid w:val="463C5841"/>
    <w:rsid w:val="468246D1"/>
    <w:rsid w:val="46EA66A4"/>
    <w:rsid w:val="47FF48A9"/>
    <w:rsid w:val="4D373BCD"/>
    <w:rsid w:val="4DBA385A"/>
    <w:rsid w:val="4F1E2124"/>
    <w:rsid w:val="4F462977"/>
    <w:rsid w:val="5039672C"/>
    <w:rsid w:val="520358BD"/>
    <w:rsid w:val="52A603D9"/>
    <w:rsid w:val="52DF6BEF"/>
    <w:rsid w:val="53000B16"/>
    <w:rsid w:val="530B7C13"/>
    <w:rsid w:val="5381166E"/>
    <w:rsid w:val="53E867C1"/>
    <w:rsid w:val="57031654"/>
    <w:rsid w:val="582575E3"/>
    <w:rsid w:val="58D6381E"/>
    <w:rsid w:val="59223789"/>
    <w:rsid w:val="59E80386"/>
    <w:rsid w:val="5C070591"/>
    <w:rsid w:val="5C96721C"/>
    <w:rsid w:val="5CDA1CBE"/>
    <w:rsid w:val="5D0A6ACB"/>
    <w:rsid w:val="5DCE7C24"/>
    <w:rsid w:val="5E0D5CCD"/>
    <w:rsid w:val="5E995579"/>
    <w:rsid w:val="5EA2025F"/>
    <w:rsid w:val="5F363A31"/>
    <w:rsid w:val="5FAA0402"/>
    <w:rsid w:val="5FD0330B"/>
    <w:rsid w:val="619F599E"/>
    <w:rsid w:val="61FD5D7B"/>
    <w:rsid w:val="625E6D04"/>
    <w:rsid w:val="652816CC"/>
    <w:rsid w:val="6891058A"/>
    <w:rsid w:val="68C25DA8"/>
    <w:rsid w:val="691D3A86"/>
    <w:rsid w:val="69970133"/>
    <w:rsid w:val="6B09230A"/>
    <w:rsid w:val="6D7B041A"/>
    <w:rsid w:val="6DC15E28"/>
    <w:rsid w:val="6DF06CBC"/>
    <w:rsid w:val="6F0651CD"/>
    <w:rsid w:val="6F3F442C"/>
    <w:rsid w:val="71310DD6"/>
    <w:rsid w:val="735A1647"/>
    <w:rsid w:val="742202FD"/>
    <w:rsid w:val="7459608C"/>
    <w:rsid w:val="75925ED8"/>
    <w:rsid w:val="75B50B18"/>
    <w:rsid w:val="765032B2"/>
    <w:rsid w:val="76851D03"/>
    <w:rsid w:val="76E27438"/>
    <w:rsid w:val="776A44CC"/>
    <w:rsid w:val="77C91BF3"/>
    <w:rsid w:val="77FA429E"/>
    <w:rsid w:val="78332AFC"/>
    <w:rsid w:val="7833302C"/>
    <w:rsid w:val="78BC3A91"/>
    <w:rsid w:val="7AD105EC"/>
    <w:rsid w:val="7AF15034"/>
    <w:rsid w:val="7CA511DA"/>
    <w:rsid w:val="7D382717"/>
    <w:rsid w:val="7D7D5689"/>
    <w:rsid w:val="7E332468"/>
    <w:rsid w:val="7F8E4A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1"/>
    <w:unhideWhenUsed/>
    <w:qFormat/>
    <w:uiPriority w:val="99"/>
    <w:pPr>
      <w:jc w:val="left"/>
    </w:pPr>
  </w:style>
  <w:style w:type="paragraph" w:styleId="4">
    <w:name w:val="endnote text"/>
    <w:basedOn w:val="1"/>
    <w:link w:val="24"/>
    <w:semiHidden/>
    <w:unhideWhenUsed/>
    <w:qFormat/>
    <w:uiPriority w:val="99"/>
    <w:pPr>
      <w:snapToGrid w:val="0"/>
      <w:jc w:val="left"/>
    </w:pPr>
  </w:style>
  <w:style w:type="paragraph" w:styleId="5">
    <w:name w:val="Balloon Text"/>
    <w:basedOn w:val="1"/>
    <w:link w:val="19"/>
    <w:semiHidden/>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3"/>
    <w:semiHidden/>
    <w:unhideWhenUsed/>
    <w:qFormat/>
    <w:uiPriority w:val="99"/>
    <w:pPr>
      <w:snapToGrid w:val="0"/>
      <w:jc w:val="left"/>
    </w:pPr>
    <w:rPr>
      <w:sz w:val="18"/>
      <w:szCs w:val="18"/>
    </w:rPr>
  </w:style>
  <w:style w:type="paragraph" w:styleId="9">
    <w:name w:val="annotation subject"/>
    <w:basedOn w:val="3"/>
    <w:next w:val="3"/>
    <w:link w:val="22"/>
    <w:semiHidden/>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ndnote reference"/>
    <w:basedOn w:val="12"/>
    <w:semiHidden/>
    <w:unhideWhenUsed/>
    <w:qFormat/>
    <w:uiPriority w:val="99"/>
    <w:rPr>
      <w:vertAlign w:val="superscript"/>
    </w:rPr>
  </w:style>
  <w:style w:type="character" w:styleId="14">
    <w:name w:val="annotation reference"/>
    <w:basedOn w:val="12"/>
    <w:semiHidden/>
    <w:unhideWhenUsed/>
    <w:qFormat/>
    <w:uiPriority w:val="99"/>
    <w:rPr>
      <w:sz w:val="21"/>
      <w:szCs w:val="21"/>
    </w:rPr>
  </w:style>
  <w:style w:type="character" w:styleId="15">
    <w:name w:val="footnote reference"/>
    <w:basedOn w:val="12"/>
    <w:semiHidden/>
    <w:unhideWhenUsed/>
    <w:qFormat/>
    <w:uiPriority w:val="99"/>
    <w:rPr>
      <w:vertAlign w:val="superscript"/>
    </w:rPr>
  </w:style>
  <w:style w:type="character" w:customStyle="1" w:styleId="16">
    <w:name w:val="页眉 字符"/>
    <w:basedOn w:val="12"/>
    <w:link w:val="7"/>
    <w:qFormat/>
    <w:uiPriority w:val="99"/>
    <w:rPr>
      <w:sz w:val="18"/>
      <w:szCs w:val="18"/>
    </w:rPr>
  </w:style>
  <w:style w:type="character" w:customStyle="1" w:styleId="17">
    <w:name w:val="页脚 字符"/>
    <w:basedOn w:val="12"/>
    <w:link w:val="6"/>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框文本 字符"/>
    <w:basedOn w:val="12"/>
    <w:link w:val="5"/>
    <w:semiHidden/>
    <w:qFormat/>
    <w:uiPriority w:val="99"/>
    <w:rPr>
      <w:sz w:val="18"/>
      <w:szCs w:val="18"/>
    </w:rPr>
  </w:style>
  <w:style w:type="character" w:customStyle="1" w:styleId="20">
    <w:name w:val="不明显强调1"/>
    <w:basedOn w:val="12"/>
    <w:qFormat/>
    <w:uiPriority w:val="19"/>
    <w:rPr>
      <w:i/>
      <w:iCs/>
      <w:color w:val="7E7E7E" w:themeColor="text1" w:themeTint="80"/>
    </w:rPr>
  </w:style>
  <w:style w:type="character" w:customStyle="1" w:styleId="21">
    <w:name w:val="批注文字 字符"/>
    <w:basedOn w:val="12"/>
    <w:link w:val="3"/>
    <w:qFormat/>
    <w:uiPriority w:val="99"/>
    <w:rPr>
      <w:kern w:val="2"/>
      <w:sz w:val="21"/>
      <w:szCs w:val="22"/>
    </w:rPr>
  </w:style>
  <w:style w:type="character" w:customStyle="1" w:styleId="22">
    <w:name w:val="批注主题 字符"/>
    <w:basedOn w:val="21"/>
    <w:link w:val="9"/>
    <w:semiHidden/>
    <w:qFormat/>
    <w:uiPriority w:val="99"/>
    <w:rPr>
      <w:b/>
      <w:bCs/>
      <w:kern w:val="2"/>
      <w:sz w:val="21"/>
      <w:szCs w:val="22"/>
    </w:rPr>
  </w:style>
  <w:style w:type="character" w:customStyle="1" w:styleId="23">
    <w:name w:val="脚注文本 字符"/>
    <w:basedOn w:val="12"/>
    <w:link w:val="8"/>
    <w:semiHidden/>
    <w:qFormat/>
    <w:uiPriority w:val="99"/>
    <w:rPr>
      <w:kern w:val="2"/>
      <w:sz w:val="18"/>
      <w:szCs w:val="18"/>
    </w:rPr>
  </w:style>
  <w:style w:type="character" w:customStyle="1" w:styleId="24">
    <w:name w:val="尾注文本 字符"/>
    <w:basedOn w:val="12"/>
    <w:link w:val="4"/>
    <w:semiHidden/>
    <w:qFormat/>
    <w:uiPriority w:val="99"/>
    <w:rPr>
      <w:kern w:val="2"/>
      <w:sz w:val="21"/>
      <w:szCs w:val="22"/>
    </w:rPr>
  </w:style>
  <w:style w:type="character" w:customStyle="1" w:styleId="25">
    <w:name w:val="标题 1 字符"/>
    <w:basedOn w:val="12"/>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9FF6E-0CD0-4E2F-8AB2-ED2CABBCA63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1147</Words>
  <Characters>1407</Characters>
  <Lines>11</Lines>
  <Paragraphs>3</Paragraphs>
  <TotalTime>6</TotalTime>
  <ScaleCrop>false</ScaleCrop>
  <LinksUpToDate>false</LinksUpToDate>
  <CharactersWithSpaces>1463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2022-11-28T02:48:00Z</dcterms:created>
  <dc:creator>张晨艺</dc:creator>
  <cp:lastModifiedBy>Administrator</cp:lastModifiedBy>
  <cp:lastPrinted>2022-09-22T08:21:00Z</cp:lastPrinted>
  <dcterms:modified xsi:type="dcterms:W3CDTF">2025-05-11T01:38:44Z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4A7B47779DD54F80BFC3EA4C857AB0CE</vt:lpwstr>
  </property>
  <property fmtid="{D5CDD505-2E9C-101B-9397-08002B2CF9AE}" pid="4" name="KSOTemplateDocerSaveRecord">
    <vt:lpwstr>eyJoZGlkIjoiZmYzMTczYjBlMjhkM2I0NjY4MmRjY2I3YWYwYjk3ZWUifQ==</vt:lpwstr>
  </property>
</Properties>
</file>