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277B51">
      <w:pPr>
        <w:pStyle w:val="2"/>
        <w:spacing w:before="91" w:line="220" w:lineRule="auto"/>
        <w:jc w:val="center"/>
        <w:outlineLvl w:val="0"/>
        <w:rPr>
          <w:sz w:val="28"/>
          <w:szCs w:val="28"/>
        </w:rPr>
      </w:pPr>
      <w:r>
        <w:rPr>
          <w:rFonts w:hint="eastAsia"/>
          <w:b/>
          <w:bCs/>
          <w:spacing w:val="-4"/>
          <w:sz w:val="28"/>
          <w:szCs w:val="28"/>
          <w:lang w:eastAsia="zh-CN"/>
        </w:rPr>
        <w:t>汶上</w:t>
      </w:r>
      <w:r>
        <w:rPr>
          <w:b/>
          <w:bCs/>
          <w:spacing w:val="-4"/>
          <w:sz w:val="28"/>
          <w:szCs w:val="28"/>
        </w:rPr>
        <w:t>家具产品质量监督抽查实施细则</w:t>
      </w:r>
    </w:p>
    <w:p w14:paraId="7F2C6DEE">
      <w:pPr>
        <w:pStyle w:val="2"/>
        <w:spacing w:before="58" w:line="228" w:lineRule="auto"/>
        <w:ind w:left="138"/>
        <w:outlineLvl w:val="1"/>
      </w:pPr>
      <w:r>
        <w:rPr>
          <w:b/>
          <w:bCs/>
          <w:spacing w:val="-5"/>
        </w:rPr>
        <w:t>1</w:t>
      </w:r>
      <w:r>
        <w:rPr>
          <w:spacing w:val="15"/>
        </w:rPr>
        <w:t xml:space="preserve"> </w:t>
      </w:r>
      <w:r>
        <w:rPr>
          <w:b/>
          <w:bCs/>
          <w:spacing w:val="-5"/>
        </w:rPr>
        <w:t>抽样</w:t>
      </w:r>
    </w:p>
    <w:p w14:paraId="41A5321D">
      <w:pPr>
        <w:pStyle w:val="2"/>
        <w:spacing w:before="31" w:line="362" w:lineRule="auto"/>
        <w:ind w:left="125" w:right="108" w:firstLine="418"/>
        <w:rPr>
          <w:spacing w:val="8"/>
        </w:rPr>
      </w:pPr>
      <w:r>
        <w:rPr>
          <w:spacing w:val="8"/>
        </w:rPr>
        <w:t xml:space="preserve">以随机抽样的方式在被抽样生产者、销售者的待销产品中抽取。 </w:t>
      </w:r>
    </w:p>
    <w:p w14:paraId="3C849462">
      <w:pPr>
        <w:pStyle w:val="2"/>
        <w:spacing w:before="31" w:line="362" w:lineRule="auto"/>
        <w:ind w:left="125" w:right="108" w:firstLine="418"/>
      </w:pPr>
      <w:r>
        <w:rPr>
          <w:spacing w:val="8"/>
        </w:rPr>
        <w:t>抽查样品基数满足抽样数量即可。</w:t>
      </w:r>
    </w:p>
    <w:p w14:paraId="1C8074D3">
      <w:pPr>
        <w:pStyle w:val="2"/>
        <w:spacing w:before="31" w:line="362" w:lineRule="auto"/>
        <w:ind w:left="125" w:right="117" w:firstLine="416"/>
      </w:pPr>
      <w:r>
        <w:rPr>
          <w:spacing w:val="7"/>
        </w:rPr>
        <w:t>每批次产品原则上抽取样品</w:t>
      </w:r>
      <w:r>
        <w:rPr>
          <w:spacing w:val="-17"/>
        </w:rPr>
        <w:t xml:space="preserve"> </w:t>
      </w:r>
      <w:r>
        <w:rPr>
          <w:spacing w:val="7"/>
        </w:rPr>
        <w:t>2</w:t>
      </w:r>
      <w:r>
        <w:rPr>
          <w:spacing w:val="-39"/>
        </w:rPr>
        <w:t xml:space="preserve"> </w:t>
      </w:r>
      <w:r>
        <w:rPr>
          <w:spacing w:val="7"/>
        </w:rPr>
        <w:t>件，其中</w:t>
      </w:r>
      <w:r>
        <w:rPr>
          <w:spacing w:val="-21"/>
        </w:rPr>
        <w:t xml:space="preserve"> </w:t>
      </w:r>
      <w:r>
        <w:rPr>
          <w:spacing w:val="7"/>
        </w:rPr>
        <w:t>1</w:t>
      </w:r>
      <w:r>
        <w:rPr>
          <w:spacing w:val="-41"/>
        </w:rPr>
        <w:t xml:space="preserve"> </w:t>
      </w:r>
      <w:r>
        <w:rPr>
          <w:spacing w:val="7"/>
        </w:rPr>
        <w:t>件作为检验样品，1</w:t>
      </w:r>
      <w:r>
        <w:rPr>
          <w:spacing w:val="-42"/>
        </w:rPr>
        <w:t xml:space="preserve"> </w:t>
      </w:r>
      <w:r>
        <w:rPr>
          <w:spacing w:val="7"/>
        </w:rPr>
        <w:t>件作为备用样品。若样品量不满</w:t>
      </w:r>
      <w:r>
        <w:rPr>
          <w:spacing w:val="8"/>
        </w:rPr>
        <w:t>足检验需求，则加倍抽样，直至满足检验需求。</w:t>
      </w:r>
    </w:p>
    <w:p w14:paraId="5CD0ACE8">
      <w:pPr>
        <w:pStyle w:val="2"/>
        <w:spacing w:before="31" w:line="227" w:lineRule="auto"/>
        <w:ind w:left="125"/>
        <w:outlineLvl w:val="1"/>
      </w:pPr>
      <w:r>
        <w:rPr>
          <w:b/>
          <w:bCs/>
          <w:spacing w:val="3"/>
        </w:rPr>
        <w:t>2</w:t>
      </w:r>
      <w:r>
        <w:rPr>
          <w:spacing w:val="16"/>
        </w:rPr>
        <w:t xml:space="preserve"> </w:t>
      </w:r>
      <w:r>
        <w:rPr>
          <w:rFonts w:hint="eastAsia"/>
          <w:b/>
          <w:bCs/>
          <w:spacing w:val="16"/>
          <w:lang w:eastAsia="zh-CN"/>
        </w:rPr>
        <w:t>检验项目及</w:t>
      </w:r>
      <w:r>
        <w:rPr>
          <w:b/>
          <w:bCs/>
          <w:spacing w:val="3"/>
        </w:rPr>
        <w:t>检验依据</w:t>
      </w:r>
    </w:p>
    <w:p w14:paraId="1593A6DA">
      <w:pPr>
        <w:pStyle w:val="2"/>
        <w:spacing w:before="165" w:line="228" w:lineRule="auto"/>
        <w:ind w:left="3308"/>
      </w:pPr>
      <w:r>
        <w:rPr>
          <w:b/>
          <w:bCs/>
          <w:spacing w:val="5"/>
        </w:rPr>
        <w:t>表</w:t>
      </w:r>
      <w:r>
        <w:rPr>
          <w:spacing w:val="-17"/>
        </w:rPr>
        <w:t xml:space="preserve"> </w:t>
      </w:r>
      <w:r>
        <w:rPr>
          <w:b/>
          <w:bCs/>
          <w:spacing w:val="5"/>
        </w:rPr>
        <w:t>1</w:t>
      </w:r>
      <w:r>
        <w:rPr>
          <w:spacing w:val="5"/>
        </w:rPr>
        <w:t xml:space="preserve"> </w:t>
      </w:r>
      <w:r>
        <w:rPr>
          <w:b/>
          <w:bCs/>
          <w:spacing w:val="5"/>
        </w:rPr>
        <w:t>家具产品检验项目</w:t>
      </w:r>
      <w:bookmarkStart w:id="0" w:name="_GoBack"/>
      <w:bookmarkEnd w:id="0"/>
    </w:p>
    <w:p w14:paraId="0FB5DBCC">
      <w:pPr>
        <w:spacing w:line="130" w:lineRule="exact"/>
      </w:pPr>
    </w:p>
    <w:tbl>
      <w:tblPr>
        <w:tblStyle w:val="6"/>
        <w:tblW w:w="918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3"/>
        <w:gridCol w:w="1505"/>
        <w:gridCol w:w="4358"/>
        <w:gridCol w:w="2457"/>
      </w:tblGrid>
      <w:tr w14:paraId="7568ED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863" w:type="dxa"/>
            <w:tcBorders>
              <w:tl2br w:val="nil"/>
              <w:tr2bl w:val="nil"/>
            </w:tcBorders>
            <w:vAlign w:val="top"/>
          </w:tcPr>
          <w:p w14:paraId="14E1322C">
            <w:pPr>
              <w:pStyle w:val="7"/>
              <w:spacing w:before="196" w:line="229" w:lineRule="auto"/>
              <w:ind w:left="227"/>
            </w:pPr>
            <w:r>
              <w:rPr>
                <w:spacing w:val="5"/>
              </w:rPr>
              <w:t>序号</w:t>
            </w:r>
          </w:p>
        </w:tc>
        <w:tc>
          <w:tcPr>
            <w:tcW w:w="5863" w:type="dxa"/>
            <w:gridSpan w:val="2"/>
            <w:tcBorders>
              <w:tl2br w:val="nil"/>
              <w:tr2bl w:val="nil"/>
            </w:tcBorders>
            <w:vAlign w:val="top"/>
          </w:tcPr>
          <w:p w14:paraId="77066078">
            <w:pPr>
              <w:pStyle w:val="7"/>
              <w:spacing w:before="195" w:line="228" w:lineRule="auto"/>
              <w:ind w:left="2753"/>
            </w:pPr>
            <w:r>
              <w:rPr>
                <w:spacing w:val="7"/>
              </w:rPr>
              <w:t>检验项目</w:t>
            </w:r>
          </w:p>
        </w:tc>
        <w:tc>
          <w:tcPr>
            <w:tcW w:w="2457" w:type="dxa"/>
            <w:tcBorders>
              <w:tl2br w:val="nil"/>
              <w:tr2bl w:val="nil"/>
            </w:tcBorders>
            <w:vAlign w:val="top"/>
          </w:tcPr>
          <w:p w14:paraId="5520AFBD">
            <w:pPr>
              <w:pStyle w:val="7"/>
              <w:spacing w:before="195" w:line="228" w:lineRule="auto"/>
              <w:ind w:left="572"/>
            </w:pPr>
            <w:r>
              <w:rPr>
                <w:spacing w:val="7"/>
              </w:rPr>
              <w:t>检验方法</w:t>
            </w:r>
          </w:p>
        </w:tc>
      </w:tr>
      <w:tr w14:paraId="07DE73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 w:hRule="atLeast"/>
        </w:trPr>
        <w:tc>
          <w:tcPr>
            <w:tcW w:w="863" w:type="dxa"/>
            <w:tcBorders>
              <w:tl2br w:val="nil"/>
              <w:tr2bl w:val="nil"/>
            </w:tcBorders>
            <w:vAlign w:val="top"/>
          </w:tcPr>
          <w:p w14:paraId="3C9B3B40">
            <w:pPr>
              <w:pStyle w:val="7"/>
              <w:spacing w:before="97" w:line="189" w:lineRule="auto"/>
              <w:ind w:left="399"/>
            </w:pPr>
            <w:r>
              <w:t>1</w:t>
            </w:r>
          </w:p>
        </w:tc>
        <w:tc>
          <w:tcPr>
            <w:tcW w:w="1505" w:type="dxa"/>
            <w:vMerge w:val="restart"/>
            <w:tcBorders>
              <w:tl2br w:val="nil"/>
              <w:tr2bl w:val="nil"/>
            </w:tcBorders>
            <w:vAlign w:val="center"/>
          </w:tcPr>
          <w:p w14:paraId="385AA94C">
            <w:pPr>
              <w:pStyle w:val="7"/>
              <w:spacing w:before="134" w:line="273" w:lineRule="auto"/>
              <w:ind w:right="117"/>
              <w:jc w:val="center"/>
              <w:rPr>
                <w:rFonts w:hint="default" w:eastAsia="宋体"/>
                <w:lang w:val="en-US" w:eastAsia="zh-CN"/>
              </w:rPr>
            </w:pPr>
            <w:r>
              <w:rPr>
                <w:rFonts w:hint="eastAsia"/>
                <w:lang w:val="en-US" w:eastAsia="zh-CN"/>
              </w:rPr>
              <w:t>漆膜</w:t>
            </w:r>
          </w:p>
        </w:tc>
        <w:tc>
          <w:tcPr>
            <w:tcW w:w="4358" w:type="dxa"/>
            <w:tcBorders>
              <w:tl2br w:val="nil"/>
              <w:tr2bl w:val="nil"/>
            </w:tcBorders>
            <w:vAlign w:val="center"/>
          </w:tcPr>
          <w:p w14:paraId="6CCC0875">
            <w:pPr>
              <w:pStyle w:val="7"/>
              <w:spacing w:before="64" w:line="228" w:lineRule="auto"/>
              <w:jc w:val="center"/>
              <w:rPr>
                <w:rFonts w:hint="default" w:eastAsia="宋体"/>
                <w:lang w:val="en-US" w:eastAsia="zh-CN"/>
              </w:rPr>
            </w:pPr>
            <w:r>
              <w:rPr>
                <w:rFonts w:hint="eastAsia"/>
                <w:lang w:val="en-US" w:eastAsia="zh-CN"/>
              </w:rPr>
              <w:t>漆膜耐液性</w:t>
            </w:r>
          </w:p>
        </w:tc>
        <w:tc>
          <w:tcPr>
            <w:tcW w:w="2457" w:type="dxa"/>
            <w:tcBorders>
              <w:tl2br w:val="nil"/>
              <w:tr2bl w:val="nil"/>
            </w:tcBorders>
            <w:vAlign w:val="top"/>
          </w:tcPr>
          <w:p w14:paraId="09E40FE8">
            <w:pPr>
              <w:pStyle w:val="7"/>
              <w:spacing w:before="97" w:line="189" w:lineRule="auto"/>
              <w:ind w:left="569"/>
              <w:rPr>
                <w:rFonts w:hint="default" w:eastAsia="宋体"/>
                <w:lang w:val="en-US" w:eastAsia="zh-CN"/>
              </w:rPr>
            </w:pPr>
            <w:r>
              <w:rPr>
                <w:rFonts w:hint="eastAsia"/>
                <w:lang w:val="en-US" w:eastAsia="zh-CN"/>
              </w:rPr>
              <w:t>GB/T4893.1</w:t>
            </w:r>
          </w:p>
        </w:tc>
      </w:tr>
      <w:tr w14:paraId="3E0BE9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63" w:type="dxa"/>
            <w:tcBorders>
              <w:tl2br w:val="nil"/>
              <w:tr2bl w:val="nil"/>
            </w:tcBorders>
            <w:vAlign w:val="top"/>
          </w:tcPr>
          <w:p w14:paraId="7194030A">
            <w:pPr>
              <w:pStyle w:val="7"/>
              <w:spacing w:before="149" w:line="189" w:lineRule="auto"/>
              <w:ind w:left="386"/>
              <w:rPr>
                <w:rFonts w:hint="eastAsia" w:eastAsia="宋体"/>
                <w:lang w:val="en-US" w:eastAsia="zh-CN"/>
              </w:rPr>
            </w:pPr>
            <w:r>
              <w:rPr>
                <w:rFonts w:hint="eastAsia"/>
                <w:lang w:val="en-US" w:eastAsia="zh-CN"/>
              </w:rPr>
              <w:t>2</w:t>
            </w:r>
          </w:p>
        </w:tc>
        <w:tc>
          <w:tcPr>
            <w:tcW w:w="1505" w:type="dxa"/>
            <w:vMerge w:val="continue"/>
            <w:tcBorders>
              <w:tl2br w:val="nil"/>
              <w:tr2bl w:val="nil"/>
            </w:tcBorders>
            <w:vAlign w:val="center"/>
          </w:tcPr>
          <w:p w14:paraId="6EB47FD9">
            <w:pPr>
              <w:jc w:val="center"/>
              <w:rPr>
                <w:rFonts w:ascii="Arial"/>
                <w:sz w:val="21"/>
              </w:rPr>
            </w:pPr>
          </w:p>
        </w:tc>
        <w:tc>
          <w:tcPr>
            <w:tcW w:w="4358" w:type="dxa"/>
            <w:tcBorders>
              <w:tl2br w:val="nil"/>
              <w:tr2bl w:val="nil"/>
            </w:tcBorders>
            <w:vAlign w:val="center"/>
          </w:tcPr>
          <w:p w14:paraId="6532F6F5">
            <w:pPr>
              <w:pStyle w:val="7"/>
              <w:spacing w:before="174" w:line="229" w:lineRule="auto"/>
              <w:jc w:val="center"/>
              <w:rPr>
                <w:rFonts w:hint="eastAsia" w:eastAsia="宋体"/>
                <w:spacing w:val="3"/>
                <w:lang w:eastAsia="zh-CN"/>
              </w:rPr>
            </w:pPr>
            <w:r>
              <w:rPr>
                <w:rFonts w:hint="eastAsia"/>
                <w:spacing w:val="3"/>
                <w:lang w:eastAsia="zh-CN"/>
              </w:rPr>
              <w:t>漆膜耐湿热</w:t>
            </w:r>
          </w:p>
        </w:tc>
        <w:tc>
          <w:tcPr>
            <w:tcW w:w="2457" w:type="dxa"/>
            <w:tcBorders>
              <w:tl2br w:val="nil"/>
              <w:tr2bl w:val="nil"/>
            </w:tcBorders>
            <w:vAlign w:val="top"/>
          </w:tcPr>
          <w:p w14:paraId="6C7CAA8A">
            <w:pPr>
              <w:pStyle w:val="7"/>
              <w:spacing w:before="149" w:line="189" w:lineRule="auto"/>
              <w:ind w:left="569"/>
              <w:rPr>
                <w:rFonts w:hint="default" w:eastAsia="宋体"/>
                <w:lang w:val="en-US" w:eastAsia="zh-CN"/>
              </w:rPr>
            </w:pPr>
            <w:r>
              <w:rPr>
                <w:rFonts w:hint="eastAsia"/>
                <w:lang w:val="en-US" w:eastAsia="zh-CN"/>
              </w:rPr>
              <w:t>GB/T4893.2</w:t>
            </w:r>
          </w:p>
        </w:tc>
      </w:tr>
      <w:tr w14:paraId="0B1622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63" w:type="dxa"/>
            <w:tcBorders>
              <w:tl2br w:val="nil"/>
              <w:tr2bl w:val="nil"/>
            </w:tcBorders>
            <w:vAlign w:val="top"/>
          </w:tcPr>
          <w:p w14:paraId="04273B56">
            <w:pPr>
              <w:pStyle w:val="7"/>
              <w:spacing w:before="149" w:line="189" w:lineRule="auto"/>
              <w:ind w:left="386"/>
              <w:rPr>
                <w:rFonts w:hint="eastAsia" w:eastAsia="宋体"/>
                <w:lang w:val="en-US" w:eastAsia="zh-CN"/>
              </w:rPr>
            </w:pPr>
            <w:r>
              <w:rPr>
                <w:rFonts w:hint="eastAsia"/>
                <w:lang w:val="en-US" w:eastAsia="zh-CN"/>
              </w:rPr>
              <w:t>3</w:t>
            </w:r>
          </w:p>
        </w:tc>
        <w:tc>
          <w:tcPr>
            <w:tcW w:w="1505" w:type="dxa"/>
            <w:vMerge w:val="continue"/>
            <w:tcBorders>
              <w:tl2br w:val="nil"/>
              <w:tr2bl w:val="nil"/>
            </w:tcBorders>
            <w:vAlign w:val="center"/>
          </w:tcPr>
          <w:p w14:paraId="5274E0C7">
            <w:pPr>
              <w:jc w:val="center"/>
              <w:rPr>
                <w:rFonts w:ascii="Arial"/>
                <w:sz w:val="21"/>
              </w:rPr>
            </w:pPr>
          </w:p>
        </w:tc>
        <w:tc>
          <w:tcPr>
            <w:tcW w:w="4358" w:type="dxa"/>
            <w:tcBorders>
              <w:tl2br w:val="nil"/>
              <w:tr2bl w:val="nil"/>
            </w:tcBorders>
            <w:vAlign w:val="center"/>
          </w:tcPr>
          <w:p w14:paraId="0DDA43E5">
            <w:pPr>
              <w:pStyle w:val="7"/>
              <w:spacing w:before="174" w:line="229" w:lineRule="auto"/>
              <w:jc w:val="center"/>
              <w:rPr>
                <w:rFonts w:hint="eastAsia" w:eastAsia="宋体"/>
                <w:spacing w:val="3"/>
                <w:lang w:eastAsia="zh-CN"/>
              </w:rPr>
            </w:pPr>
            <w:r>
              <w:rPr>
                <w:rFonts w:hint="eastAsia"/>
                <w:spacing w:val="3"/>
                <w:lang w:eastAsia="zh-CN"/>
              </w:rPr>
              <w:t>漆膜耐干热</w:t>
            </w:r>
          </w:p>
        </w:tc>
        <w:tc>
          <w:tcPr>
            <w:tcW w:w="2457" w:type="dxa"/>
            <w:tcBorders>
              <w:tl2br w:val="nil"/>
              <w:tr2bl w:val="nil"/>
            </w:tcBorders>
            <w:vAlign w:val="top"/>
          </w:tcPr>
          <w:p w14:paraId="2C2831D8">
            <w:pPr>
              <w:pStyle w:val="7"/>
              <w:spacing w:before="149" w:line="189" w:lineRule="auto"/>
              <w:ind w:left="569"/>
            </w:pPr>
            <w:r>
              <w:rPr>
                <w:rFonts w:hint="eastAsia"/>
                <w:lang w:val="en-US" w:eastAsia="zh-CN"/>
              </w:rPr>
              <w:t>GB/T4893.3</w:t>
            </w:r>
          </w:p>
        </w:tc>
      </w:tr>
      <w:tr w14:paraId="48F21B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63" w:type="dxa"/>
            <w:tcBorders>
              <w:tl2br w:val="nil"/>
              <w:tr2bl w:val="nil"/>
            </w:tcBorders>
            <w:vAlign w:val="top"/>
          </w:tcPr>
          <w:p w14:paraId="7FC0266A">
            <w:pPr>
              <w:pStyle w:val="7"/>
              <w:spacing w:before="149" w:line="189" w:lineRule="auto"/>
              <w:ind w:left="386"/>
              <w:rPr>
                <w:rFonts w:hint="eastAsia" w:eastAsia="宋体"/>
                <w:lang w:val="en-US" w:eastAsia="zh-CN"/>
              </w:rPr>
            </w:pPr>
            <w:r>
              <w:rPr>
                <w:rFonts w:hint="eastAsia"/>
                <w:lang w:val="en-US" w:eastAsia="zh-CN"/>
              </w:rPr>
              <w:t>4</w:t>
            </w:r>
          </w:p>
        </w:tc>
        <w:tc>
          <w:tcPr>
            <w:tcW w:w="1505" w:type="dxa"/>
            <w:vMerge w:val="continue"/>
            <w:tcBorders>
              <w:tl2br w:val="nil"/>
              <w:tr2bl w:val="nil"/>
            </w:tcBorders>
            <w:vAlign w:val="center"/>
          </w:tcPr>
          <w:p w14:paraId="75BC0F83">
            <w:pPr>
              <w:jc w:val="center"/>
              <w:rPr>
                <w:rFonts w:ascii="Arial"/>
                <w:sz w:val="21"/>
              </w:rPr>
            </w:pPr>
          </w:p>
        </w:tc>
        <w:tc>
          <w:tcPr>
            <w:tcW w:w="4358" w:type="dxa"/>
            <w:tcBorders>
              <w:tl2br w:val="nil"/>
              <w:tr2bl w:val="nil"/>
            </w:tcBorders>
            <w:vAlign w:val="center"/>
          </w:tcPr>
          <w:p w14:paraId="34051502">
            <w:pPr>
              <w:pStyle w:val="7"/>
              <w:spacing w:before="174" w:line="229" w:lineRule="auto"/>
              <w:jc w:val="center"/>
              <w:rPr>
                <w:rFonts w:hint="eastAsia" w:eastAsia="宋体"/>
                <w:spacing w:val="3"/>
                <w:lang w:eastAsia="zh-CN"/>
              </w:rPr>
            </w:pPr>
            <w:r>
              <w:rPr>
                <w:rFonts w:hint="eastAsia"/>
                <w:spacing w:val="3"/>
                <w:lang w:eastAsia="zh-CN"/>
              </w:rPr>
              <w:t>漆膜附着力</w:t>
            </w:r>
          </w:p>
        </w:tc>
        <w:tc>
          <w:tcPr>
            <w:tcW w:w="2457" w:type="dxa"/>
            <w:tcBorders>
              <w:tl2br w:val="nil"/>
              <w:tr2bl w:val="nil"/>
            </w:tcBorders>
            <w:vAlign w:val="top"/>
          </w:tcPr>
          <w:p w14:paraId="483B0C5D">
            <w:pPr>
              <w:pStyle w:val="7"/>
              <w:spacing w:before="149" w:line="189" w:lineRule="auto"/>
              <w:ind w:left="569"/>
              <w:rPr>
                <w:rFonts w:hint="default" w:eastAsia="宋体"/>
                <w:lang w:val="en-US" w:eastAsia="zh-CN"/>
              </w:rPr>
            </w:pPr>
            <w:r>
              <w:rPr>
                <w:rFonts w:hint="eastAsia"/>
                <w:lang w:val="en-US" w:eastAsia="zh-CN"/>
              </w:rPr>
              <w:t>GB/T4893.4</w:t>
            </w:r>
          </w:p>
        </w:tc>
      </w:tr>
      <w:tr w14:paraId="7D3085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63" w:type="dxa"/>
            <w:tcBorders>
              <w:tl2br w:val="nil"/>
              <w:tr2bl w:val="nil"/>
            </w:tcBorders>
            <w:vAlign w:val="top"/>
          </w:tcPr>
          <w:p w14:paraId="765D911D">
            <w:pPr>
              <w:pStyle w:val="7"/>
              <w:spacing w:before="149" w:line="189" w:lineRule="auto"/>
              <w:ind w:left="386"/>
              <w:rPr>
                <w:rFonts w:hint="default" w:eastAsia="宋体"/>
                <w:lang w:val="en-US" w:eastAsia="zh-CN"/>
              </w:rPr>
            </w:pPr>
            <w:r>
              <w:rPr>
                <w:rFonts w:hint="eastAsia"/>
                <w:lang w:val="en-US" w:eastAsia="zh-CN"/>
              </w:rPr>
              <w:t>5</w:t>
            </w:r>
          </w:p>
        </w:tc>
        <w:tc>
          <w:tcPr>
            <w:tcW w:w="1505" w:type="dxa"/>
            <w:vMerge w:val="continue"/>
            <w:tcBorders>
              <w:tl2br w:val="nil"/>
              <w:tr2bl w:val="nil"/>
            </w:tcBorders>
            <w:vAlign w:val="center"/>
          </w:tcPr>
          <w:p w14:paraId="62A07742">
            <w:pPr>
              <w:jc w:val="center"/>
              <w:rPr>
                <w:rFonts w:ascii="Arial"/>
                <w:sz w:val="21"/>
              </w:rPr>
            </w:pPr>
          </w:p>
        </w:tc>
        <w:tc>
          <w:tcPr>
            <w:tcW w:w="4358" w:type="dxa"/>
            <w:tcBorders>
              <w:tl2br w:val="nil"/>
              <w:tr2bl w:val="nil"/>
            </w:tcBorders>
            <w:vAlign w:val="center"/>
          </w:tcPr>
          <w:p w14:paraId="1FA9F1E2">
            <w:pPr>
              <w:pStyle w:val="7"/>
              <w:spacing w:before="174" w:line="229" w:lineRule="auto"/>
              <w:jc w:val="center"/>
            </w:pPr>
            <w:r>
              <w:rPr>
                <w:rFonts w:hint="eastAsia"/>
                <w:spacing w:val="3"/>
              </w:rPr>
              <w:t>漆膜耐磨性</w:t>
            </w:r>
          </w:p>
        </w:tc>
        <w:tc>
          <w:tcPr>
            <w:tcW w:w="2457" w:type="dxa"/>
            <w:tcBorders>
              <w:tl2br w:val="nil"/>
              <w:tr2bl w:val="nil"/>
            </w:tcBorders>
            <w:vAlign w:val="top"/>
          </w:tcPr>
          <w:p w14:paraId="48434324">
            <w:pPr>
              <w:pStyle w:val="7"/>
              <w:spacing w:before="149" w:line="189" w:lineRule="auto"/>
              <w:ind w:left="569"/>
            </w:pPr>
            <w:r>
              <w:rPr>
                <w:rFonts w:hint="eastAsia"/>
                <w:lang w:val="en-US" w:eastAsia="zh-CN"/>
              </w:rPr>
              <w:t>GB/T4893.8</w:t>
            </w:r>
          </w:p>
        </w:tc>
      </w:tr>
      <w:tr w14:paraId="5AF9C1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63" w:type="dxa"/>
            <w:tcBorders>
              <w:tl2br w:val="nil"/>
              <w:tr2bl w:val="nil"/>
            </w:tcBorders>
            <w:vAlign w:val="top"/>
          </w:tcPr>
          <w:p w14:paraId="59C34464">
            <w:pPr>
              <w:pStyle w:val="7"/>
              <w:spacing w:before="149" w:line="189" w:lineRule="auto"/>
              <w:ind w:left="386"/>
              <w:rPr>
                <w:rFonts w:hint="default"/>
                <w:lang w:val="en-US" w:eastAsia="zh-CN"/>
              </w:rPr>
            </w:pPr>
            <w:r>
              <w:rPr>
                <w:rFonts w:hint="eastAsia"/>
                <w:lang w:val="en-US" w:eastAsia="zh-CN"/>
              </w:rPr>
              <w:t>6</w:t>
            </w:r>
          </w:p>
        </w:tc>
        <w:tc>
          <w:tcPr>
            <w:tcW w:w="5863" w:type="dxa"/>
            <w:gridSpan w:val="2"/>
            <w:tcBorders>
              <w:tl2br w:val="nil"/>
              <w:tr2bl w:val="nil"/>
            </w:tcBorders>
            <w:vAlign w:val="center"/>
          </w:tcPr>
          <w:p w14:paraId="393AF887">
            <w:pPr>
              <w:pStyle w:val="7"/>
              <w:spacing w:before="174" w:line="229" w:lineRule="auto"/>
              <w:jc w:val="center"/>
              <w:rPr>
                <w:rFonts w:hint="eastAsia" w:eastAsia="宋体"/>
                <w:spacing w:val="3"/>
                <w:lang w:eastAsia="zh-CN"/>
              </w:rPr>
            </w:pPr>
            <w:r>
              <w:rPr>
                <w:rFonts w:hint="eastAsia"/>
                <w:spacing w:val="3"/>
                <w:lang w:eastAsia="zh-CN"/>
              </w:rPr>
              <w:t>外观</w:t>
            </w:r>
          </w:p>
        </w:tc>
        <w:tc>
          <w:tcPr>
            <w:tcW w:w="2457" w:type="dxa"/>
            <w:tcBorders>
              <w:tl2br w:val="nil"/>
              <w:tr2bl w:val="nil"/>
            </w:tcBorders>
            <w:vAlign w:val="top"/>
          </w:tcPr>
          <w:p w14:paraId="1E9AA5C2">
            <w:pPr>
              <w:pStyle w:val="7"/>
              <w:spacing w:before="149" w:line="189" w:lineRule="auto"/>
              <w:ind w:left="569"/>
              <w:rPr>
                <w:rFonts w:hint="default" w:eastAsia="宋体"/>
                <w:lang w:val="en-US" w:eastAsia="zh-CN"/>
              </w:rPr>
            </w:pPr>
            <w:r>
              <w:rPr>
                <w:spacing w:val="24"/>
              </w:rPr>
              <w:t>GB/T3324</w:t>
            </w:r>
          </w:p>
        </w:tc>
      </w:tr>
      <w:tr w14:paraId="7C4C98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863" w:type="dxa"/>
            <w:tcBorders>
              <w:tl2br w:val="nil"/>
              <w:tr2bl w:val="nil"/>
            </w:tcBorders>
            <w:vAlign w:val="top"/>
          </w:tcPr>
          <w:p w14:paraId="5B152950">
            <w:pPr>
              <w:pStyle w:val="7"/>
              <w:spacing w:before="149" w:line="189" w:lineRule="auto"/>
              <w:ind w:left="386"/>
              <w:rPr>
                <w:rFonts w:hint="default"/>
                <w:lang w:val="en-US" w:eastAsia="zh-CN"/>
              </w:rPr>
            </w:pPr>
            <w:r>
              <w:rPr>
                <w:rFonts w:hint="eastAsia"/>
                <w:lang w:val="en-US" w:eastAsia="zh-CN"/>
              </w:rPr>
              <w:t>7</w:t>
            </w:r>
          </w:p>
        </w:tc>
        <w:tc>
          <w:tcPr>
            <w:tcW w:w="5863" w:type="dxa"/>
            <w:gridSpan w:val="2"/>
            <w:tcBorders>
              <w:tl2br w:val="nil"/>
              <w:tr2bl w:val="nil"/>
            </w:tcBorders>
            <w:vAlign w:val="center"/>
          </w:tcPr>
          <w:p w14:paraId="01D26999">
            <w:pPr>
              <w:pStyle w:val="7"/>
              <w:spacing w:before="174" w:line="229" w:lineRule="auto"/>
              <w:jc w:val="center"/>
              <w:rPr>
                <w:rFonts w:hint="eastAsia"/>
                <w:spacing w:val="3"/>
                <w:lang w:eastAsia="zh-CN"/>
              </w:rPr>
            </w:pPr>
            <w:r>
              <w:rPr>
                <w:spacing w:val="2"/>
              </w:rPr>
              <w:t>甲醛释放量</w:t>
            </w:r>
          </w:p>
        </w:tc>
        <w:tc>
          <w:tcPr>
            <w:tcW w:w="2457" w:type="dxa"/>
            <w:tcBorders>
              <w:tl2br w:val="nil"/>
              <w:tr2bl w:val="nil"/>
            </w:tcBorders>
            <w:vAlign w:val="top"/>
          </w:tcPr>
          <w:p w14:paraId="4328422E">
            <w:pPr>
              <w:pStyle w:val="7"/>
              <w:spacing w:before="149" w:line="189" w:lineRule="auto"/>
              <w:ind w:left="569"/>
              <w:rPr>
                <w:rFonts w:hint="default"/>
                <w:lang w:val="en-US" w:eastAsia="zh-CN"/>
              </w:rPr>
            </w:pPr>
            <w:r>
              <w:rPr>
                <w:rFonts w:hint="eastAsia"/>
                <w:lang w:val="en-US" w:eastAsia="zh-CN"/>
              </w:rPr>
              <w:t>GB18584</w:t>
            </w:r>
          </w:p>
        </w:tc>
      </w:tr>
    </w:tbl>
    <w:p w14:paraId="62A5071F">
      <w:pPr>
        <w:pStyle w:val="2"/>
        <w:spacing w:before="32" w:line="228" w:lineRule="auto"/>
        <w:ind w:left="542"/>
        <w:rPr>
          <w:spacing w:val="9"/>
        </w:rPr>
      </w:pPr>
    </w:p>
    <w:p w14:paraId="0B95B897">
      <w:pPr>
        <w:spacing w:line="130" w:lineRule="exact"/>
      </w:pPr>
    </w:p>
    <w:p w14:paraId="71B732A1">
      <w:pPr>
        <w:pStyle w:val="2"/>
        <w:spacing w:before="32" w:line="228" w:lineRule="auto"/>
        <w:ind w:firstLine="436" w:firstLineChars="200"/>
      </w:pPr>
      <w:r>
        <w:rPr>
          <w:rFonts w:hint="eastAsia"/>
          <w:spacing w:val="9"/>
          <w:lang w:eastAsia="zh-CN"/>
        </w:rPr>
        <w:t>注：</w:t>
      </w:r>
      <w:r>
        <w:rPr>
          <w:spacing w:val="9"/>
        </w:rPr>
        <w:t>执行企业标准、团体标准、地方标准的产品，检验项目参照上述内容执行。</w:t>
      </w:r>
    </w:p>
    <w:p w14:paraId="178431EE">
      <w:pPr>
        <w:pStyle w:val="2"/>
        <w:spacing w:before="160" w:line="362" w:lineRule="auto"/>
        <w:ind w:left="125" w:right="108" w:firstLine="420"/>
      </w:pPr>
      <w:r>
        <w:rPr>
          <w:spacing w:val="8"/>
        </w:rPr>
        <w:t>凡是注日期的文件，其随后所有的修改单（不包括勘误的内容）或修订版不适用于</w:t>
      </w:r>
      <w:r>
        <w:rPr>
          <w:spacing w:val="7"/>
        </w:rPr>
        <w:t>本细则。凡</w:t>
      </w:r>
      <w:r>
        <w:rPr>
          <w:spacing w:val="8"/>
        </w:rPr>
        <w:t>是不注日期的文件，其最新版本适用于本细则。</w:t>
      </w:r>
    </w:p>
    <w:p w14:paraId="29CD8E9A">
      <w:pPr>
        <w:pStyle w:val="2"/>
        <w:spacing w:before="131" w:line="228" w:lineRule="auto"/>
        <w:ind w:left="126"/>
        <w:outlineLvl w:val="1"/>
      </w:pPr>
      <w:r>
        <w:rPr>
          <w:b/>
          <w:bCs/>
          <w:spacing w:val="3"/>
        </w:rPr>
        <w:t>3</w:t>
      </w:r>
      <w:r>
        <w:rPr>
          <w:spacing w:val="14"/>
        </w:rPr>
        <w:t xml:space="preserve"> </w:t>
      </w:r>
      <w:r>
        <w:rPr>
          <w:b/>
          <w:bCs/>
          <w:spacing w:val="3"/>
        </w:rPr>
        <w:t>判定规则</w:t>
      </w:r>
    </w:p>
    <w:p w14:paraId="744092E4">
      <w:pPr>
        <w:pStyle w:val="2"/>
        <w:spacing w:before="122" w:line="227" w:lineRule="auto"/>
        <w:ind w:left="126"/>
      </w:pPr>
      <w:r>
        <w:rPr>
          <w:spacing w:val="4"/>
        </w:rPr>
        <w:t>3.1</w:t>
      </w:r>
      <w:r>
        <w:rPr>
          <w:spacing w:val="-37"/>
        </w:rPr>
        <w:t xml:space="preserve"> </w:t>
      </w:r>
      <w:r>
        <w:rPr>
          <w:spacing w:val="4"/>
        </w:rPr>
        <w:t>依据标准</w:t>
      </w:r>
    </w:p>
    <w:p w14:paraId="78D582CC">
      <w:pPr>
        <w:pStyle w:val="2"/>
        <w:spacing w:before="162" w:line="228" w:lineRule="auto"/>
        <w:ind w:left="540"/>
      </w:pPr>
      <w:r>
        <w:rPr>
          <w:spacing w:val="24"/>
        </w:rPr>
        <w:t>GB/T</w:t>
      </w:r>
      <w:r>
        <w:rPr>
          <w:rFonts w:hint="eastAsia"/>
          <w:spacing w:val="24"/>
          <w:lang w:val="en-US" w:eastAsia="zh-CN"/>
        </w:rPr>
        <w:t xml:space="preserve"> </w:t>
      </w:r>
      <w:r>
        <w:rPr>
          <w:spacing w:val="24"/>
        </w:rPr>
        <w:t>3324 木家具通用技术条件</w:t>
      </w:r>
    </w:p>
    <w:p w14:paraId="13350A41">
      <w:pPr>
        <w:pStyle w:val="2"/>
        <w:spacing w:before="161" w:line="227" w:lineRule="auto"/>
        <w:ind w:left="585"/>
      </w:pPr>
      <w:r>
        <w:rPr>
          <w:spacing w:val="9"/>
        </w:rPr>
        <w:t>相关的法律、行政法规、部门规章、规范性文件</w:t>
      </w:r>
    </w:p>
    <w:p w14:paraId="4276612C">
      <w:pPr>
        <w:pStyle w:val="2"/>
        <w:spacing w:before="160" w:line="362" w:lineRule="auto"/>
        <w:ind w:left="125" w:right="108" w:firstLine="420"/>
        <w:rPr>
          <w:spacing w:val="8"/>
        </w:rPr>
      </w:pPr>
      <w:r>
        <w:rPr>
          <w:spacing w:val="8"/>
        </w:rPr>
        <w:t xml:space="preserve">现行有效的企业标准、团体标准、地方标准及产品明示质量要求 </w:t>
      </w:r>
    </w:p>
    <w:p w14:paraId="4789A0B2">
      <w:pPr>
        <w:pStyle w:val="2"/>
        <w:spacing w:before="160" w:line="362" w:lineRule="auto"/>
        <w:ind w:right="108" w:firstLine="208" w:firstLineChars="100"/>
      </w:pPr>
      <w:r>
        <w:rPr>
          <w:spacing w:val="4"/>
        </w:rPr>
        <w:t>3.2</w:t>
      </w:r>
      <w:r>
        <w:rPr>
          <w:spacing w:val="-37"/>
        </w:rPr>
        <w:t xml:space="preserve"> </w:t>
      </w:r>
      <w:r>
        <w:rPr>
          <w:spacing w:val="4"/>
        </w:rPr>
        <w:t>判定原则</w:t>
      </w:r>
    </w:p>
    <w:p w14:paraId="0CC3322F">
      <w:pPr>
        <w:pStyle w:val="2"/>
        <w:spacing w:before="31" w:line="362" w:lineRule="auto"/>
        <w:ind w:left="125" w:right="108" w:firstLine="418"/>
      </w:pPr>
      <w:r>
        <w:rPr>
          <w:spacing w:val="8"/>
        </w:rPr>
        <w:t>经检验，检验项目全部合格，判定为被抽查产品所检项目未发现不合格；检验项目中任一</w:t>
      </w:r>
      <w:r>
        <w:rPr>
          <w:spacing w:val="7"/>
        </w:rPr>
        <w:t>项或</w:t>
      </w:r>
      <w:r>
        <w:rPr>
          <w:spacing w:val="8"/>
        </w:rPr>
        <w:t>一项以上不合格，判定为被抽查产品不合格。</w:t>
      </w:r>
    </w:p>
    <w:p w14:paraId="64B24B3B">
      <w:pPr>
        <w:pStyle w:val="2"/>
        <w:spacing w:before="35" w:line="362" w:lineRule="auto"/>
        <w:ind w:left="122" w:right="108" w:firstLine="418"/>
      </w:pPr>
      <w:r>
        <w:rPr>
          <w:spacing w:val="8"/>
        </w:rPr>
        <w:t>若被检产品明示的质量要求高于本细则中检验项目依据的标准要求时，应按被检产品明示的质</w:t>
      </w:r>
      <w:r>
        <w:rPr>
          <w:spacing w:val="6"/>
        </w:rPr>
        <w:t>量要求判定。</w:t>
      </w:r>
    </w:p>
    <w:p w14:paraId="1120443D">
      <w:pPr>
        <w:pStyle w:val="2"/>
        <w:spacing w:before="31" w:line="362" w:lineRule="auto"/>
        <w:ind w:left="124" w:right="108" w:firstLine="416"/>
      </w:pPr>
      <w:r>
        <w:rPr>
          <w:spacing w:val="8"/>
        </w:rPr>
        <w:t>若被检产品明示的质量要求低于本细则中检验项目依据的强制性标准要求时，应按照强制性标</w:t>
      </w:r>
      <w:r>
        <w:rPr>
          <w:spacing w:val="6"/>
        </w:rPr>
        <w:t>准要求判定。</w:t>
      </w:r>
    </w:p>
    <w:p w14:paraId="20964746">
      <w:pPr>
        <w:pStyle w:val="2"/>
        <w:spacing w:before="31" w:line="362" w:lineRule="auto"/>
        <w:ind w:left="122" w:right="108" w:firstLine="418"/>
      </w:pPr>
      <w:r>
        <w:rPr>
          <w:spacing w:val="8"/>
        </w:rPr>
        <w:t>若被检产品明示的质量要求低于或包含本细则中检验项目依据的推荐性标准要求时，应以被检产品明示的质量要求判定。</w:t>
      </w:r>
    </w:p>
    <w:p w14:paraId="3A2EC130">
      <w:pPr>
        <w:pStyle w:val="2"/>
        <w:spacing w:before="35" w:line="362" w:lineRule="auto"/>
        <w:ind w:left="124" w:right="108" w:firstLine="416"/>
        <w:rPr>
          <w:rFonts w:hint="eastAsia" w:eastAsia="宋体"/>
          <w:lang w:val="en-US" w:eastAsia="zh-CN"/>
        </w:rPr>
      </w:pPr>
      <w:r>
        <w:rPr>
          <w:spacing w:val="8"/>
        </w:rPr>
        <w:t>若被检产品明示的质量要求缺少本细则中检验项目依据的强制性标准要求时，应按照强制性标</w:t>
      </w:r>
      <w:r>
        <w:rPr>
          <w:spacing w:val="6"/>
        </w:rPr>
        <w:t>准要求判定。</w:t>
      </w:r>
    </w:p>
    <w:p w14:paraId="7B1B3A60">
      <w:pPr>
        <w:pStyle w:val="2"/>
        <w:spacing w:before="65" w:line="361" w:lineRule="auto"/>
        <w:ind w:left="5" w:firstLine="413"/>
      </w:pPr>
      <w:r>
        <w:rPr>
          <w:spacing w:val="8"/>
        </w:rPr>
        <w:t>若被检产品明示的质量要求缺少本细则中检验项目依据的推荐性标准要求时，该项目不参与判</w:t>
      </w:r>
      <w:r>
        <w:rPr>
          <w:spacing w:val="1"/>
        </w:rPr>
        <w:t xml:space="preserve"> </w:t>
      </w:r>
      <w:r>
        <w:rPr>
          <w:spacing w:val="8"/>
        </w:rPr>
        <w:t>定，但应在检验报告备注中进行说明。</w:t>
      </w:r>
    </w:p>
    <w:p w14:paraId="1A5F5732">
      <w:pPr>
        <w:pStyle w:val="2"/>
        <w:spacing w:before="131" w:line="228" w:lineRule="auto"/>
        <w:ind w:left="126"/>
        <w:outlineLvl w:val="1"/>
        <w:rPr>
          <w:b/>
          <w:bCs/>
          <w:spacing w:val="3"/>
        </w:rPr>
      </w:pPr>
      <w:r>
        <w:rPr>
          <w:b/>
          <w:bCs/>
          <w:spacing w:val="3"/>
        </w:rPr>
        <w:t>4 异议复检</w:t>
      </w:r>
    </w:p>
    <w:p w14:paraId="61EA5069">
      <w:pPr>
        <w:pStyle w:val="2"/>
        <w:spacing w:before="131" w:line="228" w:lineRule="auto"/>
        <w:ind w:left="126" w:firstLine="412" w:firstLineChars="200"/>
        <w:outlineLvl w:val="1"/>
        <w:rPr>
          <w:b w:val="0"/>
          <w:bCs w:val="0"/>
          <w:spacing w:val="3"/>
          <w:lang w:val="en-US" w:eastAsia="en-US"/>
        </w:rPr>
      </w:pPr>
      <w:r>
        <w:rPr>
          <w:b w:val="0"/>
          <w:bCs w:val="0"/>
          <w:spacing w:val="3"/>
          <w:lang w:val="en-US" w:eastAsia="en-US"/>
        </w:rPr>
        <w:t>本细则中确定的全部检验项目，采用备用样品进行复检</w:t>
      </w:r>
      <w:r>
        <w:rPr>
          <w:rFonts w:hint="eastAsia"/>
          <w:b w:val="0"/>
          <w:bCs w:val="0"/>
          <w:spacing w:val="3"/>
          <w:lang w:val="en-US" w:eastAsia="zh-CN"/>
        </w:rPr>
        <w:t>。</w:t>
      </w:r>
    </w:p>
    <w:sectPr>
      <w:footerReference r:id="rId5" w:type="default"/>
      <w:pgSz w:w="11906" w:h="16839"/>
      <w:pgMar w:top="1431" w:right="1475" w:bottom="1624" w:left="1480" w:header="0" w:footer="1436"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37BC0E">
    <w:pPr>
      <w:spacing w:line="175" w:lineRule="auto"/>
      <w:rPr>
        <w:rFonts w:ascii="等线" w:hAnsi="等线" w:eastAsia="等线" w:cs="等线"/>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docVars>
    <w:docVar w:name="commondata" w:val="eyJoZGlkIjoiYjNjOWJjZWRlNDJjM2M1M2M2MDEzY2Y5NzZiODM0N2MifQ=="/>
  </w:docVars>
  <w:rsids>
    <w:rsidRoot w:val="00000000"/>
    <w:rsid w:val="073E518E"/>
    <w:rsid w:val="16F749D7"/>
    <w:rsid w:val="170A508C"/>
    <w:rsid w:val="20F82FCF"/>
    <w:rsid w:val="212159CA"/>
    <w:rsid w:val="327F0285"/>
    <w:rsid w:val="3B051543"/>
    <w:rsid w:val="3CCB1F2B"/>
    <w:rsid w:val="3D7F55DD"/>
    <w:rsid w:val="42274495"/>
    <w:rsid w:val="435E390F"/>
    <w:rsid w:val="482F5E51"/>
    <w:rsid w:val="4C0B2731"/>
    <w:rsid w:val="4CA16ED4"/>
    <w:rsid w:val="4F58775A"/>
    <w:rsid w:val="4F7A3E56"/>
    <w:rsid w:val="607C6B75"/>
    <w:rsid w:val="6B421874"/>
    <w:rsid w:val="6CC60283"/>
    <w:rsid w:val="710305E5"/>
    <w:rsid w:val="7CD662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712</Words>
  <Characters>780</Characters>
  <TotalTime>8</TotalTime>
  <ScaleCrop>false</ScaleCrop>
  <LinksUpToDate>false</LinksUpToDate>
  <CharactersWithSpaces>798</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2024-02-01T22:27:00Z</dcterms:created>
  <dc:creator>曹峻</dc:creator>
  <cp:lastModifiedBy>创信检测</cp:lastModifiedBy>
  <dcterms:modified xsi:type="dcterms:W3CDTF">2025-05-09T08:36:21Z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2024-08-06T09:11:17Z</vt:filetime>
  </property>
  <property fmtid="{D5CDD505-2E9C-101B-9397-08002B2CF9AE}" pid="4" name="KSOProductBuildVer">
    <vt:lpwstr>2052-12.1.0.20784</vt:lpwstr>
  </property>
  <property fmtid="{D5CDD505-2E9C-101B-9397-08002B2CF9AE}" pid="5" name="ICV">
    <vt:lpwstr>90D22B5145D4425E85B9949C912EB944_12</vt:lpwstr>
  </property>
  <property fmtid="{D5CDD505-2E9C-101B-9397-08002B2CF9AE}" pid="6" name="KSOTemplateDocerSaveRecord">
    <vt:lpwstr>eyJoZGlkIjoiOTdiNzZkOTk1ODVkM2NjNmU3NDdhZjI1NDFkMDc1ZDQiLCJ1c2VySWQiOiI5OTAwOTk0MDkifQ==</vt:lpwstr>
  </property>
</Properties>
</file>