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257BAB">
      <w:pPr>
        <w:snapToGrid w:val="0"/>
        <w:spacing w:line="360" w:lineRule="auto"/>
        <w:jc w:val="center"/>
        <w:rPr>
          <w:rFonts w:ascii="宋体" w:hAnsi="宋体" w:cs="宋体"/>
          <w:b/>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 xml:space="preserve"> </w:t>
      </w:r>
      <w:r>
        <w:rPr>
          <w:rFonts w:hint="eastAsia" w:ascii="宋体" w:hAnsi="宋体" w:cs="宋体"/>
          <w:b/>
          <w:color w:val="000000" w:themeColor="text1"/>
          <w:sz w:val="28"/>
          <w:szCs w:val="28"/>
          <w:lang w:eastAsia="zh-CN"/>
          <w14:textFill>
            <w14:solidFill>
              <w14:schemeClr w14:val="tx1"/>
            </w14:solidFill>
          </w14:textFill>
        </w:rPr>
        <w:t>汶上县</w:t>
      </w:r>
      <w:bookmarkStart w:id="0" w:name="_GoBack"/>
      <w:bookmarkEnd w:id="0"/>
      <w:r>
        <w:rPr>
          <w:rFonts w:hint="eastAsia" w:ascii="宋体" w:hAnsi="宋体" w:cs="宋体"/>
          <w:b/>
          <w:color w:val="000000" w:themeColor="text1"/>
          <w:sz w:val="28"/>
          <w:szCs w:val="28"/>
          <w14:textFill>
            <w14:solidFill>
              <w14:schemeClr w14:val="tx1"/>
            </w14:solidFill>
          </w14:textFill>
        </w:rPr>
        <w:t>车用柴油产品质量监督抽查实施细则</w:t>
      </w:r>
    </w:p>
    <w:p w14:paraId="0BF45E5C">
      <w:pPr>
        <w:snapToGrid w:val="0"/>
        <w:spacing w:line="360" w:lineRule="auto"/>
        <w:jc w:val="left"/>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1 抽样</w:t>
      </w:r>
    </w:p>
    <w:p w14:paraId="38D49543">
      <w:pPr>
        <w:snapToGrid w:val="0"/>
        <w:spacing w:line="360" w:lineRule="auto"/>
        <w:rPr>
          <w:rFonts w:ascii="宋体" w:hAnsi="宋体" w:cs="宋体"/>
          <w:snapToGrid w:val="0"/>
        </w:rPr>
      </w:pPr>
      <w:r>
        <w:rPr>
          <w:rFonts w:ascii="宋体" w:hAnsi="宋体"/>
          <w:color w:val="000000"/>
        </w:rPr>
        <w:t>1.1</w:t>
      </w:r>
      <w:r>
        <w:rPr>
          <w:rFonts w:hint="eastAsia" w:ascii="宋体" w:hAnsi="宋体"/>
          <w:color w:val="000000"/>
        </w:rPr>
        <w:t>抽样方法</w:t>
      </w:r>
    </w:p>
    <w:p w14:paraId="4E6EFAC3">
      <w:pPr>
        <w:snapToGrid w:val="0"/>
        <w:spacing w:line="360" w:lineRule="auto"/>
        <w:ind w:firstLine="420" w:firstLineChars="200"/>
        <w:rPr>
          <w:rFonts w:ascii="宋体" w:hAnsi="宋体" w:cs="宋体"/>
          <w:snapToGrid w:val="0"/>
        </w:rPr>
      </w:pPr>
      <w:r>
        <w:rPr>
          <w:rFonts w:hint="eastAsia" w:ascii="宋体" w:hAnsi="宋体" w:cs="宋体"/>
          <w:snapToGrid w:val="0"/>
        </w:rPr>
        <w:t>以随机抽样的方式在被抽样生产者、销售者的待销产品中抽取。</w:t>
      </w:r>
    </w:p>
    <w:p w14:paraId="1296F95D">
      <w:pPr>
        <w:snapToGrid w:val="0"/>
        <w:spacing w:line="360" w:lineRule="auto"/>
        <w:ind w:firstLine="420" w:firstLineChars="200"/>
        <w:rPr>
          <w:rFonts w:ascii="宋体" w:hAnsi="宋体" w:cs="宋体"/>
          <w:snapToGrid w:val="0"/>
        </w:rPr>
      </w:pPr>
      <w:r>
        <w:rPr>
          <w:rFonts w:hint="eastAsia" w:ascii="宋体" w:hAnsi="宋体"/>
          <w:szCs w:val="21"/>
        </w:rPr>
        <w:t>随机数一般可使用随机数表等方法产生。</w:t>
      </w:r>
    </w:p>
    <w:p w14:paraId="44E91530">
      <w:pPr>
        <w:snapToGrid w:val="0"/>
        <w:spacing w:line="360" w:lineRule="auto"/>
        <w:ind w:firstLine="420" w:firstLineChars="200"/>
        <w:rPr>
          <w:rFonts w:ascii="宋体" w:hAnsi="宋体" w:cs="宋体"/>
          <w:color w:val="000000"/>
          <w:szCs w:val="21"/>
        </w:rPr>
      </w:pPr>
      <w:r>
        <w:rPr>
          <w:rFonts w:hint="eastAsia" w:ascii="宋体" w:hAnsi="宋体" w:cs="宋体"/>
          <w:color w:val="000000"/>
          <w:szCs w:val="21"/>
        </w:rPr>
        <w:t>生产领域:按</w:t>
      </w:r>
      <w:r>
        <w:rPr>
          <w:rFonts w:hint="eastAsia" w:ascii="宋体" w:hAnsi="宋体" w:cs="宋体"/>
          <w:szCs w:val="21"/>
        </w:rPr>
        <w:t>GB19147</w:t>
      </w:r>
      <w:r>
        <w:rPr>
          <w:rFonts w:hint="eastAsia" w:ascii="宋体" w:hAnsi="宋体" w:cs="宋体"/>
          <w:color w:val="000000"/>
          <w:szCs w:val="21"/>
        </w:rPr>
        <w:t>方法从企业成品罐中抽取样品。</w:t>
      </w:r>
    </w:p>
    <w:p w14:paraId="3CDEB951">
      <w:pPr>
        <w:snapToGrid w:val="0"/>
        <w:spacing w:line="360" w:lineRule="auto"/>
        <w:ind w:firstLine="420" w:firstLineChars="200"/>
        <w:rPr>
          <w:rFonts w:ascii="宋体" w:hAnsi="宋体" w:cs="宋体"/>
          <w:snapToGrid w:val="0"/>
        </w:rPr>
      </w:pPr>
      <w:r>
        <w:rPr>
          <w:rFonts w:hint="eastAsia" w:ascii="宋体" w:hAnsi="宋体" w:cs="宋体"/>
          <w:color w:val="000000"/>
          <w:szCs w:val="21"/>
        </w:rPr>
        <w:t>流通领域:按</w:t>
      </w:r>
      <w:r>
        <w:rPr>
          <w:rFonts w:hint="eastAsia" w:ascii="宋体" w:hAnsi="宋体" w:cs="宋体"/>
          <w:szCs w:val="21"/>
        </w:rPr>
        <w:t>GB19147</w:t>
      </w:r>
      <w:r>
        <w:rPr>
          <w:rFonts w:hint="eastAsia" w:ascii="宋体" w:hAnsi="宋体" w:cs="宋体"/>
          <w:color w:val="000000"/>
          <w:szCs w:val="21"/>
        </w:rPr>
        <w:t>方法从企业待销罐或加油机加油枪抽取样品。</w:t>
      </w:r>
    </w:p>
    <w:p w14:paraId="47781AF6">
      <w:pPr>
        <w:snapToGrid w:val="0"/>
        <w:spacing w:line="360" w:lineRule="auto"/>
        <w:rPr>
          <w:rFonts w:ascii="宋体" w:hAnsi="宋体"/>
          <w:color w:val="000000"/>
        </w:rPr>
      </w:pPr>
      <w:r>
        <w:rPr>
          <w:rFonts w:ascii="宋体" w:hAnsi="宋体"/>
          <w:color w:val="000000"/>
        </w:rPr>
        <w:t>1.2</w:t>
      </w:r>
      <w:r>
        <w:rPr>
          <w:rFonts w:hint="eastAsia" w:ascii="宋体" w:hAnsi="宋体"/>
          <w:color w:val="000000"/>
        </w:rPr>
        <w:t>抽样基数</w:t>
      </w:r>
    </w:p>
    <w:p w14:paraId="65AF3498">
      <w:pPr>
        <w:snapToGrid w:val="0"/>
        <w:spacing w:line="360" w:lineRule="auto"/>
        <w:ind w:firstLine="420" w:firstLineChars="200"/>
        <w:jc w:val="left"/>
        <w:rPr>
          <w:rFonts w:ascii="宋体" w:hAnsi="宋体" w:cs="宋体"/>
          <w:snapToGrid w:val="0"/>
        </w:rPr>
      </w:pPr>
      <w:r>
        <w:rPr>
          <w:rFonts w:hint="eastAsia" w:ascii="宋体" w:hAnsi="宋体" w:cs="宋体"/>
          <w:snapToGrid w:val="0"/>
        </w:rPr>
        <w:t>抽查样品基数满足抽样数量即可。</w:t>
      </w:r>
    </w:p>
    <w:p w14:paraId="0D819446">
      <w:pPr>
        <w:snapToGrid w:val="0"/>
        <w:spacing w:line="360" w:lineRule="auto"/>
        <w:jc w:val="left"/>
        <w:rPr>
          <w:rFonts w:ascii="宋体" w:hAnsi="宋体" w:cs="宋体"/>
          <w:snapToGrid w:val="0"/>
        </w:rPr>
      </w:pPr>
      <w:r>
        <w:rPr>
          <w:rFonts w:ascii="宋体" w:hAnsi="宋体"/>
          <w:color w:val="000000"/>
        </w:rPr>
        <w:t>1.</w:t>
      </w:r>
      <w:r>
        <w:rPr>
          <w:rFonts w:hint="eastAsia" w:ascii="宋体" w:hAnsi="宋体"/>
          <w:color w:val="000000"/>
        </w:rPr>
        <w:t>3抽样数量</w:t>
      </w:r>
    </w:p>
    <w:p w14:paraId="3F21E7DE">
      <w:pPr>
        <w:snapToGrid w:val="0"/>
        <w:spacing w:line="360" w:lineRule="auto"/>
        <w:ind w:firstLine="420" w:firstLineChars="200"/>
        <w:rPr>
          <w:rFonts w:ascii="宋体" w:hAnsi="宋体" w:cs="宋体"/>
          <w:color w:val="000000"/>
          <w:szCs w:val="21"/>
        </w:rPr>
      </w:pPr>
      <w:r>
        <w:rPr>
          <w:rFonts w:hint="eastAsia" w:ascii="宋体" w:hAnsi="宋体" w:cs="宋体"/>
          <w:color w:val="000000"/>
          <w:szCs w:val="21"/>
        </w:rPr>
        <w:t>每批次产品抽取不少于</w:t>
      </w:r>
      <w:r>
        <w:rPr>
          <w:rFonts w:hint="eastAsia" w:ascii="宋体" w:hAnsi="宋体" w:cs="宋体"/>
          <w:color w:val="000000"/>
          <w:szCs w:val="21"/>
          <w:lang w:val="en-US" w:eastAsia="zh-CN"/>
        </w:rPr>
        <w:t>4</w:t>
      </w:r>
      <w:r>
        <w:rPr>
          <w:rFonts w:hint="eastAsia" w:ascii="宋体" w:hAnsi="宋体" w:cs="宋体"/>
          <w:color w:val="000000"/>
          <w:szCs w:val="21"/>
        </w:rPr>
        <w:t>L样品，其中检验样品不少于</w:t>
      </w:r>
      <w:r>
        <w:rPr>
          <w:rFonts w:hint="eastAsia" w:ascii="宋体" w:hAnsi="宋体" w:cs="宋体"/>
          <w:color w:val="000000"/>
          <w:szCs w:val="21"/>
          <w:lang w:val="en-US" w:eastAsia="zh-CN"/>
        </w:rPr>
        <w:t>2</w:t>
      </w:r>
      <w:r>
        <w:rPr>
          <w:rFonts w:hint="eastAsia" w:ascii="宋体" w:hAnsi="宋体" w:cs="宋体"/>
          <w:color w:val="000000"/>
          <w:szCs w:val="21"/>
        </w:rPr>
        <w:t>L，备用样品不少于2L，盛装在合适的容器中。</w:t>
      </w:r>
    </w:p>
    <w:p w14:paraId="12C91075">
      <w:pPr>
        <w:snapToGrid w:val="0"/>
        <w:spacing w:line="360" w:lineRule="auto"/>
        <w:jc w:val="left"/>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2 检验项目及检测方法</w:t>
      </w:r>
    </w:p>
    <w:p w14:paraId="4689260E">
      <w:pPr>
        <w:snapToGrid w:val="0"/>
        <w:spacing w:before="156" w:beforeLines="50" w:line="360" w:lineRule="auto"/>
        <w:ind w:firstLine="422" w:firstLineChars="200"/>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表1车用柴油产品检验项目</w:t>
      </w:r>
    </w:p>
    <w:tbl>
      <w:tblPr>
        <w:tblStyle w:val="10"/>
        <w:tblW w:w="727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723"/>
        <w:gridCol w:w="3915"/>
        <w:gridCol w:w="2641"/>
      </w:tblGrid>
      <w:tr w14:paraId="618DD80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tblHeader/>
          <w:jc w:val="center"/>
        </w:trPr>
        <w:tc>
          <w:tcPr>
            <w:tcW w:w="723" w:type="dxa"/>
            <w:vMerge w:val="restart"/>
            <w:vAlign w:val="center"/>
          </w:tcPr>
          <w:p w14:paraId="1685C0DA">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序号</w:t>
            </w:r>
          </w:p>
        </w:tc>
        <w:tc>
          <w:tcPr>
            <w:tcW w:w="3915" w:type="dxa"/>
            <w:vMerge w:val="restart"/>
            <w:vAlign w:val="center"/>
          </w:tcPr>
          <w:p w14:paraId="244435E7">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检验项目</w:t>
            </w:r>
          </w:p>
        </w:tc>
        <w:tc>
          <w:tcPr>
            <w:tcW w:w="2641" w:type="dxa"/>
            <w:vMerge w:val="restart"/>
            <w:vAlign w:val="center"/>
          </w:tcPr>
          <w:p w14:paraId="67D49610">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检验方法</w:t>
            </w:r>
          </w:p>
        </w:tc>
      </w:tr>
      <w:tr w14:paraId="19E276E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12" w:hRule="atLeast"/>
          <w:tblHeader/>
          <w:jc w:val="center"/>
        </w:trPr>
        <w:tc>
          <w:tcPr>
            <w:tcW w:w="723" w:type="dxa"/>
            <w:vMerge w:val="continue"/>
            <w:vAlign w:val="center"/>
          </w:tcPr>
          <w:p w14:paraId="19A553D2">
            <w:pPr>
              <w:snapToGrid w:val="0"/>
              <w:jc w:val="center"/>
              <w:rPr>
                <w:rFonts w:asciiTheme="minorEastAsia" w:hAnsiTheme="minorEastAsia" w:eastAsiaTheme="minorEastAsia" w:cstheme="minorEastAsia"/>
                <w:szCs w:val="21"/>
              </w:rPr>
            </w:pPr>
          </w:p>
        </w:tc>
        <w:tc>
          <w:tcPr>
            <w:tcW w:w="3915" w:type="dxa"/>
            <w:vMerge w:val="continue"/>
            <w:vAlign w:val="center"/>
          </w:tcPr>
          <w:p w14:paraId="768D5981">
            <w:pPr>
              <w:snapToGrid w:val="0"/>
              <w:jc w:val="center"/>
              <w:rPr>
                <w:rFonts w:asciiTheme="minorEastAsia" w:hAnsiTheme="minorEastAsia" w:eastAsiaTheme="minorEastAsia" w:cstheme="minorEastAsia"/>
                <w:szCs w:val="21"/>
              </w:rPr>
            </w:pPr>
          </w:p>
        </w:tc>
        <w:tc>
          <w:tcPr>
            <w:tcW w:w="2641" w:type="dxa"/>
            <w:vMerge w:val="continue"/>
            <w:vAlign w:val="center"/>
          </w:tcPr>
          <w:p w14:paraId="27AFAF3D">
            <w:pPr>
              <w:snapToGrid w:val="0"/>
              <w:jc w:val="center"/>
              <w:rPr>
                <w:rFonts w:asciiTheme="minorEastAsia" w:hAnsiTheme="minorEastAsia" w:eastAsiaTheme="minorEastAsia" w:cstheme="minorEastAsia"/>
                <w:szCs w:val="21"/>
              </w:rPr>
            </w:pPr>
          </w:p>
        </w:tc>
      </w:tr>
      <w:tr w14:paraId="7A4B46C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12" w:hRule="atLeast"/>
          <w:tblHeader/>
          <w:jc w:val="center"/>
        </w:trPr>
        <w:tc>
          <w:tcPr>
            <w:tcW w:w="723" w:type="dxa"/>
            <w:vAlign w:val="center"/>
          </w:tcPr>
          <w:p w14:paraId="7AA79467">
            <w:pPr>
              <w:snapToGrid w:val="0"/>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w:t>
            </w:r>
          </w:p>
        </w:tc>
        <w:tc>
          <w:tcPr>
            <w:tcW w:w="3915" w:type="dxa"/>
            <w:vAlign w:val="center"/>
          </w:tcPr>
          <w:p w14:paraId="377C3E5D">
            <w:pPr>
              <w:snapToGrid w:val="0"/>
              <w:jc w:val="center"/>
              <w:rPr>
                <w:rFonts w:asciiTheme="minorEastAsia" w:hAnsiTheme="minorEastAsia" w:eastAsiaTheme="minorEastAsia" w:cstheme="minorEastAsia"/>
                <w:szCs w:val="21"/>
              </w:rPr>
            </w:pPr>
            <w:r>
              <w:rPr>
                <w:spacing w:val="-1"/>
              </w:rPr>
              <w:t>硫含量</w:t>
            </w:r>
          </w:p>
        </w:tc>
        <w:tc>
          <w:tcPr>
            <w:tcW w:w="2641" w:type="dxa"/>
            <w:vAlign w:val="center"/>
          </w:tcPr>
          <w:p w14:paraId="1D5912B6">
            <w:pPr>
              <w:snapToGrid w:val="0"/>
              <w:jc w:val="center"/>
              <w:rPr>
                <w:rFonts w:asciiTheme="minorEastAsia" w:hAnsiTheme="minorEastAsia" w:eastAsiaTheme="minorEastAsia" w:cstheme="minorEastAsia"/>
                <w:szCs w:val="21"/>
              </w:rPr>
            </w:pPr>
            <w:r>
              <w:rPr>
                <w:rFonts w:hint="eastAsia" w:ascii="宋体" w:hAnsi="宋体" w:cs="宋体"/>
                <w:szCs w:val="21"/>
              </w:rPr>
              <w:t>GB19147</w:t>
            </w:r>
          </w:p>
        </w:tc>
      </w:tr>
      <w:tr w14:paraId="7D02BD0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12" w:hRule="atLeast"/>
          <w:tblHeader/>
          <w:jc w:val="center"/>
        </w:trPr>
        <w:tc>
          <w:tcPr>
            <w:tcW w:w="723" w:type="dxa"/>
            <w:vAlign w:val="center"/>
          </w:tcPr>
          <w:p w14:paraId="3794750D">
            <w:pPr>
              <w:snapToGrid w:val="0"/>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w:t>
            </w:r>
          </w:p>
        </w:tc>
        <w:tc>
          <w:tcPr>
            <w:tcW w:w="3915" w:type="dxa"/>
            <w:vAlign w:val="center"/>
          </w:tcPr>
          <w:p w14:paraId="76DCC728">
            <w:pPr>
              <w:snapToGrid w:val="0"/>
              <w:jc w:val="center"/>
              <w:rPr>
                <w:rFonts w:asciiTheme="minorEastAsia" w:hAnsiTheme="minorEastAsia" w:eastAsiaTheme="minorEastAsia" w:cstheme="minorEastAsia"/>
                <w:szCs w:val="21"/>
              </w:rPr>
            </w:pPr>
            <w:r>
              <w:rPr>
                <w:spacing w:val="-1"/>
              </w:rPr>
              <w:t>闪点</w:t>
            </w:r>
          </w:p>
        </w:tc>
        <w:tc>
          <w:tcPr>
            <w:tcW w:w="2641" w:type="dxa"/>
            <w:vAlign w:val="center"/>
          </w:tcPr>
          <w:p w14:paraId="589B108A">
            <w:pPr>
              <w:snapToGrid w:val="0"/>
              <w:jc w:val="center"/>
              <w:rPr>
                <w:rFonts w:asciiTheme="minorEastAsia" w:hAnsiTheme="minorEastAsia" w:eastAsiaTheme="minorEastAsia" w:cstheme="minorEastAsia"/>
                <w:szCs w:val="21"/>
              </w:rPr>
            </w:pPr>
            <w:r>
              <w:rPr>
                <w:rFonts w:hint="eastAsia" w:ascii="宋体" w:hAnsi="宋体" w:cs="宋体"/>
                <w:szCs w:val="21"/>
              </w:rPr>
              <w:t>GB19147</w:t>
            </w:r>
          </w:p>
        </w:tc>
      </w:tr>
      <w:tr w14:paraId="5B59E11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12" w:hRule="atLeast"/>
          <w:tblHeader/>
          <w:jc w:val="center"/>
        </w:trPr>
        <w:tc>
          <w:tcPr>
            <w:tcW w:w="723" w:type="dxa"/>
            <w:vAlign w:val="center"/>
          </w:tcPr>
          <w:p w14:paraId="375469F9">
            <w:pPr>
              <w:snapToGrid w:val="0"/>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3</w:t>
            </w:r>
          </w:p>
        </w:tc>
        <w:tc>
          <w:tcPr>
            <w:tcW w:w="3915" w:type="dxa"/>
            <w:vAlign w:val="center"/>
          </w:tcPr>
          <w:p w14:paraId="5A145CCD">
            <w:pPr>
              <w:snapToGrid w:val="0"/>
              <w:jc w:val="center"/>
              <w:rPr>
                <w:rFonts w:asciiTheme="minorEastAsia" w:hAnsiTheme="minorEastAsia" w:eastAsiaTheme="minorEastAsia" w:cstheme="minorEastAsia"/>
                <w:szCs w:val="21"/>
              </w:rPr>
            </w:pPr>
            <w:r>
              <w:rPr>
                <w:spacing w:val="-1"/>
              </w:rPr>
              <w:t>凝点</w:t>
            </w:r>
          </w:p>
        </w:tc>
        <w:tc>
          <w:tcPr>
            <w:tcW w:w="2641" w:type="dxa"/>
            <w:vAlign w:val="center"/>
          </w:tcPr>
          <w:p w14:paraId="682EE571">
            <w:pPr>
              <w:snapToGrid w:val="0"/>
              <w:jc w:val="center"/>
              <w:rPr>
                <w:rFonts w:asciiTheme="minorEastAsia" w:hAnsiTheme="minorEastAsia" w:eastAsiaTheme="minorEastAsia" w:cstheme="minorEastAsia"/>
                <w:szCs w:val="21"/>
              </w:rPr>
            </w:pPr>
            <w:r>
              <w:rPr>
                <w:rFonts w:hint="eastAsia" w:ascii="宋体" w:hAnsi="宋体" w:cs="宋体"/>
                <w:szCs w:val="21"/>
              </w:rPr>
              <w:t>GB19147</w:t>
            </w:r>
          </w:p>
        </w:tc>
      </w:tr>
      <w:tr w14:paraId="0DB463E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12" w:hRule="atLeast"/>
          <w:tblHeader/>
          <w:jc w:val="center"/>
        </w:trPr>
        <w:tc>
          <w:tcPr>
            <w:tcW w:w="723" w:type="dxa"/>
            <w:vAlign w:val="center"/>
          </w:tcPr>
          <w:p w14:paraId="3A1B869D">
            <w:pPr>
              <w:snapToGrid w:val="0"/>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4</w:t>
            </w:r>
          </w:p>
        </w:tc>
        <w:tc>
          <w:tcPr>
            <w:tcW w:w="3915" w:type="dxa"/>
            <w:vAlign w:val="center"/>
          </w:tcPr>
          <w:p w14:paraId="6497189E">
            <w:pPr>
              <w:snapToGrid w:val="0"/>
              <w:jc w:val="center"/>
              <w:rPr>
                <w:rFonts w:asciiTheme="minorEastAsia" w:hAnsiTheme="minorEastAsia" w:eastAsiaTheme="minorEastAsia" w:cstheme="minorEastAsia"/>
                <w:szCs w:val="21"/>
              </w:rPr>
            </w:pPr>
            <w:r>
              <w:rPr>
                <w:spacing w:val="-1"/>
              </w:rPr>
              <w:t>酸度</w:t>
            </w:r>
          </w:p>
        </w:tc>
        <w:tc>
          <w:tcPr>
            <w:tcW w:w="2641" w:type="dxa"/>
            <w:vAlign w:val="center"/>
          </w:tcPr>
          <w:p w14:paraId="09D2B26D">
            <w:pPr>
              <w:snapToGrid w:val="0"/>
              <w:jc w:val="center"/>
              <w:rPr>
                <w:rFonts w:asciiTheme="minorEastAsia" w:hAnsiTheme="minorEastAsia" w:eastAsiaTheme="minorEastAsia" w:cstheme="minorEastAsia"/>
                <w:szCs w:val="21"/>
              </w:rPr>
            </w:pPr>
            <w:r>
              <w:rPr>
                <w:rFonts w:hint="eastAsia" w:ascii="宋体" w:hAnsi="宋体" w:cs="宋体"/>
                <w:szCs w:val="21"/>
              </w:rPr>
              <w:t>GB19147</w:t>
            </w:r>
          </w:p>
        </w:tc>
      </w:tr>
      <w:tr w14:paraId="6501926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12" w:hRule="atLeast"/>
          <w:tblHeader/>
          <w:jc w:val="center"/>
        </w:trPr>
        <w:tc>
          <w:tcPr>
            <w:tcW w:w="723" w:type="dxa"/>
            <w:vAlign w:val="center"/>
          </w:tcPr>
          <w:p w14:paraId="780C16BE">
            <w:pPr>
              <w:snapToGrid w:val="0"/>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5</w:t>
            </w:r>
          </w:p>
        </w:tc>
        <w:tc>
          <w:tcPr>
            <w:tcW w:w="3915" w:type="dxa"/>
            <w:vAlign w:val="center"/>
          </w:tcPr>
          <w:p w14:paraId="10045B75">
            <w:pPr>
              <w:snapToGrid w:val="0"/>
              <w:jc w:val="center"/>
              <w:rPr>
                <w:rFonts w:asciiTheme="minorEastAsia" w:hAnsiTheme="minorEastAsia" w:eastAsiaTheme="minorEastAsia" w:cstheme="minorEastAsia"/>
                <w:szCs w:val="21"/>
              </w:rPr>
            </w:pPr>
            <w:r>
              <w:rPr>
                <w:spacing w:val="-1"/>
              </w:rPr>
              <w:t>铜片腐蚀</w:t>
            </w:r>
          </w:p>
        </w:tc>
        <w:tc>
          <w:tcPr>
            <w:tcW w:w="2641" w:type="dxa"/>
            <w:vAlign w:val="center"/>
          </w:tcPr>
          <w:p w14:paraId="79C0C098">
            <w:pPr>
              <w:snapToGrid w:val="0"/>
              <w:jc w:val="center"/>
              <w:rPr>
                <w:rFonts w:asciiTheme="minorEastAsia" w:hAnsiTheme="minorEastAsia" w:eastAsiaTheme="minorEastAsia" w:cstheme="minorEastAsia"/>
                <w:szCs w:val="21"/>
              </w:rPr>
            </w:pPr>
            <w:r>
              <w:rPr>
                <w:rFonts w:hint="eastAsia" w:ascii="宋体" w:hAnsi="宋体" w:cs="宋体"/>
                <w:szCs w:val="21"/>
              </w:rPr>
              <w:t>GB19147</w:t>
            </w:r>
          </w:p>
        </w:tc>
      </w:tr>
    </w:tbl>
    <w:p w14:paraId="308B577F">
      <w:pPr>
        <w:snapToGrid w:val="0"/>
        <w:spacing w:line="360" w:lineRule="auto"/>
        <w:ind w:firstLine="420" w:firstLineChars="200"/>
        <w:jc w:val="left"/>
        <w:rPr>
          <w:rFonts w:ascii="宋体" w:hAnsi="宋体" w:cs="宋体"/>
          <w:snapToGrid w:val="0"/>
        </w:rPr>
      </w:pPr>
      <w:r>
        <w:rPr>
          <w:rFonts w:hint="eastAsia" w:ascii="宋体" w:hAnsi="宋体" w:cs="宋体"/>
          <w:color w:val="000000"/>
          <w:szCs w:val="21"/>
        </w:rPr>
        <w:t>注：</w:t>
      </w:r>
      <w:r>
        <w:rPr>
          <w:rFonts w:hint="eastAsia" w:ascii="宋体" w:hAnsi="宋体" w:cs="宋体"/>
          <w:snapToGrid w:val="0"/>
        </w:rPr>
        <w:t>上表所列检验项目是有关法律法规、标准等规定的，重点涉及健康、安全、节能、环保以及消费者、有关组织反映有质量问题的重要项目。</w:t>
      </w:r>
    </w:p>
    <w:p w14:paraId="6CA86A64">
      <w:pPr>
        <w:snapToGrid w:val="0"/>
        <w:spacing w:line="360" w:lineRule="auto"/>
        <w:ind w:firstLine="420" w:firstLineChars="200"/>
        <w:jc w:val="left"/>
        <w:rPr>
          <w:rFonts w:ascii="宋体" w:hAnsi="宋体" w:cs="宋体"/>
          <w:color w:val="000000"/>
          <w:szCs w:val="21"/>
        </w:rPr>
      </w:pPr>
      <w:r>
        <w:rPr>
          <w:rFonts w:hint="eastAsia" w:ascii="宋体" w:hAnsi="宋体" w:cs="宋体"/>
          <w:snapToGrid w:val="0"/>
        </w:rPr>
        <w:t>执行企业标准、团体标准、地方标准的产品，检验项目参照上述内容执行。</w:t>
      </w:r>
    </w:p>
    <w:p w14:paraId="14067491">
      <w:pPr>
        <w:snapToGrid w:val="0"/>
        <w:spacing w:line="360" w:lineRule="auto"/>
        <w:ind w:firstLine="420" w:firstLineChars="200"/>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凡是注日期的文件，其随后所有的修改单（不包括勘误的内容）或修订版不适用于本规范。凡是不注日期的文件，其最新版本适用于本细则。</w:t>
      </w:r>
    </w:p>
    <w:p w14:paraId="1F4109F1">
      <w:pPr>
        <w:snapToGrid w:val="0"/>
        <w:spacing w:line="360" w:lineRule="auto"/>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3 判定规则</w:t>
      </w:r>
    </w:p>
    <w:p w14:paraId="1D271D12">
      <w:pPr>
        <w:snapToGrid w:val="0"/>
        <w:spacing w:line="360" w:lineRule="auto"/>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3.1标准依据</w:t>
      </w:r>
    </w:p>
    <w:p w14:paraId="00931010">
      <w:pPr>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GB 19147  车用柴油</w:t>
      </w:r>
    </w:p>
    <w:p w14:paraId="24DBE518">
      <w:pPr>
        <w:snapToGrid w:val="0"/>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相关的法律、行政法规、部门规章、规范性文件</w:t>
      </w:r>
    </w:p>
    <w:p w14:paraId="22F094CD">
      <w:pPr>
        <w:snapToGrid w:val="0"/>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现行有效的企业标准、团体标准、地方标准及产品明示质量要求</w:t>
      </w:r>
    </w:p>
    <w:p w14:paraId="02893B9B">
      <w:pPr>
        <w:snapToGrid w:val="0"/>
        <w:spacing w:line="360" w:lineRule="auto"/>
        <w:rPr>
          <w:rFonts w:ascii="宋体" w:hAnsi="宋体" w:cs="宋体"/>
          <w:color w:val="000000"/>
          <w:szCs w:val="21"/>
        </w:rPr>
      </w:pPr>
      <w:r>
        <w:rPr>
          <w:rFonts w:hint="eastAsia" w:ascii="宋体" w:hAnsi="宋体" w:cs="宋体"/>
          <w:color w:val="000000"/>
          <w:szCs w:val="21"/>
        </w:rPr>
        <w:t>3.2判定原则</w:t>
      </w:r>
    </w:p>
    <w:p w14:paraId="65C04AD6">
      <w:pPr>
        <w:snapToGrid w:val="0"/>
        <w:spacing w:line="360" w:lineRule="auto"/>
        <w:ind w:firstLine="420" w:firstLineChars="200"/>
        <w:rPr>
          <w:rFonts w:ascii="宋体" w:hAnsi="宋体" w:cs="宋体"/>
          <w:color w:val="000000"/>
          <w:szCs w:val="21"/>
        </w:rPr>
      </w:pPr>
      <w:r>
        <w:rPr>
          <w:rFonts w:hint="eastAsia" w:ascii="宋体" w:hAnsi="宋体" w:cs="宋体"/>
          <w:color w:val="000000"/>
          <w:szCs w:val="21"/>
        </w:rPr>
        <w:t>经检验，检验项目全部合格，判定为被抽查产品所检项目未发现不合格；检验项目中任一项或一项以上不合格，判定为被抽查产品不合格。</w:t>
      </w:r>
    </w:p>
    <w:p w14:paraId="1D03EBAB">
      <w:pPr>
        <w:snapToGrid w:val="0"/>
        <w:spacing w:line="360" w:lineRule="auto"/>
        <w:ind w:firstLine="420" w:firstLineChars="200"/>
        <w:rPr>
          <w:rFonts w:ascii="宋体" w:hAnsi="宋体" w:cs="宋体"/>
          <w:color w:val="000000"/>
          <w:szCs w:val="21"/>
        </w:rPr>
      </w:pPr>
      <w:r>
        <w:rPr>
          <w:rFonts w:hint="eastAsia" w:ascii="宋体" w:hAnsi="宋体" w:cs="宋体"/>
          <w:color w:val="000000"/>
          <w:szCs w:val="21"/>
        </w:rPr>
        <w:t>若被检产品明示的质量要求高于本细则中检验项目依据的标准要求时，应按被检产品明示的质量要求判定。</w:t>
      </w:r>
    </w:p>
    <w:p w14:paraId="3A74D1D8">
      <w:pPr>
        <w:snapToGrid w:val="0"/>
        <w:spacing w:line="360" w:lineRule="auto"/>
        <w:ind w:firstLine="420" w:firstLineChars="200"/>
        <w:rPr>
          <w:rFonts w:ascii="宋体" w:hAnsi="宋体" w:cs="宋体"/>
          <w:color w:val="000000"/>
          <w:szCs w:val="21"/>
        </w:rPr>
      </w:pPr>
      <w:r>
        <w:rPr>
          <w:rFonts w:hint="eastAsia" w:ascii="宋体" w:hAnsi="宋体" w:cs="宋体"/>
          <w:color w:val="000000"/>
          <w:szCs w:val="21"/>
        </w:rPr>
        <w:t>若被检产品明示的质量要求低于本细则中检验项目依据的强制性标准要求时，应按照强制性标准要求判定</w:t>
      </w:r>
      <w:r>
        <w:rPr>
          <w:rFonts w:hint="eastAsia" w:ascii="宋体" w:hAnsi="宋体"/>
          <w:color w:val="000000"/>
          <w:szCs w:val="21"/>
        </w:rPr>
        <w:t>。</w:t>
      </w:r>
    </w:p>
    <w:p w14:paraId="2EA31354">
      <w:pPr>
        <w:snapToGrid w:val="0"/>
        <w:spacing w:line="360" w:lineRule="auto"/>
        <w:ind w:firstLine="420" w:firstLineChars="200"/>
        <w:rPr>
          <w:rFonts w:ascii="宋体" w:hAnsi="宋体" w:cs="宋体"/>
          <w:color w:val="000000"/>
          <w:szCs w:val="21"/>
        </w:rPr>
      </w:pPr>
      <w:r>
        <w:rPr>
          <w:rFonts w:hint="eastAsia" w:ascii="宋体" w:hAnsi="宋体" w:cs="宋体"/>
          <w:color w:val="000000"/>
          <w:szCs w:val="21"/>
        </w:rPr>
        <w:t>若被检产品明示的质量要求低于或包含本细则中检验项目依据的推荐性标准要求时，应以被检产品明示的质量要求判定，但应在检验报告备注中进行说明。</w:t>
      </w:r>
    </w:p>
    <w:p w14:paraId="41293869">
      <w:pPr>
        <w:snapToGrid w:val="0"/>
        <w:spacing w:line="360" w:lineRule="auto"/>
        <w:ind w:firstLine="420" w:firstLineChars="200"/>
        <w:rPr>
          <w:rFonts w:ascii="宋体" w:hAnsi="宋体" w:cs="宋体"/>
          <w:color w:val="000000"/>
          <w:szCs w:val="21"/>
        </w:rPr>
      </w:pPr>
      <w:r>
        <w:rPr>
          <w:rFonts w:hint="eastAsia" w:ascii="宋体" w:hAnsi="宋体" w:cs="宋体"/>
          <w:color w:val="000000"/>
          <w:szCs w:val="21"/>
        </w:rPr>
        <w:t>若被检产品明示的质量要求缺少本细则中检验项目依据的强制性标准要求时，应按照强制性标准要求判定。</w:t>
      </w:r>
    </w:p>
    <w:p w14:paraId="6565E524">
      <w:pPr>
        <w:snapToGrid w:val="0"/>
        <w:spacing w:line="360" w:lineRule="auto"/>
        <w:ind w:firstLine="420" w:firstLineChars="200"/>
        <w:rPr>
          <w:rFonts w:ascii="宋体" w:hAnsi="宋体" w:cs="宋体"/>
          <w:color w:val="000000"/>
          <w:szCs w:val="21"/>
        </w:rPr>
      </w:pPr>
      <w:r>
        <w:rPr>
          <w:rFonts w:hint="eastAsia" w:ascii="宋体" w:hAnsi="宋体" w:cs="宋体"/>
          <w:color w:val="000000"/>
          <w:szCs w:val="21"/>
        </w:rPr>
        <w:t>若被检产品明示的质量要求缺少本细则中检验项目依据的推荐性标准要求时，该项目不参与判定，但应在检验报告备注中进行说明。</w:t>
      </w:r>
    </w:p>
    <w:p w14:paraId="11147D7B">
      <w:pPr>
        <w:snapToGrid w:val="0"/>
        <w:spacing w:line="360" w:lineRule="auto"/>
        <w:rPr>
          <w:rFonts w:ascii="宋体" w:hAnsi="宋体" w:cs="宋体"/>
          <w:b/>
          <w:bCs/>
          <w:color w:val="000000"/>
          <w:szCs w:val="21"/>
        </w:rPr>
      </w:pPr>
      <w:r>
        <w:rPr>
          <w:rFonts w:hint="eastAsia" w:asciiTheme="majorEastAsia" w:hAnsiTheme="majorEastAsia" w:eastAsiaTheme="majorEastAsia" w:cstheme="majorEastAsia"/>
          <w:b/>
          <w:bCs/>
          <w:color w:val="000000"/>
          <w:szCs w:val="21"/>
        </w:rPr>
        <w:t>4 异议复检</w:t>
      </w:r>
      <w:r>
        <w:rPr>
          <w:rFonts w:ascii="宋体" w:hAnsi="宋体" w:cs="宋体"/>
          <w:b/>
          <w:bCs/>
          <w:color w:val="000000"/>
          <w:szCs w:val="21"/>
        </w:rPr>
        <w:t xml:space="preserve"> </w:t>
      </w:r>
    </w:p>
    <w:p w14:paraId="5A1EA4A2">
      <w:pPr>
        <w:snapToGrid w:val="0"/>
        <w:spacing w:line="360" w:lineRule="auto"/>
        <w:ind w:firstLine="420" w:firstLineChars="200"/>
        <w:rPr>
          <w:rFonts w:ascii="宋体" w:hAnsi="宋体" w:cs="宋体"/>
          <w:b/>
          <w:color w:val="000000" w:themeColor="text1"/>
          <w:szCs w:val="21"/>
          <w14:textFill>
            <w14:solidFill>
              <w14:schemeClr w14:val="tx1"/>
            </w14:solidFill>
          </w14:textFill>
        </w:rPr>
      </w:pPr>
      <w:r>
        <w:rPr>
          <w:rFonts w:hint="eastAsia" w:ascii="宋体" w:hAnsi="宋体"/>
          <w:color w:val="000000"/>
          <w:szCs w:val="21"/>
        </w:rPr>
        <w:t>本细则中确定的全部检验项目，采用备用样品进行复检。</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50309858"/>
    </w:sdtPr>
    <w:sdtContent>
      <w:p w14:paraId="4B622B74">
        <w:pPr>
          <w:pStyle w:val="7"/>
          <w:jc w:val="center"/>
        </w:pPr>
        <w:r>
          <w:fldChar w:fldCharType="begin"/>
        </w:r>
        <w:r>
          <w:instrText xml:space="preserve">PAGE   \* MERGEFORMAT</w:instrText>
        </w:r>
        <w:r>
          <w:fldChar w:fldCharType="separate"/>
        </w:r>
        <w:r>
          <w:rPr>
            <w:lang w:val="zh-CN"/>
          </w:rPr>
          <w:t>1</w:t>
        </w:r>
        <w:r>
          <w:fldChar w:fldCharType="end"/>
        </w:r>
      </w:p>
    </w:sdtContent>
  </w:sdt>
  <w:p w14:paraId="1029D01E">
    <w:pPr>
      <w:pStyle w:val="7"/>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B808B3">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jMjJlMzU0ZGRlMDJhZjMzNmY1MjcyMzgwNDM3MDEifQ=="/>
  </w:docVars>
  <w:rsids>
    <w:rsidRoot w:val="00172A27"/>
    <w:rsid w:val="0000105F"/>
    <w:rsid w:val="0000190D"/>
    <w:rsid w:val="000023EB"/>
    <w:rsid w:val="00006A6B"/>
    <w:rsid w:val="00013CA2"/>
    <w:rsid w:val="00027F43"/>
    <w:rsid w:val="00043975"/>
    <w:rsid w:val="00044F76"/>
    <w:rsid w:val="00063D84"/>
    <w:rsid w:val="000A7BC0"/>
    <w:rsid w:val="000F1F14"/>
    <w:rsid w:val="000F29A8"/>
    <w:rsid w:val="00110983"/>
    <w:rsid w:val="0011401E"/>
    <w:rsid w:val="0012489D"/>
    <w:rsid w:val="0014415E"/>
    <w:rsid w:val="00157B83"/>
    <w:rsid w:val="001604BD"/>
    <w:rsid w:val="00172A27"/>
    <w:rsid w:val="00176589"/>
    <w:rsid w:val="001B6251"/>
    <w:rsid w:val="001C6EDA"/>
    <w:rsid w:val="001D086B"/>
    <w:rsid w:val="001E2771"/>
    <w:rsid w:val="001E519A"/>
    <w:rsid w:val="002117EB"/>
    <w:rsid w:val="00217329"/>
    <w:rsid w:val="002177EF"/>
    <w:rsid w:val="00221BFC"/>
    <w:rsid w:val="00222D0E"/>
    <w:rsid w:val="00231EDA"/>
    <w:rsid w:val="00232870"/>
    <w:rsid w:val="0024530B"/>
    <w:rsid w:val="00287A5F"/>
    <w:rsid w:val="00290F73"/>
    <w:rsid w:val="002957C9"/>
    <w:rsid w:val="002B4FF5"/>
    <w:rsid w:val="002B6531"/>
    <w:rsid w:val="002C7C7C"/>
    <w:rsid w:val="002D6E1D"/>
    <w:rsid w:val="002F0916"/>
    <w:rsid w:val="00302A56"/>
    <w:rsid w:val="00320882"/>
    <w:rsid w:val="00322282"/>
    <w:rsid w:val="00340C03"/>
    <w:rsid w:val="0034770E"/>
    <w:rsid w:val="00347B7B"/>
    <w:rsid w:val="003713EB"/>
    <w:rsid w:val="00391A12"/>
    <w:rsid w:val="003973A7"/>
    <w:rsid w:val="003C0A00"/>
    <w:rsid w:val="003C55B6"/>
    <w:rsid w:val="00400007"/>
    <w:rsid w:val="00402A48"/>
    <w:rsid w:val="00415D1D"/>
    <w:rsid w:val="00416E33"/>
    <w:rsid w:val="00417416"/>
    <w:rsid w:val="00447AD8"/>
    <w:rsid w:val="00461A4A"/>
    <w:rsid w:val="00473EE7"/>
    <w:rsid w:val="00477B79"/>
    <w:rsid w:val="00481A7F"/>
    <w:rsid w:val="00483743"/>
    <w:rsid w:val="00495A77"/>
    <w:rsid w:val="004C26C7"/>
    <w:rsid w:val="004C7311"/>
    <w:rsid w:val="004D3196"/>
    <w:rsid w:val="004E07C5"/>
    <w:rsid w:val="004E0BCD"/>
    <w:rsid w:val="0050340B"/>
    <w:rsid w:val="00536C6B"/>
    <w:rsid w:val="00547314"/>
    <w:rsid w:val="00560596"/>
    <w:rsid w:val="00570443"/>
    <w:rsid w:val="00571573"/>
    <w:rsid w:val="00591370"/>
    <w:rsid w:val="00593B9E"/>
    <w:rsid w:val="005A117F"/>
    <w:rsid w:val="005B5DC3"/>
    <w:rsid w:val="005D1263"/>
    <w:rsid w:val="005D3471"/>
    <w:rsid w:val="005F0F64"/>
    <w:rsid w:val="006121A5"/>
    <w:rsid w:val="00613995"/>
    <w:rsid w:val="00623093"/>
    <w:rsid w:val="0063607B"/>
    <w:rsid w:val="0066286F"/>
    <w:rsid w:val="00667667"/>
    <w:rsid w:val="00682920"/>
    <w:rsid w:val="006B7A34"/>
    <w:rsid w:val="00712B00"/>
    <w:rsid w:val="0071471A"/>
    <w:rsid w:val="00757673"/>
    <w:rsid w:val="00782905"/>
    <w:rsid w:val="007919D2"/>
    <w:rsid w:val="00793E43"/>
    <w:rsid w:val="00794E40"/>
    <w:rsid w:val="007C10F3"/>
    <w:rsid w:val="007C3737"/>
    <w:rsid w:val="007D4C06"/>
    <w:rsid w:val="007F1B1E"/>
    <w:rsid w:val="007F3C9A"/>
    <w:rsid w:val="00802BCB"/>
    <w:rsid w:val="00806106"/>
    <w:rsid w:val="008074C0"/>
    <w:rsid w:val="00836B1E"/>
    <w:rsid w:val="00853B7D"/>
    <w:rsid w:val="008549A8"/>
    <w:rsid w:val="0086705B"/>
    <w:rsid w:val="008A128E"/>
    <w:rsid w:val="008A63EE"/>
    <w:rsid w:val="008C649C"/>
    <w:rsid w:val="008C7A37"/>
    <w:rsid w:val="008F083D"/>
    <w:rsid w:val="009060C5"/>
    <w:rsid w:val="0091157B"/>
    <w:rsid w:val="00914796"/>
    <w:rsid w:val="0092089C"/>
    <w:rsid w:val="009231AD"/>
    <w:rsid w:val="00923FAB"/>
    <w:rsid w:val="0094764D"/>
    <w:rsid w:val="00950E9E"/>
    <w:rsid w:val="0095455B"/>
    <w:rsid w:val="00963ACC"/>
    <w:rsid w:val="0096762A"/>
    <w:rsid w:val="0098227F"/>
    <w:rsid w:val="009C5099"/>
    <w:rsid w:val="00A07534"/>
    <w:rsid w:val="00A210F7"/>
    <w:rsid w:val="00A214F2"/>
    <w:rsid w:val="00A308B7"/>
    <w:rsid w:val="00A544AE"/>
    <w:rsid w:val="00A60CC4"/>
    <w:rsid w:val="00A61FC5"/>
    <w:rsid w:val="00A63A52"/>
    <w:rsid w:val="00A7138C"/>
    <w:rsid w:val="00A84D4A"/>
    <w:rsid w:val="00AA7C79"/>
    <w:rsid w:val="00AC1121"/>
    <w:rsid w:val="00AC317E"/>
    <w:rsid w:val="00AD5512"/>
    <w:rsid w:val="00AE54E9"/>
    <w:rsid w:val="00AE6C07"/>
    <w:rsid w:val="00AF3FDC"/>
    <w:rsid w:val="00AF4C0C"/>
    <w:rsid w:val="00B00EC8"/>
    <w:rsid w:val="00B1065D"/>
    <w:rsid w:val="00B13300"/>
    <w:rsid w:val="00B32C26"/>
    <w:rsid w:val="00B335BE"/>
    <w:rsid w:val="00B4120C"/>
    <w:rsid w:val="00B41A10"/>
    <w:rsid w:val="00B6182B"/>
    <w:rsid w:val="00B66133"/>
    <w:rsid w:val="00B8242E"/>
    <w:rsid w:val="00B85956"/>
    <w:rsid w:val="00B96DD8"/>
    <w:rsid w:val="00BA148F"/>
    <w:rsid w:val="00BB4C6A"/>
    <w:rsid w:val="00BD2B5E"/>
    <w:rsid w:val="00BF3569"/>
    <w:rsid w:val="00BF4D5E"/>
    <w:rsid w:val="00C21B0D"/>
    <w:rsid w:val="00C22747"/>
    <w:rsid w:val="00C23FB4"/>
    <w:rsid w:val="00C32B5E"/>
    <w:rsid w:val="00C34007"/>
    <w:rsid w:val="00C415F0"/>
    <w:rsid w:val="00C444FA"/>
    <w:rsid w:val="00C63FF1"/>
    <w:rsid w:val="00CD52F0"/>
    <w:rsid w:val="00CF4EDC"/>
    <w:rsid w:val="00CF6F40"/>
    <w:rsid w:val="00D02787"/>
    <w:rsid w:val="00D15662"/>
    <w:rsid w:val="00D224E8"/>
    <w:rsid w:val="00D43125"/>
    <w:rsid w:val="00D516D1"/>
    <w:rsid w:val="00D61FC9"/>
    <w:rsid w:val="00D73865"/>
    <w:rsid w:val="00D87BF2"/>
    <w:rsid w:val="00DA5651"/>
    <w:rsid w:val="00DB7714"/>
    <w:rsid w:val="00DE15AD"/>
    <w:rsid w:val="00DF6228"/>
    <w:rsid w:val="00E0035A"/>
    <w:rsid w:val="00E15F0C"/>
    <w:rsid w:val="00E20E77"/>
    <w:rsid w:val="00E275AE"/>
    <w:rsid w:val="00E317CB"/>
    <w:rsid w:val="00E42FC0"/>
    <w:rsid w:val="00E95C94"/>
    <w:rsid w:val="00E977A1"/>
    <w:rsid w:val="00EA35E0"/>
    <w:rsid w:val="00EB0AC4"/>
    <w:rsid w:val="00EB5D22"/>
    <w:rsid w:val="00EC7190"/>
    <w:rsid w:val="00ED28E6"/>
    <w:rsid w:val="00ED751F"/>
    <w:rsid w:val="00EE7E8F"/>
    <w:rsid w:val="00EF0A09"/>
    <w:rsid w:val="00EF0CD4"/>
    <w:rsid w:val="00EF6F2F"/>
    <w:rsid w:val="00F00F00"/>
    <w:rsid w:val="00F11770"/>
    <w:rsid w:val="00F21395"/>
    <w:rsid w:val="00F215F6"/>
    <w:rsid w:val="00F42B19"/>
    <w:rsid w:val="00F50970"/>
    <w:rsid w:val="00F77D24"/>
    <w:rsid w:val="00F813C3"/>
    <w:rsid w:val="00FC354F"/>
    <w:rsid w:val="00FE0064"/>
    <w:rsid w:val="015071AC"/>
    <w:rsid w:val="021D3576"/>
    <w:rsid w:val="023E3509"/>
    <w:rsid w:val="023E4D45"/>
    <w:rsid w:val="02C915A2"/>
    <w:rsid w:val="02F159CC"/>
    <w:rsid w:val="03685D29"/>
    <w:rsid w:val="0414544A"/>
    <w:rsid w:val="043E0A9B"/>
    <w:rsid w:val="046E59DE"/>
    <w:rsid w:val="059312A7"/>
    <w:rsid w:val="05E6469D"/>
    <w:rsid w:val="05F96FD0"/>
    <w:rsid w:val="06290D0F"/>
    <w:rsid w:val="06C659EA"/>
    <w:rsid w:val="07B3376B"/>
    <w:rsid w:val="08495099"/>
    <w:rsid w:val="08847D7A"/>
    <w:rsid w:val="08BF18AD"/>
    <w:rsid w:val="092B7FA6"/>
    <w:rsid w:val="09836DEC"/>
    <w:rsid w:val="0A1E4E03"/>
    <w:rsid w:val="0A5567E0"/>
    <w:rsid w:val="0AD07B18"/>
    <w:rsid w:val="0AFF175C"/>
    <w:rsid w:val="0C0A4C3C"/>
    <w:rsid w:val="0DDA4FE8"/>
    <w:rsid w:val="0E8E3A88"/>
    <w:rsid w:val="0EB61225"/>
    <w:rsid w:val="0EC4525E"/>
    <w:rsid w:val="107041BB"/>
    <w:rsid w:val="10917004"/>
    <w:rsid w:val="12247F0B"/>
    <w:rsid w:val="128606BC"/>
    <w:rsid w:val="13500E40"/>
    <w:rsid w:val="13E27985"/>
    <w:rsid w:val="14440D71"/>
    <w:rsid w:val="1479610D"/>
    <w:rsid w:val="14D2466F"/>
    <w:rsid w:val="15703271"/>
    <w:rsid w:val="162953CC"/>
    <w:rsid w:val="16F94C2D"/>
    <w:rsid w:val="177834BD"/>
    <w:rsid w:val="17E74F54"/>
    <w:rsid w:val="17FB0BB6"/>
    <w:rsid w:val="193E0448"/>
    <w:rsid w:val="19A14A9F"/>
    <w:rsid w:val="19D55D76"/>
    <w:rsid w:val="1B230956"/>
    <w:rsid w:val="1B5A0D73"/>
    <w:rsid w:val="1BF652B3"/>
    <w:rsid w:val="1C083406"/>
    <w:rsid w:val="1C8A1399"/>
    <w:rsid w:val="1D60394C"/>
    <w:rsid w:val="1E9B1903"/>
    <w:rsid w:val="1EEA015D"/>
    <w:rsid w:val="1F00613C"/>
    <w:rsid w:val="1F5D2C25"/>
    <w:rsid w:val="1FB278AE"/>
    <w:rsid w:val="1FF71F26"/>
    <w:rsid w:val="214C62A1"/>
    <w:rsid w:val="21DC13D3"/>
    <w:rsid w:val="222B63EC"/>
    <w:rsid w:val="22F71CC2"/>
    <w:rsid w:val="244A2AD6"/>
    <w:rsid w:val="256040C9"/>
    <w:rsid w:val="26275E9D"/>
    <w:rsid w:val="2743378F"/>
    <w:rsid w:val="274A4617"/>
    <w:rsid w:val="27D525C3"/>
    <w:rsid w:val="28AD5C41"/>
    <w:rsid w:val="28B83FE1"/>
    <w:rsid w:val="29253660"/>
    <w:rsid w:val="292D47D3"/>
    <w:rsid w:val="2AA80596"/>
    <w:rsid w:val="2C37665E"/>
    <w:rsid w:val="2D797690"/>
    <w:rsid w:val="2E652DD9"/>
    <w:rsid w:val="2F420A1A"/>
    <w:rsid w:val="2F5916D2"/>
    <w:rsid w:val="2F8A2A81"/>
    <w:rsid w:val="2FE16F3E"/>
    <w:rsid w:val="2FE928FB"/>
    <w:rsid w:val="30394C58"/>
    <w:rsid w:val="30493FC3"/>
    <w:rsid w:val="31087FCE"/>
    <w:rsid w:val="31833929"/>
    <w:rsid w:val="319A623C"/>
    <w:rsid w:val="331A749D"/>
    <w:rsid w:val="334F7908"/>
    <w:rsid w:val="34234D7E"/>
    <w:rsid w:val="342E5131"/>
    <w:rsid w:val="34BF45E4"/>
    <w:rsid w:val="35230DEE"/>
    <w:rsid w:val="35426038"/>
    <w:rsid w:val="354B2D72"/>
    <w:rsid w:val="361A1821"/>
    <w:rsid w:val="3658134B"/>
    <w:rsid w:val="368B398A"/>
    <w:rsid w:val="36DA361F"/>
    <w:rsid w:val="36DF100F"/>
    <w:rsid w:val="381A7F0E"/>
    <w:rsid w:val="384421C7"/>
    <w:rsid w:val="38777F57"/>
    <w:rsid w:val="389F22BD"/>
    <w:rsid w:val="3939162E"/>
    <w:rsid w:val="399436D2"/>
    <w:rsid w:val="3AD16BB2"/>
    <w:rsid w:val="3B740E45"/>
    <w:rsid w:val="3BEE4497"/>
    <w:rsid w:val="3C6A1584"/>
    <w:rsid w:val="3C742F42"/>
    <w:rsid w:val="3D3E2DFF"/>
    <w:rsid w:val="3E8B2E1A"/>
    <w:rsid w:val="41C64994"/>
    <w:rsid w:val="424E557E"/>
    <w:rsid w:val="427778BF"/>
    <w:rsid w:val="42EE55DA"/>
    <w:rsid w:val="437E4E1B"/>
    <w:rsid w:val="438A114D"/>
    <w:rsid w:val="442424D0"/>
    <w:rsid w:val="449F3A35"/>
    <w:rsid w:val="44CC07F7"/>
    <w:rsid w:val="4505119D"/>
    <w:rsid w:val="45486D02"/>
    <w:rsid w:val="461048F2"/>
    <w:rsid w:val="4685178A"/>
    <w:rsid w:val="47076B93"/>
    <w:rsid w:val="47A00974"/>
    <w:rsid w:val="47FE5D72"/>
    <w:rsid w:val="4801572B"/>
    <w:rsid w:val="483A7E86"/>
    <w:rsid w:val="487C167B"/>
    <w:rsid w:val="489E4AC3"/>
    <w:rsid w:val="48A573C0"/>
    <w:rsid w:val="49967E95"/>
    <w:rsid w:val="4A1C20C6"/>
    <w:rsid w:val="4B367E59"/>
    <w:rsid w:val="4B7818BD"/>
    <w:rsid w:val="4BFB0F01"/>
    <w:rsid w:val="4C1904B3"/>
    <w:rsid w:val="4CC116E4"/>
    <w:rsid w:val="4CCC79FA"/>
    <w:rsid w:val="4CCF13DC"/>
    <w:rsid w:val="4CDE4864"/>
    <w:rsid w:val="4D5066DC"/>
    <w:rsid w:val="4D614DDD"/>
    <w:rsid w:val="4DB25E87"/>
    <w:rsid w:val="4E3866D3"/>
    <w:rsid w:val="4EA66F0E"/>
    <w:rsid w:val="4F0B3B0C"/>
    <w:rsid w:val="4F0F7445"/>
    <w:rsid w:val="4FB13A0E"/>
    <w:rsid w:val="50055D2C"/>
    <w:rsid w:val="50A93EB6"/>
    <w:rsid w:val="50AE1855"/>
    <w:rsid w:val="50F35D0F"/>
    <w:rsid w:val="51510C9A"/>
    <w:rsid w:val="51594871"/>
    <w:rsid w:val="52595B94"/>
    <w:rsid w:val="53104759"/>
    <w:rsid w:val="564409CB"/>
    <w:rsid w:val="569F476B"/>
    <w:rsid w:val="57E874B8"/>
    <w:rsid w:val="58CA5BBC"/>
    <w:rsid w:val="59CA327F"/>
    <w:rsid w:val="5B474F2E"/>
    <w:rsid w:val="5B92711B"/>
    <w:rsid w:val="5BE90DCD"/>
    <w:rsid w:val="5C330394"/>
    <w:rsid w:val="5C381321"/>
    <w:rsid w:val="5C8E4BC2"/>
    <w:rsid w:val="5CF47B6B"/>
    <w:rsid w:val="5D1135FA"/>
    <w:rsid w:val="5D222140"/>
    <w:rsid w:val="5D8D11F8"/>
    <w:rsid w:val="5DF13092"/>
    <w:rsid w:val="5E0D180A"/>
    <w:rsid w:val="5EBB713E"/>
    <w:rsid w:val="5F02609D"/>
    <w:rsid w:val="5FAF7B77"/>
    <w:rsid w:val="6007196F"/>
    <w:rsid w:val="6461079E"/>
    <w:rsid w:val="64C22155"/>
    <w:rsid w:val="64DB6A64"/>
    <w:rsid w:val="64E16B15"/>
    <w:rsid w:val="6539513C"/>
    <w:rsid w:val="66FD119D"/>
    <w:rsid w:val="67844CE5"/>
    <w:rsid w:val="67A77FF1"/>
    <w:rsid w:val="685A353A"/>
    <w:rsid w:val="69F53B21"/>
    <w:rsid w:val="6A361EE2"/>
    <w:rsid w:val="6A9D6DFB"/>
    <w:rsid w:val="6AB1250A"/>
    <w:rsid w:val="6B4E692B"/>
    <w:rsid w:val="6BB602B0"/>
    <w:rsid w:val="6C951B8C"/>
    <w:rsid w:val="6CE84DA0"/>
    <w:rsid w:val="6CFD2CD9"/>
    <w:rsid w:val="6F7D0CC8"/>
    <w:rsid w:val="704339D9"/>
    <w:rsid w:val="704954B9"/>
    <w:rsid w:val="705B4626"/>
    <w:rsid w:val="727D5665"/>
    <w:rsid w:val="72B177A2"/>
    <w:rsid w:val="73450FE4"/>
    <w:rsid w:val="7369636C"/>
    <w:rsid w:val="73F016E2"/>
    <w:rsid w:val="74BB5569"/>
    <w:rsid w:val="74D96536"/>
    <w:rsid w:val="75625679"/>
    <w:rsid w:val="75E7018C"/>
    <w:rsid w:val="76530DD9"/>
    <w:rsid w:val="76BE2766"/>
    <w:rsid w:val="76DB1615"/>
    <w:rsid w:val="770B21DD"/>
    <w:rsid w:val="7780276B"/>
    <w:rsid w:val="77D61D38"/>
    <w:rsid w:val="77DF3136"/>
    <w:rsid w:val="77E32046"/>
    <w:rsid w:val="78B337D2"/>
    <w:rsid w:val="7904460D"/>
    <w:rsid w:val="7A620417"/>
    <w:rsid w:val="7AC3454B"/>
    <w:rsid w:val="7AD24297"/>
    <w:rsid w:val="7B8A1C6E"/>
    <w:rsid w:val="7B942DC9"/>
    <w:rsid w:val="7BB73A59"/>
    <w:rsid w:val="7C9C2EEA"/>
    <w:rsid w:val="7CBB40C6"/>
    <w:rsid w:val="7D005B71"/>
    <w:rsid w:val="7DE755C5"/>
    <w:rsid w:val="7E45528A"/>
    <w:rsid w:val="7E543B9E"/>
    <w:rsid w:val="7F12321E"/>
    <w:rsid w:val="7F3631C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iPriority="99"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spacing w:beforeAutospacing="1"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99"/>
    <w:pPr>
      <w:jc w:val="left"/>
    </w:pPr>
  </w:style>
  <w:style w:type="paragraph" w:styleId="4">
    <w:name w:val="Body Text Indent"/>
    <w:basedOn w:val="1"/>
    <w:link w:val="20"/>
    <w:qFormat/>
    <w:uiPriority w:val="0"/>
    <w:pPr>
      <w:ind w:firstLine="600" w:firstLineChars="200"/>
    </w:pPr>
    <w:rPr>
      <w:rFonts w:ascii="Times New Roman" w:hAnsi="Times New Roman" w:eastAsia="仿宋_GB2312"/>
      <w:sz w:val="30"/>
      <w:szCs w:val="24"/>
    </w:rPr>
  </w:style>
  <w:style w:type="paragraph" w:styleId="5">
    <w:name w:val="Plain Text"/>
    <w:basedOn w:val="1"/>
    <w:link w:val="14"/>
    <w:semiHidden/>
    <w:unhideWhenUsed/>
    <w:qFormat/>
    <w:uiPriority w:val="99"/>
    <w:rPr>
      <w:rFonts w:ascii="宋体" w:hAnsi="Courier New"/>
      <w:kern w:val="0"/>
      <w:sz w:val="20"/>
      <w:szCs w:val="20"/>
    </w:rPr>
  </w:style>
  <w:style w:type="paragraph" w:styleId="6">
    <w:name w:val="Balloon Text"/>
    <w:basedOn w:val="1"/>
    <w:link w:val="23"/>
    <w:semiHidden/>
    <w:unhideWhenUsed/>
    <w:qFormat/>
    <w:uiPriority w:val="99"/>
    <w:rPr>
      <w:sz w:val="18"/>
      <w:szCs w:val="18"/>
    </w:rPr>
  </w:style>
  <w:style w:type="paragraph" w:styleId="7">
    <w:name w:val="footer"/>
    <w:basedOn w:val="1"/>
    <w:link w:val="17"/>
    <w:unhideWhenUsed/>
    <w:qFormat/>
    <w:uiPriority w:val="99"/>
    <w:pPr>
      <w:tabs>
        <w:tab w:val="center" w:pos="4153"/>
        <w:tab w:val="right" w:pos="8306"/>
      </w:tabs>
      <w:snapToGrid w:val="0"/>
      <w:jc w:val="left"/>
    </w:pPr>
    <w:rPr>
      <w:sz w:val="18"/>
      <w:szCs w:val="18"/>
    </w:rPr>
  </w:style>
  <w:style w:type="paragraph" w:styleId="8">
    <w:name w:val="header"/>
    <w:basedOn w:val="1"/>
    <w:link w:val="16"/>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link w:val="22"/>
    <w:unhideWhenUsed/>
    <w:qFormat/>
    <w:uiPriority w:val="99"/>
    <w:pPr>
      <w:spacing w:after="120"/>
      <w:ind w:left="420" w:leftChars="200"/>
    </w:pPr>
    <w:rPr>
      <w:sz w:val="16"/>
      <w:szCs w:val="16"/>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style>
  <w:style w:type="character" w:customStyle="1" w:styleId="14">
    <w:name w:val="纯文本 字符"/>
    <w:basedOn w:val="12"/>
    <w:link w:val="5"/>
    <w:semiHidden/>
    <w:qFormat/>
    <w:uiPriority w:val="99"/>
    <w:rPr>
      <w:rFonts w:ascii="宋体" w:hAnsi="Courier New" w:eastAsia="宋体" w:cs="Times New Roman"/>
      <w:kern w:val="0"/>
      <w:sz w:val="20"/>
      <w:szCs w:val="20"/>
    </w:rPr>
  </w:style>
  <w:style w:type="paragraph" w:customStyle="1" w:styleId="15">
    <w:name w:val="列出段落1"/>
    <w:basedOn w:val="1"/>
    <w:qFormat/>
    <w:uiPriority w:val="34"/>
    <w:pPr>
      <w:ind w:firstLine="420" w:firstLineChars="200"/>
    </w:pPr>
  </w:style>
  <w:style w:type="character" w:customStyle="1" w:styleId="16">
    <w:name w:val="页眉 字符1"/>
    <w:basedOn w:val="12"/>
    <w:link w:val="8"/>
    <w:semiHidden/>
    <w:qFormat/>
    <w:uiPriority w:val="99"/>
    <w:rPr>
      <w:rFonts w:ascii="Calibri" w:hAnsi="Calibri" w:eastAsia="宋体" w:cs="Times New Roman"/>
      <w:sz w:val="18"/>
      <w:szCs w:val="18"/>
    </w:rPr>
  </w:style>
  <w:style w:type="character" w:customStyle="1" w:styleId="17">
    <w:name w:val="页脚 字符"/>
    <w:basedOn w:val="12"/>
    <w:link w:val="7"/>
    <w:qFormat/>
    <w:uiPriority w:val="99"/>
    <w:rPr>
      <w:rFonts w:ascii="Calibri" w:hAnsi="Calibri" w:eastAsia="宋体" w:cs="Times New Roman"/>
      <w:sz w:val="18"/>
      <w:szCs w:val="18"/>
    </w:rPr>
  </w:style>
  <w:style w:type="paragraph" w:styleId="18">
    <w:name w:val="List Paragraph"/>
    <w:basedOn w:val="1"/>
    <w:qFormat/>
    <w:uiPriority w:val="99"/>
    <w:pPr>
      <w:ind w:firstLine="420" w:firstLineChars="200"/>
    </w:pPr>
  </w:style>
  <w:style w:type="paragraph" w:customStyle="1" w:styleId="19">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character" w:customStyle="1" w:styleId="20">
    <w:name w:val="正文文本缩进 字符"/>
    <w:basedOn w:val="12"/>
    <w:link w:val="4"/>
    <w:qFormat/>
    <w:uiPriority w:val="0"/>
    <w:rPr>
      <w:rFonts w:ascii="Times New Roman" w:hAnsi="Times New Roman" w:eastAsia="仿宋_GB2312" w:cs="Times New Roman"/>
      <w:sz w:val="30"/>
      <w:szCs w:val="24"/>
    </w:rPr>
  </w:style>
  <w:style w:type="character" w:customStyle="1" w:styleId="21">
    <w:name w:val="页眉 字符"/>
    <w:qFormat/>
    <w:uiPriority w:val="0"/>
    <w:rPr>
      <w:kern w:val="2"/>
      <w:sz w:val="18"/>
      <w:szCs w:val="18"/>
    </w:rPr>
  </w:style>
  <w:style w:type="character" w:customStyle="1" w:styleId="22">
    <w:name w:val="正文文本缩进 3 字符"/>
    <w:basedOn w:val="12"/>
    <w:link w:val="9"/>
    <w:qFormat/>
    <w:uiPriority w:val="99"/>
    <w:rPr>
      <w:rFonts w:ascii="Calibri" w:hAnsi="Calibri" w:eastAsia="宋体" w:cs="Times New Roman"/>
      <w:sz w:val="16"/>
      <w:szCs w:val="16"/>
    </w:rPr>
  </w:style>
  <w:style w:type="character" w:customStyle="1" w:styleId="23">
    <w:name w:val="批注框文本 字符"/>
    <w:basedOn w:val="12"/>
    <w:link w:val="6"/>
    <w:semiHidden/>
    <w:qFormat/>
    <w:uiPriority w:val="99"/>
    <w:rPr>
      <w:rFonts w:ascii="Calibri" w:hAnsi="Calibri" w:eastAsia="宋体" w:cs="Times New Roman"/>
      <w:sz w:val="18"/>
      <w:szCs w:val="18"/>
    </w:rPr>
  </w:style>
  <w:style w:type="paragraph" w:customStyle="1" w:styleId="24">
    <w:name w:val="列出段落2"/>
    <w:basedOn w:val="1"/>
    <w:qFormat/>
    <w:uiPriority w:val="34"/>
    <w:pPr>
      <w:ind w:firstLine="420" w:firstLineChars="200"/>
    </w:pPr>
  </w:style>
  <w:style w:type="character" w:customStyle="1" w:styleId="25">
    <w:name w:val="spanlink1"/>
    <w:basedOn w:val="12"/>
    <w:qFormat/>
    <w:uiPriority w:val="0"/>
    <w:rPr>
      <w:rFonts w:hint="default" w:ascii="Arial" w:hAnsi="Arial" w:cs="Arial"/>
      <w:color w:val="00509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3911A-378C-4EE0-8C80-EB9E6F2F0110}">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836</Words>
  <Characters>899</Characters>
  <Lines>10</Lines>
  <Paragraphs>2</Paragraphs>
  <TotalTime>1</TotalTime>
  <ScaleCrop>false</ScaleCrop>
  <LinksUpToDate>false</LinksUpToDate>
  <CharactersWithSpaces>908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2019-01-09T08:28:00Z</dcterms:created>
  <dc:creator>Windows 用户</dc:creator>
  <cp:lastModifiedBy>Administrator</cp:lastModifiedBy>
  <cp:lastPrinted>2021-11-30T07:50:00Z</cp:lastPrinted>
  <dcterms:modified xsi:type="dcterms:W3CDTF">2025-05-11T01:26:23Z</dcterms:modified>
  <cp:revision>80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DF995E3A46A34C87873F9CB26F5F219D</vt:lpwstr>
  </property>
  <property fmtid="{D5CDD505-2E9C-101B-9397-08002B2CF9AE}" pid="4" name="KSOTemplateDocerSaveRecord">
    <vt:lpwstr>eyJoZGlkIjoiZmYzMTczYjBlMjhkM2I0NjY4MmRjY2I3YWYwYjk3ZWUifQ==</vt:lpwstr>
  </property>
</Properties>
</file>