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9D9F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ascii="方正小标宋简体" w:hAnsi="Times New Roman" w:eastAsia="方正小标宋简体" w:cs="Times New Roman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color w:val="000000"/>
          <w:kern w:val="0"/>
          <w:sz w:val="44"/>
          <w:szCs w:val="44"/>
          <w:lang w:eastAsia="zh-CN"/>
        </w:rPr>
        <w:t>郭仓镇人民政府</w:t>
      </w:r>
      <w:r>
        <w:rPr>
          <w:rFonts w:hint="eastAsia" w:ascii="方正小标宋简体" w:hAnsi="Times New Roman" w:eastAsia="方正小标宋简体" w:cs="Times New Roman"/>
          <w:b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Times New Roman" w:eastAsia="方正小标宋简体" w:cs="Times New Roman"/>
          <w:b/>
          <w:color w:val="000000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b/>
          <w:color w:val="000000"/>
          <w:kern w:val="0"/>
          <w:sz w:val="44"/>
          <w:szCs w:val="44"/>
        </w:rPr>
        <w:t>年政府信息公开</w:t>
      </w:r>
    </w:p>
    <w:p w14:paraId="059598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ascii="方正小标宋简体" w:hAnsi="Times New Roman" w:eastAsia="方正小标宋简体" w:cs="Times New Roman"/>
          <w:b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/>
          <w:color w:val="000000"/>
          <w:kern w:val="0"/>
          <w:sz w:val="44"/>
          <w:szCs w:val="44"/>
        </w:rPr>
        <w:t>工作年度报告</w:t>
      </w:r>
    </w:p>
    <w:p w14:paraId="5A256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ascii="方正仿宋简体" w:hAnsi="Times New Roman" w:eastAsia="方正仿宋简体" w:cs="Times New Roman"/>
          <w:b/>
          <w:color w:val="000000"/>
          <w:kern w:val="0"/>
          <w:sz w:val="32"/>
          <w:szCs w:val="32"/>
        </w:rPr>
      </w:pPr>
    </w:p>
    <w:p w14:paraId="3A856A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本报告由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eastAsia="zh-CN"/>
        </w:rPr>
        <w:t>郭仓镇人民政府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 w14:paraId="1E983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14:paraId="7D4C4A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本报告所列数据的统计期限自202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年1月1日起至202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年12月31日止。本报告电子版可在“中国·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汶上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”政府门户网站（具体网址）查阅或下载。如对本报告有疑问，请与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eastAsia="zh-CN"/>
        </w:rPr>
        <w:t>郭仓镇人民政府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联系（地址：汶上县郭仓镇政和路7号，联系电话：0537-7960020）。</w:t>
      </w:r>
    </w:p>
    <w:p w14:paraId="34258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简体" w:hAnsi="Times New Roman" w:eastAsia="方正黑体简体" w:cs="Times New Roman"/>
          <w:b/>
          <w:color w:val="000000"/>
          <w:kern w:val="0"/>
          <w:sz w:val="32"/>
          <w:szCs w:val="32"/>
        </w:rPr>
        <w:t>一、总体情况</w:t>
      </w:r>
      <w:r>
        <w:rPr>
          <w:rFonts w:hint="eastAsia" w:ascii="方正黑体简体" w:hAnsi="Times New Roman" w:eastAsia="方正黑体简体" w:cs="Times New Roman"/>
          <w:b/>
          <w:color w:val="000000"/>
          <w:kern w:val="0"/>
          <w:sz w:val="32"/>
          <w:szCs w:val="32"/>
          <w:lang w:val="en-US" w:eastAsia="zh-CN"/>
        </w:rPr>
        <w:t xml:space="preserve"> </w:t>
      </w:r>
    </w:p>
    <w:p w14:paraId="15DC1B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2025年，郭仓镇严格遵循《中华人民共和国政府信息公开条例》要求，扎实推进政务公开工作。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规范政务公开内容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 xml:space="preserve">、拓展公开渠道、聚焦重点领域，持续提升信息公开的质量和效率，确保政府信息全面、及时、准确发布，进一步增强全镇政务工作的透明度与公信力。  </w:t>
      </w:r>
    </w:p>
    <w:p w14:paraId="08405A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b/>
          <w:color w:val="000000"/>
          <w:kern w:val="0"/>
          <w:sz w:val="32"/>
          <w:szCs w:val="32"/>
        </w:rPr>
        <w:t>（一）主动公开情况</w:t>
      </w:r>
    </w:p>
    <w:p w14:paraId="400C0F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2025年，郭仓镇在政府门户网站主动公开各类政府信息53条，其中新闻动态29条，政策文件2条，公告公示5条，计划总结1条，会议公开3条，行政权力2条，财政预算决算2条，应急预案1条，公共服务3条，政务公开组织管理3条，政务公开基础建设2条。</w:t>
      </w:r>
    </w:p>
    <w:p w14:paraId="5E903E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宋体" w:cs="Times New Roman"/>
          <w:kern w:val="0"/>
          <w:sz w:val="32"/>
          <w:lang w:val="en-US" w:eastAsia="zh-CN"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277495</wp:posOffset>
                </wp:positionV>
                <wp:extent cx="4505960" cy="4381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94485" y="4069715"/>
                          <a:ext cx="450596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41B992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8"/>
                                <w:szCs w:val="28"/>
                                <w:lang w:eastAsia="zh-CN"/>
                              </w:rPr>
                              <w:t>郭仓镇主动公开各类政府信息共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8"/>
                                <w:szCs w:val="28"/>
                                <w:lang w:val="en-US" w:eastAsia="zh-CN"/>
                              </w:rPr>
                              <w:t>53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color w:val="auto"/>
                                <w:kern w:val="0"/>
                                <w:sz w:val="28"/>
                                <w:szCs w:val="28"/>
                                <w:lang w:eastAsia="zh-CN"/>
                              </w:rPr>
                              <w:t>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.95pt;margin-top:21.85pt;height:34.5pt;width:354.8pt;z-index:251659264;mso-width-relative:page;mso-height-relative:page;" filled="f" stroked="f" coordsize="21600,21600" o:gfxdata="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ANg0WfbAAAACgEAAA8A&#10;AAAAAAAAAQAgAAAAIgAAAGRycy9kb3ducmV2LnhtbFBLAQIUABQAAAAIAIdO4kAU1A9wTQIAAIAE&#10;AAAOAAAAAAAAAAEAIAAAACoBAABkcnMvZTJvRG9jLnhtbFBLBQYAAAAABgAGAFkBAADp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1241B992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8"/>
                          <w:szCs w:val="28"/>
                          <w:lang w:eastAsia="zh-CN"/>
                        </w:rPr>
                        <w:t>郭仓镇主动公开各类政府信息共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8"/>
                          <w:szCs w:val="28"/>
                          <w:lang w:val="en-US" w:eastAsia="zh-CN"/>
                        </w:rPr>
                        <w:t>53</w:t>
                      </w:r>
                      <w:r>
                        <w:rPr>
                          <w:rFonts w:hint="eastAsia" w:ascii="微软雅黑" w:hAnsi="微软雅黑" w:eastAsia="微软雅黑" w:cs="微软雅黑"/>
                          <w:color w:val="auto"/>
                          <w:kern w:val="0"/>
                          <w:sz w:val="28"/>
                          <w:szCs w:val="28"/>
                          <w:lang w:eastAsia="zh-CN"/>
                        </w:rPr>
                        <w:t>条</w:t>
                      </w:r>
                    </w:p>
                  </w:txbxContent>
                </v:textbox>
              </v:shape>
            </w:pict>
          </mc:Fallback>
        </mc:AlternateContent>
      </w:r>
    </w:p>
    <w:p w14:paraId="494581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</w:p>
    <w:p w14:paraId="258F6A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420"/>
        <w:jc w:val="left"/>
        <w:textAlignment w:val="auto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0"/>
          <w:sz w:val="24"/>
          <w:lang w:val="en-US" w:eastAsia="zh-CN" w:bidi="ar"/>
        </w:rPr>
        <w:drawing>
          <wp:inline distT="0" distB="0" distL="114300" distR="114300">
            <wp:extent cx="5256530" cy="2988310"/>
            <wp:effectExtent l="5080" t="4445" r="15240" b="1714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11F3B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5" w:rightChars="-50"/>
        <w:textAlignment w:val="auto"/>
        <w:rPr>
          <w:rFonts w:hint="eastAsia" w:ascii="方正楷体简体" w:hAnsi="Times New Roman" w:eastAsia="方正楷体简体" w:cs="Times New Roman"/>
          <w:b/>
          <w:color w:val="000000"/>
          <w:kern w:val="0"/>
          <w:sz w:val="32"/>
          <w:szCs w:val="32"/>
        </w:rPr>
      </w:pPr>
    </w:p>
    <w:p w14:paraId="686EB9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105" w:rightChars="-50" w:firstLine="643" w:firstLineChars="200"/>
        <w:textAlignment w:val="auto"/>
        <w:rPr>
          <w:rFonts w:ascii="方正楷体简体" w:hAnsi="Times New Roman" w:eastAsia="方正楷体简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b/>
          <w:color w:val="000000"/>
          <w:kern w:val="0"/>
          <w:sz w:val="32"/>
          <w:szCs w:val="32"/>
        </w:rPr>
        <w:t>（二）依申请公开情况</w:t>
      </w:r>
    </w:p>
    <w:p w14:paraId="3E51AC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202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年度未收到政府信息公开申请。</w:t>
      </w:r>
    </w:p>
    <w:p w14:paraId="498C28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ascii="方正楷体简体" w:hAnsi="Times New Roman" w:eastAsia="方正楷体简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b/>
          <w:color w:val="000000"/>
          <w:kern w:val="0"/>
          <w:sz w:val="32"/>
          <w:szCs w:val="32"/>
        </w:rPr>
        <w:t>（三）政府信息管理情况</w:t>
      </w:r>
    </w:p>
    <w:p w14:paraId="2317CF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2025年，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eastAsia="zh-CN"/>
        </w:rPr>
        <w:t>郭仓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镇深入贯彻落实《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中华人民共和国政府信息公开条例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》，持续优化信息管理机制。强化日常监测与责任督导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严把信息质量与安全关，确保动态及时更新，全力保障政府信息管理规范有序、公开准确及时，切实维护公众知情权、参与权与监督权。</w:t>
      </w:r>
    </w:p>
    <w:p w14:paraId="6C958B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ascii="方正楷体简体" w:hAnsi="Times New Roman" w:eastAsia="方正楷体简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b/>
          <w:color w:val="000000"/>
          <w:kern w:val="0"/>
          <w:sz w:val="32"/>
          <w:szCs w:val="32"/>
        </w:rPr>
        <w:t>（四）政府信息公开平台建设情况</w:t>
      </w:r>
    </w:p>
    <w:p w14:paraId="7A6DE6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2025年，我镇持续加强政府信息公开平台建设与渠道拓展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线上不断优化政府信息公开板块，确保信息发布及时、准确、全面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线下升级镇便民服务中心政务公开专区，提供查询与指引服务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规范镇政府及各村实体公开栏管理，统一标准、定期更新，构建多层次、全方位政务公开矩阵，切实提升信息公开覆盖面和服务便利度。</w:t>
      </w:r>
    </w:p>
    <w:p w14:paraId="4506C8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ascii="方正楷体简体" w:hAnsi="Times New Roman" w:eastAsia="方正楷体简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b/>
          <w:color w:val="000000"/>
          <w:kern w:val="0"/>
          <w:sz w:val="32"/>
          <w:szCs w:val="32"/>
        </w:rPr>
        <w:t>（五）监督保障情况</w:t>
      </w:r>
    </w:p>
    <w:p w14:paraId="2BC996D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eastAsia="zh-CN"/>
        </w:rPr>
        <w:t>一是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进一步健全组织领导和责任体系，坚持“主要领导</w:t>
      </w:r>
      <w:r>
        <w:rPr>
          <w:rFonts w:hint="default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亲自抓、分管领导具体抓、责任科室抓落实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”的工作机制，完善领导小组定期督导与专项检查制度，切实推动公开工作走深走实。同步加强队伍建设，定期组织政务公开专题培训，系统学习信息公开相关制度，强化责任意识与操作能力，持续提升全镇政务公开规范化水平，确保政府信息公开工作扎实有效推进。全年实施政务公开培训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次，参训人员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  <w:lang w:val="en-US" w:eastAsia="zh-CN"/>
        </w:rPr>
        <w:t>180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人次。</w:t>
      </w:r>
    </w:p>
    <w:p w14:paraId="007761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方正黑体简体" w:hAnsi="Times New Roman" w:eastAsia="方正黑体简体" w:cs="Times New Roman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简体" w:hAnsi="Times New Roman" w:eastAsia="方正黑体简体" w:cs="Times New Roman"/>
          <w:b/>
          <w:color w:val="000000"/>
          <w:kern w:val="0"/>
          <w:sz w:val="32"/>
          <w:szCs w:val="32"/>
        </w:rPr>
        <w:t>二、主动公开政府信息情况</w:t>
      </w:r>
      <w:r>
        <w:rPr>
          <w:rFonts w:hint="eastAsia" w:ascii="方正黑体简体" w:hAnsi="Times New Roman" w:eastAsia="方正黑体简体" w:cs="Times New Roman"/>
          <w:b/>
          <w:color w:val="000000"/>
          <w:kern w:val="0"/>
          <w:sz w:val="32"/>
          <w:szCs w:val="32"/>
          <w:lang w:val="en-US" w:eastAsia="zh-CN"/>
        </w:rPr>
        <w:t xml:space="preserve">                                 </w:t>
      </w:r>
    </w:p>
    <w:tbl>
      <w:tblPr>
        <w:tblStyle w:val="2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 w14:paraId="13683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378B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  <w:lang w:bidi="ar"/>
              </w:rPr>
              <w:t>第二十条第（一）项</w:t>
            </w:r>
          </w:p>
        </w:tc>
      </w:tr>
      <w:tr w14:paraId="4E54D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06D8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8425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74AA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5691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bidi="ar"/>
              </w:rPr>
              <w:t>现行有效件数</w:t>
            </w:r>
          </w:p>
        </w:tc>
      </w:tr>
      <w:tr w14:paraId="2BC0D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567BC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0DE7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0B6D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4D99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D07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360E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1A70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3D2D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05F7C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4E569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F21B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  <w:lang w:bidi="ar"/>
              </w:rPr>
              <w:t>第二十条第（五）项</w:t>
            </w:r>
          </w:p>
        </w:tc>
      </w:tr>
      <w:tr w14:paraId="2A6E5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B6AE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1E585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bidi="ar"/>
              </w:rPr>
              <w:t>本年处理决定数量</w:t>
            </w:r>
          </w:p>
        </w:tc>
      </w:tr>
      <w:tr w14:paraId="66AC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FBAA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514CD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Times New Roman" w:eastAsia="方正仿宋简体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color w:val="000000" w:themeColor="text1"/>
                <w:kern w:val="0"/>
                <w:sz w:val="24"/>
                <w:szCs w:val="24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41A3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5CD6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  <w:lang w:bidi="ar"/>
              </w:rPr>
              <w:t>第二十条第（六）项</w:t>
            </w:r>
          </w:p>
        </w:tc>
      </w:tr>
      <w:tr w14:paraId="7D161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EE7A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2ED011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bidi="ar"/>
              </w:rPr>
              <w:t>本年处理决定数量</w:t>
            </w:r>
          </w:p>
        </w:tc>
      </w:tr>
      <w:tr w14:paraId="5000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BB612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DE2C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val="en-US" w:eastAsia="zh-CN" w:bidi="ar"/>
              </w:rPr>
              <w:t>1</w:t>
            </w:r>
            <w:bookmarkStart w:id="0" w:name="_GoBack"/>
            <w:bookmarkEnd w:id="0"/>
          </w:p>
        </w:tc>
      </w:tr>
      <w:tr w14:paraId="4E87F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6C92C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21E9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</w:tr>
      <w:tr w14:paraId="7CE96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40C1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4"/>
                <w:szCs w:val="24"/>
                <w:lang w:bidi="ar"/>
              </w:rPr>
              <w:t>第二十条第（八）项</w:t>
            </w:r>
          </w:p>
        </w:tc>
      </w:tr>
      <w:tr w14:paraId="4F0D3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34A79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AFE6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bidi="ar"/>
              </w:rPr>
              <w:t>本年收费金额（单位：万元）</w:t>
            </w:r>
          </w:p>
        </w:tc>
      </w:tr>
      <w:tr w14:paraId="111A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42B878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noWrap w:val="0"/>
            <w:tcMar>
              <w:left w:w="57" w:type="dxa"/>
              <w:right w:w="57" w:type="dxa"/>
            </w:tcMar>
            <w:vAlign w:val="center"/>
          </w:tcPr>
          <w:p w14:paraId="7617C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1C119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" w:beforeLines="10" w:after="62" w:afterLines="10" w:line="560" w:lineRule="exact"/>
        <w:ind w:firstLine="640" w:firstLineChars="200"/>
        <w:textAlignment w:val="auto"/>
        <w:rPr>
          <w:rFonts w:ascii="方正黑体简体" w:hAnsi="Times New Roman" w:eastAsia="方正黑体简体" w:cs="Times New Roman"/>
          <w:b/>
          <w:kern w:val="0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b/>
          <w:kern w:val="0"/>
          <w:sz w:val="32"/>
          <w:szCs w:val="32"/>
        </w:rPr>
        <w:t>三、收到和处理政府信息公开申请情况</w:t>
      </w:r>
    </w:p>
    <w:tbl>
      <w:tblPr>
        <w:tblStyle w:val="2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14:paraId="6F149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 w14:paraId="4863A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楷体" w:eastAsia="方正黑体简体" w:cs="楷体"/>
                <w:b/>
                <w:kern w:val="0"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noWrap w:val="0"/>
            <w:tcMar>
              <w:left w:w="57" w:type="dxa"/>
              <w:right w:w="57" w:type="dxa"/>
            </w:tcMar>
            <w:vAlign w:val="center"/>
          </w:tcPr>
          <w:p w14:paraId="3B1E03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申请人情况</w:t>
            </w:r>
          </w:p>
        </w:tc>
      </w:tr>
      <w:tr w14:paraId="6F61C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49ED3F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F094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noWrap w:val="0"/>
            <w:tcMar>
              <w:left w:w="57" w:type="dxa"/>
              <w:right w:w="57" w:type="dxa"/>
            </w:tcMar>
            <w:vAlign w:val="center"/>
          </w:tcPr>
          <w:p w14:paraId="0C4E1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34AF2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总计</w:t>
            </w:r>
          </w:p>
        </w:tc>
      </w:tr>
      <w:tr w14:paraId="456B3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 w14:paraId="0DCCF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DFE54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949D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商业</w:t>
            </w:r>
          </w:p>
          <w:p w14:paraId="70333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1E12D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科研</w:t>
            </w:r>
          </w:p>
          <w:p w14:paraId="0E1DC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01B09A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02BC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A884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DD917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</w:tr>
      <w:tr w14:paraId="33AA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2B5215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0B20E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34AD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1F3F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D623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B450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75A85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E1632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</w:tr>
      <w:tr w14:paraId="79F3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691CB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F8D0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5031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0027C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5848D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A2D2E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172A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56A6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</w:tr>
      <w:tr w14:paraId="52C57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046AD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53EEDD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3E3F5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359AC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AB65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DA62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40C3C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EA00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D41E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</w:tr>
      <w:tr w14:paraId="54CD9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271D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686B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（二）部分公开</w:t>
            </w:r>
            <w:r>
              <w:rPr>
                <w:rFonts w:hint="eastAsia" w:ascii="方正仿宋简体" w:hAnsi="楷体" w:eastAsia="方正仿宋简体" w:cs="楷体"/>
                <w:b/>
                <w:kern w:val="0"/>
                <w:sz w:val="21"/>
                <w:szCs w:val="21"/>
                <w:lang w:bidi="ar"/>
              </w:rPr>
              <w:t>（区分处理的，只计这一情形，不计其他情形）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A565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56407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5D037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24D3E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77EAA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E588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94A8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0605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F532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DC35A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2C84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26733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2EC2A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3100B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55444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24ECD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689FC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22A7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4D2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CC67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CEF2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0CEA1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2A4BD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68F27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61B28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4AFE0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4578B5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484EA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21B9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C302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FA68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6A2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C355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397B7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786D1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605F9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2C5B6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3B9D8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719B4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39EB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</w:tr>
      <w:tr w14:paraId="3258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4BD9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2A7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863EA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0EF85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B69B9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08A95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7566A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0D33B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3135A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AB8E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AE5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3781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1C054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A7B3A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255BD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4C076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741008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4ACF3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210B9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6BE65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C069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E35A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633A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ED4A3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4A6AF9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24B86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3E9F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5C82E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28664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2ABCE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1190E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09A3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</w:tr>
      <w:tr w14:paraId="62D2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703D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E486E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7F014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27A7B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DF43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003C7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5F0C6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3B518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20072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C20D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0778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4278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3C2C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BE23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5EC01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20D9F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799E2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70CF7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6EA6F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01DFF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888B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</w:tr>
      <w:tr w14:paraId="4994C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5B0536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7AFF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3D646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02768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424E9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592DF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19A61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311141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74150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4E817A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3298A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B3E3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4FFA4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C4AB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3C7E1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5E345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36E3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7A3DC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7DC6F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729D4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65EEB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245F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CEB1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8B6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260DA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6ABF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33E4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0159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2354B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31061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04D56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1A518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45C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1C799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A58E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155AC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C219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5BD80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06F7C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19104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5944F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00F5A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73C0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48BC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C0C7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E3646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05ECD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13204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16958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6EA08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4B036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6FA96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204A4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0A6197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C3DF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0C01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843F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59293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457AC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389C5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2810B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63B1E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43C17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0B0EE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0E28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</w:tr>
      <w:tr w14:paraId="1379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B6EF0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0D97A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top"/>
          </w:tcPr>
          <w:p w14:paraId="656E94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735CF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450C0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490F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68234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3B8FA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4E34B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CA60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</w:tr>
      <w:tr w14:paraId="43D63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6140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7EEFB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6DB61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top"/>
          </w:tcPr>
          <w:p w14:paraId="68F63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top"/>
          </w:tcPr>
          <w:p w14:paraId="5C3EA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top"/>
          </w:tcPr>
          <w:p w14:paraId="42FFF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top"/>
          </w:tcPr>
          <w:p w14:paraId="2527B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top"/>
          </w:tcPr>
          <w:p w14:paraId="5D32A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top"/>
          </w:tcPr>
          <w:p w14:paraId="2E8D81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12C78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</w:tr>
      <w:tr w14:paraId="2D240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CC6A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BCA8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16B37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03F0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75B17E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CD47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35C9C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EC0E6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508D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5FB50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bidi="ar"/>
              </w:rPr>
              <w:t> </w:t>
            </w:r>
          </w:p>
        </w:tc>
      </w:tr>
      <w:tr w14:paraId="2D7E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0E8C2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4464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39DE8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16A19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6580A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3557C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68D3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1F912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34475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174E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  <w:p w14:paraId="14198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5D9E8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2A24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714B2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2878" w:type="dxa"/>
            <w:noWrap w:val="0"/>
            <w:tcMar>
              <w:left w:w="57" w:type="dxa"/>
              <w:right w:w="57" w:type="dxa"/>
            </w:tcMar>
            <w:vAlign w:val="center"/>
          </w:tcPr>
          <w:p w14:paraId="5E7D2E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796E03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1A040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5632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BCD59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FF7BD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03B2A8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36038C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19AF9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1999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 w14:paraId="2D483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6C762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0DB32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4501D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1C6A9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243AF3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2BA76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79D13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64E5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 w14:paraId="4E9BA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宋体"/>
                <w:b/>
                <w:kern w:val="0"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noWrap w:val="0"/>
            <w:tcMar>
              <w:left w:w="57" w:type="dxa"/>
              <w:right w:w="57" w:type="dxa"/>
            </w:tcMar>
            <w:vAlign w:val="center"/>
          </w:tcPr>
          <w:p w14:paraId="2D14A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9" w:type="dxa"/>
            <w:noWrap w:val="0"/>
            <w:tcMar>
              <w:left w:w="57" w:type="dxa"/>
              <w:right w:w="57" w:type="dxa"/>
            </w:tcMar>
            <w:vAlign w:val="center"/>
          </w:tcPr>
          <w:p w14:paraId="4176A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0" w:type="dxa"/>
            <w:noWrap w:val="0"/>
            <w:tcMar>
              <w:left w:w="57" w:type="dxa"/>
              <w:right w:w="57" w:type="dxa"/>
            </w:tcMar>
            <w:vAlign w:val="center"/>
          </w:tcPr>
          <w:p w14:paraId="77643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8" w:type="dxa"/>
            <w:noWrap w:val="0"/>
            <w:tcMar>
              <w:left w:w="57" w:type="dxa"/>
              <w:right w:w="57" w:type="dxa"/>
            </w:tcMar>
            <w:vAlign w:val="center"/>
          </w:tcPr>
          <w:p w14:paraId="3FA391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方正仿宋简体" w:hAnsi="Times New Roman" w:eastAsia="方正仿宋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1" w:type="dxa"/>
            <w:noWrap w:val="0"/>
            <w:tcMar>
              <w:left w:w="57" w:type="dxa"/>
              <w:right w:w="57" w:type="dxa"/>
            </w:tcMar>
            <w:vAlign w:val="center"/>
          </w:tcPr>
          <w:p w14:paraId="638E5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9" w:type="dxa"/>
            <w:noWrap w:val="0"/>
            <w:tcMar>
              <w:left w:w="57" w:type="dxa"/>
              <w:right w:w="57" w:type="dxa"/>
            </w:tcMar>
            <w:vAlign w:val="center"/>
          </w:tcPr>
          <w:p w14:paraId="683D8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Calibri" w:eastAsia="方正仿宋简体" w:cs="Calibri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21" w:type="dxa"/>
            <w:noWrap w:val="0"/>
            <w:tcMar>
              <w:left w:w="57" w:type="dxa"/>
              <w:right w:w="57" w:type="dxa"/>
            </w:tcMar>
            <w:vAlign w:val="top"/>
          </w:tcPr>
          <w:p w14:paraId="25DC2F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D3568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ascii="方正黑体简体" w:hAnsi="Times New Roman" w:eastAsia="方正黑体简体" w:cs="Times New Roman"/>
          <w:b/>
          <w:kern w:val="0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b/>
          <w:kern w:val="0"/>
          <w:sz w:val="32"/>
          <w:szCs w:val="32"/>
        </w:rPr>
        <w:t>四、政府信息公开行政复议、行政诉讼情况</w:t>
      </w:r>
    </w:p>
    <w:tbl>
      <w:tblPr>
        <w:tblStyle w:val="2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14:paraId="633F46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" w:hRule="atLeast"/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EF094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35D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行政诉讼</w:t>
            </w:r>
          </w:p>
        </w:tc>
      </w:tr>
      <w:tr w14:paraId="1AC7CE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3A3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7B5A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结果</w:t>
            </w:r>
          </w:p>
          <w:p w14:paraId="62E3D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B747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9932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E75B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A07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AC0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复议后起诉</w:t>
            </w:r>
          </w:p>
        </w:tc>
      </w:tr>
      <w:tr w14:paraId="3B50E60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8288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179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FC5D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F88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3E8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D57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81B9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6C6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87AA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F6EE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0A8F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DAC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结果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659C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其他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0C2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尚未</w:t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br w:type="textWrapping"/>
            </w: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10B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宋体"/>
                <w:b/>
                <w:kern w:val="0"/>
                <w:sz w:val="21"/>
                <w:szCs w:val="21"/>
                <w:lang w:bidi="ar"/>
              </w:rPr>
              <w:t>总计</w:t>
            </w:r>
          </w:p>
        </w:tc>
      </w:tr>
      <w:tr w14:paraId="05CFF4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0F3E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eastAsia" w:ascii="方正黑体简体" w:hAnsi="Times New Roman" w:eastAsia="方正黑体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7F6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eastAsia" w:ascii="方正黑体简体" w:hAnsi="Times New Roman" w:eastAsia="方正黑体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9F54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9BEE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eastAsia" w:ascii="方正黑体简体" w:hAnsi="Times New Roman" w:eastAsia="方正黑体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AEE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eastAsia" w:ascii="方正黑体简体" w:hAnsi="Times New Roman" w:eastAsia="方正黑体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7CA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7BE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eastAsia" w:ascii="方正黑体简体" w:hAnsi="Times New Roman" w:eastAsia="方正黑体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D6AD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AAF0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566FE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eastAsia" w:ascii="方正黑体简体" w:hAnsi="Times New Roman" w:eastAsia="方正黑体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65F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eastAsia" w:ascii="方正黑体简体" w:hAnsi="Times New Roman" w:eastAsia="方正黑体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宋体" w:eastAsia="方正黑体简体" w:cs="黑体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E08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8825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CD56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ascii="方正黑体简体" w:hAnsi="Times New Roman" w:eastAsia="方正黑体简体" w:cs="Times New Roman"/>
                <w:b/>
                <w:kern w:val="0"/>
                <w:sz w:val="21"/>
                <w:szCs w:val="21"/>
              </w:rPr>
            </w:pPr>
            <w:r>
              <w:rPr>
                <w:rFonts w:hint="eastAsia" w:ascii="方正黑体简体" w:hAnsi="宋体" w:eastAsia="方正黑体简体" w:cs="黑体"/>
                <w:b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A76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42" w:leftChars="-20" w:right="-42" w:rightChars="-20"/>
              <w:jc w:val="center"/>
              <w:textAlignment w:val="auto"/>
              <w:rPr>
                <w:rFonts w:hint="eastAsia" w:ascii="方正黑体简体" w:hAnsi="Times New Roman" w:eastAsia="方正黑体简体" w:cs="Times New Roman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Times New Roman" w:eastAsia="方正黑体简体" w:cs="Times New Roman"/>
                <w:b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0FEFE4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ascii="方正黑体简体" w:hAnsi="Times New Roman" w:eastAsia="方正黑体简体" w:cs="Times New Roman"/>
          <w:b/>
          <w:kern w:val="0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b/>
          <w:kern w:val="0"/>
          <w:sz w:val="32"/>
          <w:szCs w:val="32"/>
        </w:rPr>
        <w:t>五、存在的主要问题及改进情况</w:t>
      </w:r>
    </w:p>
    <w:p w14:paraId="2F00F6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b/>
          <w:color w:val="000000"/>
          <w:kern w:val="0"/>
          <w:sz w:val="32"/>
          <w:szCs w:val="32"/>
        </w:rPr>
        <w:t>（一）针对上年度问题改进情况</w:t>
      </w:r>
    </w:p>
    <w:p w14:paraId="70C171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default" w:ascii="方正仿宋简体" w:hAnsi="Times New Roman" w:eastAsia="方正仿宋简体" w:cs="Times New Roman"/>
          <w:b/>
          <w:kern w:val="0"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针对公开内容深度广度不足、政策解读形式单一、部分信息更新滞后等问题，我镇在2025年度进行了专项改进。一是系统梳理并</w:t>
      </w:r>
      <w:r>
        <w:rPr>
          <w:rFonts w:hint="default" w:ascii="方正仿宋简体" w:hAnsi="Times New Roman" w:eastAsia="方正仿宋简体" w:cs="Times New Roman"/>
          <w:b/>
          <w:kern w:val="0"/>
          <w:sz w:val="32"/>
          <w:szCs w:val="32"/>
        </w:rPr>
        <w:t>拓展了重点领域公开范围，特别是加大了在乡村振兴、惠农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eastAsia="zh-CN"/>
        </w:rPr>
        <w:t>补贴</w:t>
      </w:r>
      <w:r>
        <w:rPr>
          <w:rFonts w:hint="default" w:ascii="方正仿宋简体" w:hAnsi="Times New Roman" w:eastAsia="方正仿宋简体" w:cs="Times New Roman"/>
          <w:b/>
          <w:kern w:val="0"/>
          <w:sz w:val="32"/>
          <w:szCs w:val="32"/>
        </w:rPr>
        <w:t>等方面的信息公开力度。二是积极丰富解读形式，除传统文字解读外，运用了政策图解等多种方式，提高了政策的可读性和传播力。三是通过健全常态化监测与预警机制，明确了各类信息的更新时限与责任，信息发布的及时性得到有效提升。</w:t>
      </w:r>
    </w:p>
    <w:p w14:paraId="5D3992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3" w:firstLineChars="200"/>
        <w:textAlignment w:val="auto"/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b/>
          <w:color w:val="000000"/>
          <w:kern w:val="0"/>
          <w:sz w:val="32"/>
          <w:szCs w:val="32"/>
        </w:rPr>
        <w:t>（二）目前存在的主要问题</w:t>
      </w:r>
    </w:p>
    <w:p w14:paraId="119705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存在问题：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eastAsia="zh-CN"/>
        </w:rPr>
        <w:t>一是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主动公开意识不够，还需进一步加强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eastAsia="zh-CN"/>
        </w:rPr>
        <w:t>；二是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信息公开形式需进一步创新，互动性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eastAsia="zh-CN"/>
        </w:rPr>
        <w:t>和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便民性仍有待提高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eastAsia="zh-CN"/>
        </w:rPr>
        <w:t>；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三是政务公开队伍建设有待强化，工作人员业务能力和水平有待提升。</w:t>
      </w:r>
    </w:p>
    <w:p w14:paraId="65016A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下步举措：202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val="en-US" w:eastAsia="zh-CN"/>
        </w:rPr>
        <w:t>6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年，将从以下几个方面加以改进：</w:t>
      </w:r>
    </w:p>
    <w:p w14:paraId="763F04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一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eastAsia="zh-CN"/>
        </w:rPr>
        <w:t>是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结合《中华人民共和国政府信息公开条例》的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eastAsia="zh-CN"/>
        </w:rPr>
        <w:t>集中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学习，加强主动公开意识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eastAsia="zh-CN"/>
        </w:rPr>
        <w:t>。</w:t>
      </w:r>
    </w:p>
    <w:p w14:paraId="48A0A3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eastAsia="zh-CN"/>
        </w:rPr>
        <w:t>二是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创新信息公开形式，充分利用互联网、大数据等手段，提升信息公开的便捷性和互动性。</w:t>
      </w:r>
    </w:p>
    <w:p w14:paraId="315DF9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eastAsia="zh-CN"/>
        </w:rPr>
        <w:t>三是</w:t>
      </w:r>
      <w:r>
        <w:rPr>
          <w:rFonts w:hint="default" w:ascii="方正仿宋简体" w:hAnsi="Times New Roman" w:eastAsia="方正仿宋简体" w:cs="Times New Roman"/>
          <w:b/>
          <w:kern w:val="0"/>
          <w:sz w:val="32"/>
          <w:szCs w:val="32"/>
        </w:rPr>
        <w:t>加强队伍建设，增强业务能力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eastAsia="zh-CN"/>
        </w:rPr>
        <w:t>，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加强对政务公开工作人员的培训与学习，定期组织开展业务培训和交流活动，提升工作人员的业务水平。</w:t>
      </w:r>
    </w:p>
    <w:p w14:paraId="35629A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六、其他需要报告的事项</w:t>
      </w:r>
    </w:p>
    <w:p w14:paraId="717E31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（一）依据《政府信息公开信息处理费管理办法》收取信息处理费的情况</w:t>
      </w:r>
    </w:p>
    <w:p w14:paraId="250B87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我镇本年度无收取信息处理费情况。</w:t>
      </w:r>
    </w:p>
    <w:p w14:paraId="4CC08F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（二）本行政机关落实上级年度政务公开工作要点情况</w:t>
      </w:r>
    </w:p>
    <w:p w14:paraId="2CDEED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val="en-US" w:eastAsia="zh-CN"/>
        </w:rPr>
        <w:t>2025年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，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val="en-US" w:eastAsia="zh-CN"/>
        </w:rPr>
        <w:t>郭仓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镇根据国家、省、市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eastAsia="zh-CN"/>
        </w:rPr>
        <w:t>、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val="en-US" w:eastAsia="zh-CN"/>
        </w:rPr>
        <w:t>县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关于202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年政务公开工作要点相关文件要求，不断丰富公开内容、拓宽公开形式和渠道，增强公开质量和实效，切实保障人民群众的知情权、参与权、表达权和监督权。</w:t>
      </w:r>
    </w:p>
    <w:p w14:paraId="6B0D7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（三）本行政机关人大代表建议和政协提案办理结果公开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val="en-US" w:eastAsia="zh-CN"/>
        </w:rPr>
        <w:t>情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况</w:t>
      </w:r>
    </w:p>
    <w:p w14:paraId="694349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202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年未承办人大代表建议和政协委员提案。</w:t>
      </w:r>
    </w:p>
    <w:p w14:paraId="0FBDEE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 w:firstLine="640" w:firstLineChars="200"/>
        <w:textAlignment w:val="auto"/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（四）本行政机关年度政务公开工作创新情况</w:t>
      </w:r>
    </w:p>
    <w:p w14:paraId="1FD7BFB9">
      <w:pPr>
        <w:tabs>
          <w:tab w:val="left" w:pos="711"/>
        </w:tabs>
        <w:bidi w:val="0"/>
        <w:ind w:firstLine="640" w:firstLineChars="200"/>
        <w:jc w:val="left"/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eastAsia="zh-CN"/>
        </w:rPr>
      </w:pP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202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年我镇充分发挥政务信息公开网站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eastAsia="zh-CN"/>
        </w:rPr>
        <w:t>、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政务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val="en-US" w:eastAsia="zh-CN"/>
        </w:rPr>
        <w:t>信息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公开栏、</w:t>
      </w:r>
      <w:r>
        <w:rPr>
          <w:rFonts w:hint="eastAsia" w:ascii="方正仿宋简体" w:hAnsi="Times New Roman" w:eastAsia="方正仿宋简体" w:cs="Times New Roman"/>
          <w:b/>
          <w:color w:val="000000"/>
          <w:kern w:val="0"/>
          <w:sz w:val="32"/>
          <w:szCs w:val="32"/>
        </w:rPr>
        <w:t>各村公告栏、电子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屏等多种媒介，定期</w:t>
      </w:r>
      <w:r>
        <w:rPr>
          <w:rFonts w:hint="default" w:ascii="方正仿宋简体" w:hAnsi="Times New Roman" w:eastAsia="方正仿宋简体" w:cs="Times New Roman"/>
          <w:b/>
          <w:kern w:val="0"/>
          <w:sz w:val="32"/>
          <w:szCs w:val="32"/>
          <w:lang w:val="en-US" w:eastAsia="zh-CN"/>
        </w:rPr>
        <w:t>公开群众关心事项，强化便民利民导向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val="en-US" w:eastAsia="zh-CN"/>
        </w:rPr>
        <w:t>，同时</w:t>
      </w:r>
      <w:r>
        <w:rPr>
          <w:rFonts w:hint="default" w:ascii="方正仿宋简体" w:hAnsi="Times New Roman" w:eastAsia="方正仿宋简体" w:cs="Times New Roman"/>
          <w:b/>
          <w:kern w:val="0"/>
          <w:sz w:val="32"/>
          <w:szCs w:val="32"/>
          <w:lang w:val="en-US" w:eastAsia="zh-CN"/>
        </w:rPr>
        <w:t>拓宽服务渠道，整合线上线下资源，构建多层次、便捷高效的政务公开体系。</w:t>
      </w:r>
    </w:p>
    <w:p w14:paraId="7EB951E5">
      <w:pPr>
        <w:ind w:firstLine="640" w:firstLineChars="200"/>
      </w:pP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（五）本报告所列数据的统计期限自202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</w:rPr>
        <w:t>年1月1日起至202</w:t>
      </w:r>
      <w:r>
        <w:rPr>
          <w:rFonts w:hint="eastAsia" w:ascii="方正仿宋简体" w:hAnsi="Times New Roman" w:eastAsia="方正仿宋简体" w:cs="Times New Roman"/>
          <w:b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简体" w:eastAsia="方正仿宋简体"/>
          <w:b/>
          <w:sz w:val="32"/>
          <w:szCs w:val="32"/>
        </w:rPr>
        <w:t>年12月31日止。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E5D7C"/>
    <w:rsid w:val="00384B9C"/>
    <w:rsid w:val="00B27E97"/>
    <w:rsid w:val="010517A5"/>
    <w:rsid w:val="025008C3"/>
    <w:rsid w:val="049E5D7C"/>
    <w:rsid w:val="04A343EA"/>
    <w:rsid w:val="0732071C"/>
    <w:rsid w:val="079A613C"/>
    <w:rsid w:val="0863510B"/>
    <w:rsid w:val="09012917"/>
    <w:rsid w:val="098552F6"/>
    <w:rsid w:val="0AA74DF8"/>
    <w:rsid w:val="0ABA0FCF"/>
    <w:rsid w:val="0AEE2A27"/>
    <w:rsid w:val="0BE300B2"/>
    <w:rsid w:val="0BEE2A68"/>
    <w:rsid w:val="0C153C7D"/>
    <w:rsid w:val="0D240982"/>
    <w:rsid w:val="0D5D7AAB"/>
    <w:rsid w:val="0E552DBD"/>
    <w:rsid w:val="0EA53D44"/>
    <w:rsid w:val="0EA95AE9"/>
    <w:rsid w:val="0FB523EB"/>
    <w:rsid w:val="0FD05D40"/>
    <w:rsid w:val="11665A0D"/>
    <w:rsid w:val="12374CB3"/>
    <w:rsid w:val="124039AB"/>
    <w:rsid w:val="12614426"/>
    <w:rsid w:val="12BE53D5"/>
    <w:rsid w:val="12C66037"/>
    <w:rsid w:val="14AD1F26"/>
    <w:rsid w:val="159E5049"/>
    <w:rsid w:val="16331C36"/>
    <w:rsid w:val="1735378C"/>
    <w:rsid w:val="179761F4"/>
    <w:rsid w:val="179C45FF"/>
    <w:rsid w:val="17E20B71"/>
    <w:rsid w:val="19A5109C"/>
    <w:rsid w:val="19D83220"/>
    <w:rsid w:val="1A3B37AF"/>
    <w:rsid w:val="1AA650CC"/>
    <w:rsid w:val="1D392227"/>
    <w:rsid w:val="1D7A639C"/>
    <w:rsid w:val="1DE33F41"/>
    <w:rsid w:val="1ECE074D"/>
    <w:rsid w:val="1F180379"/>
    <w:rsid w:val="1F79265F"/>
    <w:rsid w:val="1FEC63E9"/>
    <w:rsid w:val="219043E0"/>
    <w:rsid w:val="21D4251F"/>
    <w:rsid w:val="22A04AF7"/>
    <w:rsid w:val="232D2787"/>
    <w:rsid w:val="232E5DC3"/>
    <w:rsid w:val="23541FE2"/>
    <w:rsid w:val="23D42CAA"/>
    <w:rsid w:val="24AD7057"/>
    <w:rsid w:val="250C7C73"/>
    <w:rsid w:val="256718FC"/>
    <w:rsid w:val="26FD510C"/>
    <w:rsid w:val="28926C90"/>
    <w:rsid w:val="28D47B5D"/>
    <w:rsid w:val="29D33359"/>
    <w:rsid w:val="2A021BF3"/>
    <w:rsid w:val="2A9E7B6E"/>
    <w:rsid w:val="2AE65071"/>
    <w:rsid w:val="2C730B86"/>
    <w:rsid w:val="2C9E7D7D"/>
    <w:rsid w:val="2CBC0E10"/>
    <w:rsid w:val="2CF55A3F"/>
    <w:rsid w:val="2D376058"/>
    <w:rsid w:val="2D480265"/>
    <w:rsid w:val="2D5955F0"/>
    <w:rsid w:val="2E3600BD"/>
    <w:rsid w:val="2E400F3C"/>
    <w:rsid w:val="2E4F2F2D"/>
    <w:rsid w:val="2E9D013C"/>
    <w:rsid w:val="2EE91F9A"/>
    <w:rsid w:val="2F6F1AD9"/>
    <w:rsid w:val="2F9432ED"/>
    <w:rsid w:val="305273C9"/>
    <w:rsid w:val="315522B2"/>
    <w:rsid w:val="3199108F"/>
    <w:rsid w:val="32195D2C"/>
    <w:rsid w:val="32E77BD8"/>
    <w:rsid w:val="34E02B31"/>
    <w:rsid w:val="35845606"/>
    <w:rsid w:val="36513CE6"/>
    <w:rsid w:val="365457D6"/>
    <w:rsid w:val="36C21264"/>
    <w:rsid w:val="372C02AF"/>
    <w:rsid w:val="3736112E"/>
    <w:rsid w:val="37C369BD"/>
    <w:rsid w:val="38312021"/>
    <w:rsid w:val="38327B47"/>
    <w:rsid w:val="385F700B"/>
    <w:rsid w:val="38E70932"/>
    <w:rsid w:val="38EF5A38"/>
    <w:rsid w:val="3AD818AF"/>
    <w:rsid w:val="3AE7082C"/>
    <w:rsid w:val="3B4D2FDE"/>
    <w:rsid w:val="3CA840F4"/>
    <w:rsid w:val="3D504798"/>
    <w:rsid w:val="3D566086"/>
    <w:rsid w:val="3DE715AA"/>
    <w:rsid w:val="400E0E9A"/>
    <w:rsid w:val="408E3045"/>
    <w:rsid w:val="44384BE4"/>
    <w:rsid w:val="4574179F"/>
    <w:rsid w:val="46B51F2C"/>
    <w:rsid w:val="47A13742"/>
    <w:rsid w:val="49AF6C96"/>
    <w:rsid w:val="4A37282C"/>
    <w:rsid w:val="4AA46683"/>
    <w:rsid w:val="4AE130AC"/>
    <w:rsid w:val="4B0E61F2"/>
    <w:rsid w:val="4C084E57"/>
    <w:rsid w:val="4C55732C"/>
    <w:rsid w:val="4E86609F"/>
    <w:rsid w:val="5030003C"/>
    <w:rsid w:val="50B11AF9"/>
    <w:rsid w:val="51DB6702"/>
    <w:rsid w:val="523A167B"/>
    <w:rsid w:val="52E33AC0"/>
    <w:rsid w:val="53C11BA9"/>
    <w:rsid w:val="53D004E8"/>
    <w:rsid w:val="540C7047"/>
    <w:rsid w:val="541008E5"/>
    <w:rsid w:val="54E57FC4"/>
    <w:rsid w:val="55680542"/>
    <w:rsid w:val="55BF2853"/>
    <w:rsid w:val="561A36DD"/>
    <w:rsid w:val="568D446F"/>
    <w:rsid w:val="57286D75"/>
    <w:rsid w:val="58E660B8"/>
    <w:rsid w:val="59255664"/>
    <w:rsid w:val="5A307F33"/>
    <w:rsid w:val="5A6C62B6"/>
    <w:rsid w:val="5AC672ED"/>
    <w:rsid w:val="5BAF7A77"/>
    <w:rsid w:val="5C6F29F4"/>
    <w:rsid w:val="5CC47E84"/>
    <w:rsid w:val="5D235B2D"/>
    <w:rsid w:val="5D8D744A"/>
    <w:rsid w:val="5DD75DD6"/>
    <w:rsid w:val="5FA8056B"/>
    <w:rsid w:val="61133E1C"/>
    <w:rsid w:val="616B2973"/>
    <w:rsid w:val="62A74B0A"/>
    <w:rsid w:val="65B712E3"/>
    <w:rsid w:val="660364FC"/>
    <w:rsid w:val="66B655CD"/>
    <w:rsid w:val="66ED5733"/>
    <w:rsid w:val="67D46BC1"/>
    <w:rsid w:val="680E1D09"/>
    <w:rsid w:val="694D7A8E"/>
    <w:rsid w:val="69567CE1"/>
    <w:rsid w:val="6A8E2F97"/>
    <w:rsid w:val="6B715851"/>
    <w:rsid w:val="6B79100E"/>
    <w:rsid w:val="6B8A6A7E"/>
    <w:rsid w:val="6C577330"/>
    <w:rsid w:val="6C794D74"/>
    <w:rsid w:val="6CA67BE1"/>
    <w:rsid w:val="6CF90658"/>
    <w:rsid w:val="6D7478EE"/>
    <w:rsid w:val="6D885ECE"/>
    <w:rsid w:val="6DE24C48"/>
    <w:rsid w:val="6E1B45FE"/>
    <w:rsid w:val="6F0357BE"/>
    <w:rsid w:val="70381498"/>
    <w:rsid w:val="716360A0"/>
    <w:rsid w:val="723A52BA"/>
    <w:rsid w:val="72693B8A"/>
    <w:rsid w:val="72AB41A3"/>
    <w:rsid w:val="73374D00"/>
    <w:rsid w:val="73832A2A"/>
    <w:rsid w:val="748C38C1"/>
    <w:rsid w:val="765406AD"/>
    <w:rsid w:val="76714625"/>
    <w:rsid w:val="76C43A85"/>
    <w:rsid w:val="7785787E"/>
    <w:rsid w:val="77BF5FFA"/>
    <w:rsid w:val="785506C7"/>
    <w:rsid w:val="79111614"/>
    <w:rsid w:val="79A74F98"/>
    <w:rsid w:val="7A262361"/>
    <w:rsid w:val="7AE26AF3"/>
    <w:rsid w:val="7D3A1C0A"/>
    <w:rsid w:val="7DC501C1"/>
    <w:rsid w:val="7F9E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gradFill>
                <a:gsLst>
                  <a:gs pos="0">
                    <a:srgbClr val="5B9BD5">
                      <a:hueOff val="-1670000"/>
                    </a:srgbClr>
                  </a:gs>
                  <a:gs pos="100000">
                    <a:srgbClr val="5B9BD5"/>
                  </a:gs>
                </a:gsLst>
                <a:lin ang="5400000" scaled="0"/>
              </a:gradFill>
              <a:ln>
                <a:gradFill>
                  <a:gsLst>
                    <a:gs pos="0">
                      <a:srgbClr val="5B9BD5">
                        <a:lumMod val="75000"/>
                        <a:hueOff val="-1670000"/>
                      </a:srgbClr>
                    </a:gs>
                    <a:gs pos="100000">
                      <a:srgbClr val="5B9BD5">
                        <a:lumMod val="75000"/>
                      </a:srgbClr>
                    </a:gs>
                  </a:gsLst>
                  <a:lin ang="5160000" scaled="1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0">
                    <a:srgbClr val="ED7D31">
                      <a:hueOff val="-1670000"/>
                    </a:srgbClr>
                  </a:gs>
                  <a:gs pos="100000">
                    <a:srgbClr val="ED7D31"/>
                  </a:gs>
                </a:gsLst>
                <a:lin ang="5400000" scaled="0"/>
              </a:gradFill>
              <a:ln>
                <a:gradFill>
                  <a:gsLst>
                    <a:gs pos="0">
                      <a:srgbClr val="ED7D31">
                        <a:lumMod val="75000"/>
                        <a:hueOff val="-1670000"/>
                      </a:srgbClr>
                    </a:gs>
                    <a:gs pos="100000">
                      <a:srgbClr val="ED7D31">
                        <a:lumMod val="75000"/>
                      </a:srgbClr>
                    </a:gs>
                  </a:gsLst>
                  <a:lin ang="5160000" scaled="1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0">
                    <a:srgbClr val="A5A5A5">
                      <a:hueOff val="-1670000"/>
                    </a:srgbClr>
                  </a:gs>
                  <a:gs pos="100000">
                    <a:srgbClr val="A5A5A5"/>
                  </a:gs>
                </a:gsLst>
                <a:lin ang="5400000" scaled="0"/>
              </a:gradFill>
              <a:ln>
                <a:gradFill>
                  <a:gsLst>
                    <a:gs pos="0">
                      <a:srgbClr val="A5A5A5">
                        <a:lumMod val="75000"/>
                        <a:hueOff val="-1670000"/>
                      </a:srgbClr>
                    </a:gs>
                    <a:gs pos="100000">
                      <a:srgbClr val="A5A5A5">
                        <a:lumMod val="75000"/>
                      </a:srgbClr>
                    </a:gs>
                  </a:gsLst>
                  <a:lin ang="5160000" scaled="1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0">
                    <a:srgbClr val="FFC000">
                      <a:hueOff val="-1670000"/>
                    </a:srgbClr>
                  </a:gs>
                  <a:gs pos="100000">
                    <a:srgbClr val="FFC000"/>
                  </a:gs>
                </a:gsLst>
                <a:lin ang="5400000" scaled="0"/>
              </a:gradFill>
              <a:ln>
                <a:gradFill>
                  <a:gsLst>
                    <a:gs pos="0">
                      <a:srgbClr val="FFC000">
                        <a:lumMod val="75000"/>
                        <a:hueOff val="-1670000"/>
                      </a:srgbClr>
                    </a:gs>
                    <a:gs pos="100000">
                      <a:srgbClr val="FFC000">
                        <a:lumMod val="75000"/>
                      </a:srgbClr>
                    </a:gs>
                  </a:gsLst>
                  <a:lin ang="5160000" scaled="1"/>
                </a:gradFill>
              </a:ln>
              <a:effectLst/>
            </c:spPr>
          </c:dPt>
          <c:dPt>
            <c:idx val="4"/>
            <c:bubble3D val="0"/>
            <c:spPr>
              <a:gradFill>
                <a:gsLst>
                  <a:gs pos="0">
                    <a:srgbClr val="4472C4">
                      <a:hueOff val="-1670000"/>
                    </a:srgbClr>
                  </a:gs>
                  <a:gs pos="100000">
                    <a:srgbClr val="4472C4"/>
                  </a:gs>
                </a:gsLst>
                <a:lin ang="5400000" scaled="0"/>
              </a:gradFill>
              <a:ln>
                <a:gradFill>
                  <a:gsLst>
                    <a:gs pos="0">
                      <a:srgbClr val="4472C4">
                        <a:lumMod val="75000"/>
                        <a:hueOff val="-1670000"/>
                      </a:srgbClr>
                    </a:gs>
                    <a:gs pos="100000">
                      <a:srgbClr val="4472C4">
                        <a:lumMod val="75000"/>
                      </a:srgbClr>
                    </a:gs>
                  </a:gsLst>
                  <a:lin ang="5160000" scaled="1"/>
                </a:gradFill>
              </a:ln>
              <a:effectLst/>
            </c:spPr>
          </c:dPt>
          <c:dPt>
            <c:idx val="5"/>
            <c:bubble3D val="0"/>
            <c:spPr>
              <a:gradFill>
                <a:gsLst>
                  <a:gs pos="0">
                    <a:srgbClr val="70AD47">
                      <a:hueOff val="-1670000"/>
                    </a:srgbClr>
                  </a:gs>
                  <a:gs pos="100000">
                    <a:srgbClr val="70AD47"/>
                  </a:gs>
                </a:gsLst>
                <a:lin ang="5400000" scaled="0"/>
              </a:gradFill>
              <a:ln>
                <a:gradFill>
                  <a:gsLst>
                    <a:gs pos="0">
                      <a:srgbClr val="70AD47">
                        <a:lumMod val="75000"/>
                        <a:hueOff val="-1670000"/>
                      </a:srgbClr>
                    </a:gs>
                    <a:gs pos="100000">
                      <a:srgbClr val="70AD47">
                        <a:lumMod val="75000"/>
                      </a:srgbClr>
                    </a:gs>
                  </a:gsLst>
                  <a:lin ang="5160000" scaled="1"/>
                </a:gradFill>
              </a:ln>
              <a:effectLst/>
            </c:spPr>
          </c:dPt>
          <c:dPt>
            <c:idx val="6"/>
            <c:bubble3D val="0"/>
            <c:spPr>
              <a:gradFill>
                <a:gsLst>
                  <a:gs pos="0">
                    <a:srgbClr val="5B9BD5">
                      <a:lumMod val="60000"/>
                      <a:hueOff val="-1670000"/>
                    </a:srgbClr>
                  </a:gs>
                  <a:gs pos="100000">
                    <a:srgbClr val="5B9BD5">
                      <a:lumMod val="60000"/>
                    </a:srgbClr>
                  </a:gs>
                </a:gsLst>
                <a:lin ang="5400000" scaled="0"/>
              </a:gradFill>
              <a:ln>
                <a:gradFill>
                  <a:gsLst>
                    <a:gs pos="0">
                      <a:srgbClr val="5B9BD5">
                        <a:lumMod val="60000"/>
                        <a:lumMod val="75000"/>
                        <a:hueOff val="-1670000"/>
                      </a:srgbClr>
                    </a:gs>
                    <a:gs pos="100000">
                      <a:srgbClr val="5B9BD5">
                        <a:lumMod val="60000"/>
                        <a:lumMod val="75000"/>
                      </a:srgbClr>
                    </a:gs>
                  </a:gsLst>
                  <a:lin ang="5160000" scaled="1"/>
                </a:gradFill>
              </a:ln>
              <a:effectLst/>
            </c:spPr>
          </c:dPt>
          <c:dPt>
            <c:idx val="7"/>
            <c:bubble3D val="0"/>
            <c:spPr>
              <a:gradFill>
                <a:gsLst>
                  <a:gs pos="0">
                    <a:srgbClr val="ED7D31">
                      <a:lumMod val="60000"/>
                      <a:hueOff val="-1670000"/>
                    </a:srgbClr>
                  </a:gs>
                  <a:gs pos="100000">
                    <a:srgbClr val="ED7D31">
                      <a:lumMod val="60000"/>
                    </a:srgbClr>
                  </a:gs>
                </a:gsLst>
                <a:lin ang="5400000" scaled="0"/>
              </a:gradFill>
              <a:ln>
                <a:gradFill>
                  <a:gsLst>
                    <a:gs pos="0">
                      <a:srgbClr val="ED7D31">
                        <a:lumMod val="60000"/>
                        <a:lumMod val="75000"/>
                        <a:hueOff val="-1670000"/>
                      </a:srgbClr>
                    </a:gs>
                    <a:gs pos="100000">
                      <a:srgbClr val="ED7D31">
                        <a:lumMod val="60000"/>
                        <a:lumMod val="75000"/>
                      </a:srgbClr>
                    </a:gs>
                  </a:gsLst>
                  <a:lin ang="5160000" scaled="1"/>
                </a:gradFill>
              </a:ln>
              <a:effectLst/>
            </c:spPr>
          </c:dPt>
          <c:dPt>
            <c:idx val="8"/>
            <c:bubble3D val="0"/>
            <c:spPr>
              <a:gradFill>
                <a:gsLst>
                  <a:gs pos="0">
                    <a:srgbClr val="A5A5A5">
                      <a:lumMod val="60000"/>
                      <a:hueOff val="-1670000"/>
                    </a:srgbClr>
                  </a:gs>
                  <a:gs pos="100000">
                    <a:srgbClr val="A5A5A5">
                      <a:lumMod val="60000"/>
                    </a:srgbClr>
                  </a:gs>
                </a:gsLst>
                <a:lin ang="5400000" scaled="0"/>
              </a:gradFill>
              <a:ln>
                <a:gradFill>
                  <a:gsLst>
                    <a:gs pos="0">
                      <a:srgbClr val="A5A5A5">
                        <a:lumMod val="60000"/>
                        <a:lumMod val="75000"/>
                        <a:hueOff val="-1670000"/>
                      </a:srgbClr>
                    </a:gs>
                    <a:gs pos="100000">
                      <a:srgbClr val="A5A5A5">
                        <a:lumMod val="60000"/>
                        <a:lumMod val="75000"/>
                      </a:srgbClr>
                    </a:gs>
                  </a:gsLst>
                  <a:lin ang="5160000" scaled="1"/>
                </a:gradFill>
              </a:ln>
              <a:effectLst/>
            </c:spPr>
          </c:dPt>
          <c:dPt>
            <c:idx val="9"/>
            <c:bubble3D val="0"/>
            <c:spPr>
              <a:gradFill>
                <a:gsLst>
                  <a:gs pos="0">
                    <a:srgbClr val="FFC000">
                      <a:lumMod val="60000"/>
                      <a:hueOff val="-1670000"/>
                    </a:srgbClr>
                  </a:gs>
                  <a:gs pos="100000">
                    <a:srgbClr val="FFC000">
                      <a:lumMod val="60000"/>
                    </a:srgbClr>
                  </a:gs>
                </a:gsLst>
                <a:lin ang="5400000" scaled="0"/>
              </a:gradFill>
              <a:ln>
                <a:gradFill>
                  <a:gsLst>
                    <a:gs pos="0">
                      <a:srgbClr val="FFC000">
                        <a:lumMod val="60000"/>
                        <a:lumMod val="75000"/>
                        <a:hueOff val="-1670000"/>
                      </a:srgbClr>
                    </a:gs>
                    <a:gs pos="100000">
                      <a:srgbClr val="FFC000">
                        <a:lumMod val="60000"/>
                        <a:lumMod val="75000"/>
                      </a:srgbClr>
                    </a:gs>
                  </a:gsLst>
                  <a:lin ang="5160000" scaled="1"/>
                </a:gradFill>
              </a:ln>
              <a:effectLst/>
            </c:spPr>
          </c:dPt>
          <c:dPt>
            <c:idx val="10"/>
            <c:bubble3D val="0"/>
            <c:spPr>
              <a:gradFill>
                <a:gsLst>
                  <a:gs pos="0">
                    <a:srgbClr val="4472C4">
                      <a:lumMod val="60000"/>
                      <a:hueOff val="-1670000"/>
                    </a:srgbClr>
                  </a:gs>
                  <a:gs pos="100000">
                    <a:srgbClr val="4472C4">
                      <a:lumMod val="60000"/>
                    </a:srgbClr>
                  </a:gs>
                </a:gsLst>
                <a:lin ang="5400000" scaled="0"/>
              </a:gradFill>
              <a:ln>
                <a:gradFill>
                  <a:gsLst>
                    <a:gs pos="0">
                      <a:srgbClr val="4472C4">
                        <a:lumMod val="60000"/>
                        <a:lumMod val="75000"/>
                        <a:hueOff val="-1670000"/>
                      </a:srgbClr>
                    </a:gs>
                    <a:gs pos="100000">
                      <a:srgbClr val="4472C4">
                        <a:lumMod val="60000"/>
                        <a:lumMod val="75000"/>
                      </a:srgbClr>
                    </a:gs>
                  </a:gsLst>
                  <a:lin ang="5160000" scaled="1"/>
                </a:gra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ysClr val="windowText" lastClr="000000">
                        <a:lumMod val="75000"/>
                        <a:lumOff val="25000"/>
                      </a:sys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ysClr val="windowText" lastClr="000000">
                          <a:lumMod val="35000"/>
                          <a:lumOff val="65000"/>
                        </a:sys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Sheet1!$A$2:$A$12</c:f>
              <c:strCache>
                <c:ptCount val="11"/>
                <c:pt idx="0">
                  <c:v>新闻动态</c:v>
                </c:pt>
                <c:pt idx="1">
                  <c:v>政策文件</c:v>
                </c:pt>
                <c:pt idx="2">
                  <c:v>公告公示</c:v>
                </c:pt>
                <c:pt idx="3">
                  <c:v>计划总结</c:v>
                </c:pt>
                <c:pt idx="4">
                  <c:v>会议公开</c:v>
                </c:pt>
                <c:pt idx="5">
                  <c:v>行政权力</c:v>
                </c:pt>
                <c:pt idx="6">
                  <c:v>财政预算决算</c:v>
                </c:pt>
                <c:pt idx="7">
                  <c:v>应急预案</c:v>
                </c:pt>
                <c:pt idx="8">
                  <c:v>公共服务</c:v>
                </c:pt>
                <c:pt idx="9">
                  <c:v>政务公开组织管理</c:v>
                </c:pt>
                <c:pt idx="10">
                  <c:v>政务公开基础建设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29</c:v>
                </c:pt>
                <c:pt idx="1">
                  <c:v>2</c:v>
                </c:pt>
                <c:pt idx="2">
                  <c:v>5</c:v>
                </c:pt>
                <c:pt idx="3">
                  <c:v>1</c:v>
                </c:pt>
                <c:pt idx="4">
                  <c:v>3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3</c:v>
                </c:pt>
                <c:pt idx="9">
                  <c:v>3</c:v>
                </c:pt>
                <c:pt idx="10">
                  <c:v>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1ff0830-5ff4-4087-bddc-f1a15870512b}"/>
      </c:ext>
    </c:extLst>
  </c:chart>
  <c:spPr>
    <a:solidFill>
      <a:sysClr val="window" lastClr="FFFFFF">
        <a:lumMod val="96000"/>
      </a:sysClr>
    </a:solidFill>
    <a:ln w="9525" cap="flat" cmpd="sng" algn="ctr">
      <a:solidFill>
        <a:sysClr val="windowText" lastClr="000000">
          <a:lumMod val="15000"/>
          <a:lumOff val="85000"/>
        </a:sys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9">
  <cs:axisTitle>
    <cs:lnRef idx="0"/>
    <cs:fillRef idx="0"/>
    <cs:effectRef idx="0"/>
    <cs:fontRef idx="minor">
      <a:sysClr val="windowText" lastClr="000000">
        <a:lumMod val="65000"/>
        <a:lumOff val="35000"/>
      </a:sysClr>
    </cs:fontRef>
    <cs:defRPr sz="1000" kern="1200"/>
  </cs:axisTitle>
  <cs:categoryAxis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ysClr val="windowText" lastClr="000000"/>
    </cs:fontRef>
    <cs:spPr>
      <a:solidFill>
        <a:sysClr val="window" lastClr="FFFFFF">
          <a:lumMod val="96000"/>
        </a:sysClr>
      </a:solidFill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1000" kern="1200"/>
  </cs:chartArea>
  <cs:dataLabel>
    <cs:lnRef idx="0"/>
    <cs:fillRef idx="0"/>
    <cs:effectRef idx="0"/>
    <cs:fontRef idx="minor">
      <a:sysClr val="windowText" lastClr="000000">
        <a:lumMod val="75000"/>
        <a:lumOff val="25000"/>
      </a:sysClr>
    </cs:fontRef>
    <cs:defRPr sz="1000" kern="1200"/>
  </cs:dataLabel>
  <cs:dataLabelCallout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solidFill>
        <a:sysClr val="window" lastClr="FFFFFF"/>
      </a:solidFill>
      <a:ln>
        <a:solidFill>
          <a:sysClr val="windowText" lastClr="000000">
            <a:lumMod val="25000"/>
            <a:lumOff val="75000"/>
          </a:sys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ysClr val="windowText" lastClr="000000"/>
    </cs:fontRef>
    <cs:spPr>
      <a:gradFill>
        <a:gsLst>
          <a:gs pos="0">
            <a:schemeClr val="phClr">
              <a:hueOff val="-1670000"/>
            </a:schemeClr>
          </a:gs>
          <a:gs pos="100000">
            <a:schemeClr val="phClr"/>
          </a:gs>
        </a:gsLst>
        <a:lin ang="5400000" scaled="0"/>
      </a:gradFill>
      <a:ln>
        <a:gradFill>
          <a:gsLst>
            <a:gs pos="0">
              <a:schemeClr val="phClr">
                <a:lumMod val="75000"/>
                <a:hueOff val="-1670000"/>
              </a:schemeClr>
            </a:gs>
            <a:gs pos="100000">
              <a:schemeClr val="phClr">
                <a:lumMod val="75000"/>
              </a:schemeClr>
            </a:gs>
          </a:gsLst>
          <a:lin ang="5160000" scaled="1"/>
        </a:gradFill>
      </a:ln>
      <a:effectLst/>
    </cs:spPr>
  </cs:dataPoint>
  <cs:dataPoint3D>
    <cs:lnRef idx="0"/>
    <cs:fillRef idx="1">
      <cs:styleClr val="auto"/>
    </cs:fillRef>
    <cs:effectRef idx="0"/>
    <cs:fontRef idx="minor">
      <a:sysClr val="windowText" lastClr="000000"/>
    </cs:fontRef>
    <cs:spPr>
      <a:ln w="25400">
        <a:solidFill>
          <a:sysClr val="window" lastClr="FFFFFF"/>
        </a:solidFill>
      </a:ln>
    </cs:spPr>
  </cs:dataPoint3D>
  <cs:dataPointLine>
    <cs:lnRef idx="0">
      <cs:styleClr val="auto"/>
    </cs:lnRef>
    <cs:fillRef idx="0"/>
    <cs:effectRef idx="0"/>
    <cs:fontRef idx="minor">
      <a:sysClr val="windowText" lastClr="000000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ysClr val="windowText" lastClr="000000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ysClr val="windowText" lastClr="000000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ysClr val="windowText" lastClr="000000">
        <a:lumMod val="65000"/>
        <a:lumOff val="35000"/>
      </a:sysClr>
    </cs:fontRef>
    <cs:spPr>
      <a:noFill/>
      <a:ln w="9525" cap="flat" cmpd="sng" algn="ctr">
        <a:solidFill>
          <a:sysClr val="windowText" lastClr="000000">
            <a:lumMod val="15000"/>
            <a:lumOff val="85000"/>
          </a:sysClr>
        </a:solidFill>
        <a:round/>
      </a:ln>
    </cs:spPr>
    <cs:defRPr sz="900" kern="1200"/>
  </cs:dataTable>
  <cs:downBar>
    <cs:lnRef idx="0"/>
    <cs:fillRef idx="0"/>
    <cs:effectRef idx="0"/>
    <cs:fontRef idx="minor">
      <a:sysClr val="windowText" lastClr="000000"/>
    </cs:fontRef>
    <cs:spPr>
      <a:solidFill>
        <a:sysClr val="windowText" lastClr="000000">
          <a:lumMod val="75000"/>
          <a:lumOff val="25000"/>
        </a:sysClr>
      </a:solidFill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downBar>
  <cs:dropLine>
    <cs:lnRef idx="0"/>
    <cs:fillRef idx="0"/>
    <cs:effectRef idx="0"/>
    <cs:fontRef idx="minor">
      <a:sysClr val="windowText" lastClr="000000"/>
    </cs:fontRef>
    <cs:spPr>
      <a:ln w="9525">
        <a:solidFill>
          <a:sysClr val="windowText" lastClr="000000">
            <a:lumMod val="35000"/>
            <a:lumOff val="65000"/>
          </a:sysClr>
        </a:solidFill>
      </a:ln>
    </cs:spPr>
  </cs:dropLine>
  <cs:errorBa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errorBar>
  <cs:floor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floor>
  <cs:gridlineMaj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" lastClr="FFFFFF">
            <a:lumMod val="90200"/>
          </a:sysClr>
        </a:solidFill>
        <a:round/>
      </a:ln>
    </cs:spPr>
  </cs:gridlineMajor>
  <cs:gridlineMinor>
    <cs:lnRef idx="0"/>
    <cs:fillRef idx="0"/>
    <cs:effectRef idx="0"/>
    <cs:fontRef idx="minor">
      <a:sysClr val="windowText" lastClr="000000"/>
    </cs:fontRef>
    <cs:spPr>
      <a:ln w="9525" cap="flat" cmpd="sng" algn="ctr">
        <a:solidFill>
          <a:sysClr val="windowText" lastClr="000000">
            <a:lumMod val="5000"/>
            <a:lumOff val="95000"/>
          </a:sysClr>
        </a:solidFill>
        <a:round/>
      </a:ln>
    </cs:spPr>
  </cs:gridlineMinor>
  <cs:hiLoLine>
    <cs:lnRef idx="0"/>
    <cs:fillRef idx="0"/>
    <cs:effectRef idx="0"/>
    <cs:fontRef idx="minor">
      <a:sysClr val="windowText" lastClr="000000"/>
    </cs:fontRef>
    <cs:spPr>
      <a:ln w="9525">
        <a:solidFill>
          <a:sysClr val="windowText" lastClr="000000">
            <a:lumMod val="75000"/>
            <a:lumOff val="25000"/>
          </a:sysClr>
        </a:solidFill>
      </a:ln>
    </cs:spPr>
  </cs:hiLoLine>
  <cs:leaderLine>
    <cs:lnRef idx="0"/>
    <cs:fillRef idx="0"/>
    <cs:effectRef idx="0"/>
    <cs:fontRef idx="minor">
      <a:sysClr val="windowText" lastClr="000000"/>
    </cs:fontRef>
    <cs:spPr>
      <a:ln w="9525">
        <a:solidFill>
          <a:sysClr val="windowText" lastClr="000000">
            <a:lumMod val="35000"/>
            <a:lumOff val="65000"/>
          </a:sysClr>
        </a:solidFill>
      </a:ln>
    </cs:spPr>
  </cs:leaderLine>
  <cs:legend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legend>
  <cs:plotArea mods="allowNoFillOverride allowNoLineOverride">
    <cs:lnRef idx="0"/>
    <cs:fillRef idx="0"/>
    <cs:effectRef idx="0"/>
    <cs:fontRef idx="minor">
      <a:sysClr val="windowText" lastClr="000000"/>
    </cs:fontRef>
  </cs:plotArea>
  <cs:plotArea3D mods="allowNoFillOverride allowNoLineOverride">
    <cs:lnRef idx="0"/>
    <cs:fillRef idx="0"/>
    <cs:effectRef idx="0"/>
    <cs:fontRef idx="minor">
      <a:sysClr val="windowText" lastClr="000000"/>
    </cs:fontRef>
  </cs:plotArea3D>
  <cs:series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seriesAxis>
  <cs:seriesLine>
    <cs:lnRef idx="0"/>
    <cs:fillRef idx="0"/>
    <cs:effectRef idx="0"/>
    <cs:fontRef idx="minor">
      <a:sysClr val="windowText" lastClr="000000"/>
    </cs:fontRef>
    <cs:spPr>
      <a:ln w="9525">
        <a:solidFill>
          <a:sysClr val="windowText" lastClr="000000">
            <a:lumMod val="35000"/>
            <a:lumOff val="65000"/>
          </a:sysClr>
        </a:solidFill>
      </a:ln>
    </cs:spPr>
  </cs:seriesLine>
  <cs:title>
    <cs:lnRef idx="0"/>
    <cs:fillRef idx="0"/>
    <cs:effectRef idx="0"/>
    <cs:fontRef idx="minor">
      <a:sysClr val="windowText" lastClr="000000">
        <a:lumMod val="75000"/>
        <a:lumOff val="25000"/>
      </a:sysClr>
    </cs:fontRef>
    <cs:defRPr sz="1400" b="1" kern="1200" baseline="0"/>
  </cs:title>
  <cs:trendline>
    <cs:lnRef idx="0">
      <cs:styleClr val="auto"/>
    </cs:lnRef>
    <cs:fillRef idx="0"/>
    <cs:effectRef idx="0"/>
    <cs:fontRef idx="minor">
      <a:sysClr val="windowText" lastClr="000000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trendlineLabel>
  <cs:upBar>
    <cs:lnRef idx="0"/>
    <cs:fillRef idx="0"/>
    <cs:effectRef idx="0"/>
    <cs:fontRef idx="minor">
      <a:sysClr val="windowText" lastClr="000000"/>
    </cs:fontRef>
    <cs:spPr>
      <a:solidFill>
        <a:sysClr val="window" lastClr="FFFFFF"/>
      </a:solidFill>
      <a:ln w="9525" cap="flat" cmpd="sng" algn="ctr">
        <a:solidFill>
          <a:sysClr val="windowText" lastClr="000000">
            <a:lumMod val="65000"/>
            <a:lumOff val="35000"/>
          </a:sysClr>
        </a:solidFill>
        <a:round/>
      </a:ln>
    </cs:spPr>
  </cs:upBar>
  <cs:valueAxis>
    <cs:lnRef idx="0"/>
    <cs:fillRef idx="0"/>
    <cs:effectRef idx="0"/>
    <cs:fontRef idx="minor">
      <a:sysClr val="windowText" lastClr="000000">
        <a:lumMod val="65000"/>
        <a:lumOff val="35000"/>
      </a:sysClr>
    </cs:fontRef>
    <cs:defRPr sz="900" kern="1200"/>
  </cs:valueAxis>
  <cs:wall>
    <cs:lnRef idx="0"/>
    <cs:fillRef idx="0"/>
    <cs:effectRef idx="0"/>
    <cs:fontRef idx="minor">
      <a:sysClr val="windowText" lastClr="000000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1301</Words>
  <Characters>1346</Characters>
  <Lines>0</Lines>
  <Paragraphs>0</Paragraphs>
  <TotalTime>24</TotalTime>
  <ScaleCrop>false</ScaleCrop>
  <LinksUpToDate>false</LinksUpToDate>
  <CharactersWithSpaces>1389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2025-12-17T01:42:00Z</dcterms:created>
  <dc:creator>tuaaut</dc:creator>
  <cp:lastModifiedBy>WPS_1559661723</cp:lastModifiedBy>
  <dcterms:modified xsi:type="dcterms:W3CDTF">2026-01-28T01:40:07Z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57B2AC86966641DB9B0744DAF9A40D0A_11</vt:lpwstr>
  </property>
  <property fmtid="{D5CDD505-2E9C-101B-9397-08002B2CF9AE}" pid="4" name="KSOTemplateDocerSaveRecord">
    <vt:lpwstr>eyJoZGlkIjoiODhhNDNjYmI4NDg0N2RkM2NkNzEwZGEyMzI0YzllNTUiLCJ1c2VySWQiOiI1NzE0ODA2OTEifQ==</vt:lpwstr>
  </property>
</Properties>
</file>