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40"/>
        </w:rPr>
      </w:pPr>
      <w:r>
        <w:rPr>
          <w:rFonts w:hint="default" w:ascii="Times New Roman" w:hAnsi="Times New Roman" w:eastAsia="仿宋_GB2312" w:cs="Times New Roman"/>
          <w:sz w:val="32"/>
          <w:szCs w:val="40"/>
        </w:rPr>
        <w:t>汶政办</w:t>
      </w:r>
      <w:r>
        <w:rPr>
          <w:rFonts w:hint="default" w:ascii="Times New Roman" w:hAnsi="Times New Roman" w:eastAsia="仿宋_GB2312" w:cs="Times New Roman"/>
          <w:sz w:val="32"/>
          <w:szCs w:val="40"/>
          <w:lang w:eastAsia="zh-CN"/>
        </w:rPr>
        <w:t>字</w:t>
      </w:r>
      <w:r>
        <w:rPr>
          <w:rFonts w:hint="default" w:ascii="Times New Roman" w:hAnsi="Times New Roman" w:eastAsia="仿宋_GB2312" w:cs="Times New Roman"/>
          <w:sz w:val="32"/>
          <w:szCs w:val="40"/>
        </w:rPr>
        <w:t>〔20</w:t>
      </w: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2</w:t>
      </w:r>
      <w:r>
        <w:rPr>
          <w:rFonts w:hint="eastAsia" w:eastAsia="仿宋_GB2312" w:cs="Times New Roman"/>
          <w:sz w:val="32"/>
          <w:szCs w:val="40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40"/>
        </w:rPr>
        <w:t>〕</w:t>
      </w:r>
      <w:r>
        <w:rPr>
          <w:rFonts w:hint="eastAsia" w:eastAsia="仿宋_GB2312" w:cs="Times New Roman"/>
          <w:sz w:val="32"/>
          <w:szCs w:val="40"/>
          <w:lang w:val="en-US" w:eastAsia="zh-CN"/>
        </w:rPr>
        <w:t>14</w:t>
      </w:r>
      <w:r>
        <w:rPr>
          <w:rFonts w:hint="default" w:ascii="Times New Roman" w:hAnsi="Times New Roman" w:eastAsia="仿宋_GB2312" w:cs="Times New Roman"/>
          <w:sz w:val="32"/>
          <w:szCs w:val="40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5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52"/>
          <w:lang w:val="en-US" w:eastAsia="zh-CN"/>
        </w:rPr>
        <w:t>汶上县人民政府办公室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5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52"/>
          <w:lang w:val="en-US" w:eastAsia="zh-CN"/>
        </w:rPr>
        <w:t>关于印发202</w:t>
      </w:r>
      <w:r>
        <w:rPr>
          <w:rFonts w:hint="eastAsia" w:ascii="Times New Roman" w:hAnsi="Times New Roman" w:eastAsia="方正小标宋简体" w:cs="Times New Roman"/>
          <w:sz w:val="44"/>
          <w:szCs w:val="52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sz w:val="44"/>
          <w:szCs w:val="52"/>
          <w:lang w:val="en-US" w:eastAsia="zh-CN"/>
        </w:rPr>
        <w:t>年</w:t>
      </w:r>
      <w:r>
        <w:rPr>
          <w:rFonts w:hint="eastAsia" w:ascii="Times New Roman" w:hAnsi="Times New Roman" w:eastAsia="方正小标宋简体" w:cs="Times New Roman"/>
          <w:sz w:val="44"/>
          <w:szCs w:val="52"/>
          <w:lang w:val="en-US" w:eastAsia="zh-CN"/>
        </w:rPr>
        <w:t>汶上县</w:t>
      </w:r>
      <w:r>
        <w:rPr>
          <w:rFonts w:hint="default" w:ascii="Times New Roman" w:hAnsi="Times New Roman" w:eastAsia="方正小标宋简体" w:cs="Times New Roman"/>
          <w:sz w:val="44"/>
          <w:szCs w:val="52"/>
          <w:lang w:val="en-US" w:eastAsia="zh-CN"/>
        </w:rPr>
        <w:t>政务公开工作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52"/>
          <w:lang w:val="en-US" w:eastAsia="zh-CN"/>
        </w:rPr>
        <w:t>任务分解表</w:t>
      </w:r>
      <w:r>
        <w:rPr>
          <w:rFonts w:hint="eastAsia" w:ascii="Times New Roman" w:hAnsi="Times New Roman" w:eastAsia="方正小标宋简体" w:cs="Times New Roman"/>
          <w:sz w:val="44"/>
          <w:szCs w:val="52"/>
          <w:lang w:val="en-US" w:eastAsia="zh-CN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各乡镇（街道）人民政府（办事处），县</w:t>
      </w:r>
      <w:r>
        <w:rPr>
          <w:rFonts w:hint="eastAsia" w:eastAsia="仿宋_GB2312" w:cs="Times New Roman"/>
          <w:lang w:val="en-US" w:eastAsia="zh-CN"/>
        </w:rPr>
        <w:t>直有关</w:t>
      </w:r>
      <w:r>
        <w:rPr>
          <w:rFonts w:hint="default" w:ascii="Times New Roman" w:hAnsi="Times New Roman" w:eastAsia="仿宋_GB2312" w:cs="Times New Roman"/>
        </w:rPr>
        <w:t>部门、单位：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为认真贯彻落实国家、省</w:t>
      </w:r>
      <w:r>
        <w:rPr>
          <w:rFonts w:hint="eastAsia" w:eastAsia="仿宋_GB2312" w:cs="Times New Roman"/>
          <w:lang w:eastAsia="zh-CN"/>
        </w:rPr>
        <w:t>、</w:t>
      </w:r>
      <w:r>
        <w:rPr>
          <w:rFonts w:hint="default" w:ascii="Times New Roman" w:hAnsi="Times New Roman" w:eastAsia="仿宋_GB2312" w:cs="Times New Roman"/>
        </w:rPr>
        <w:t>市关于全面推进政务公开工作的决策部署，切实提升全县政务公开水平，按照市政府办公室《关于印发2021年济宁市政务公开工作任务分解表的通知》（济政办字〔2021〕18号）要求，经县政府同意，现将《2021年汶上县政务公开工作任务分解表》印发给你们，并提出如下意见，请认真抓好落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eastAsia="仿宋_GB2312" w:cs="Times New Roman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>一、</w:t>
      </w:r>
      <w:r>
        <w:rPr>
          <w:rFonts w:hint="eastAsia" w:ascii="黑体" w:hAnsi="黑体" w:eastAsia="黑体" w:cs="黑体"/>
        </w:rPr>
        <w:t>加强组织保障，落实工作责任。</w:t>
      </w:r>
      <w:r>
        <w:rPr>
          <w:rFonts w:hint="default" w:ascii="Times New Roman" w:hAnsi="Times New Roman" w:eastAsia="仿宋_GB2312" w:cs="Times New Roman"/>
        </w:rPr>
        <w:t>各级各部门要高度重视政务公开工作，围绕政务公开重点任务，加强机构建设、人员配备和经费保障</w:t>
      </w:r>
      <w:r>
        <w:rPr>
          <w:rFonts w:hint="eastAsia" w:eastAsia="仿宋_GB2312" w:cs="Times New Roman"/>
          <w:lang w:eastAsia="zh-CN"/>
        </w:rPr>
        <w:t>。</w:t>
      </w:r>
      <w:r>
        <w:rPr>
          <w:rFonts w:hint="eastAsia" w:eastAsia="仿宋_GB2312" w:cs="Times New Roman"/>
          <w:lang w:val="en-US" w:eastAsia="zh-CN"/>
        </w:rPr>
        <w:t>严格落实政务公开工作责任制，</w:t>
      </w:r>
      <w:r>
        <w:rPr>
          <w:rFonts w:hint="default" w:ascii="Times New Roman" w:hAnsi="Times New Roman" w:eastAsia="仿宋_GB2312" w:cs="Times New Roman"/>
        </w:rPr>
        <w:t>主要负责人要定期听取政务公开工作汇报，分管负责人要直接参与政务公开相关工作。明确</w:t>
      </w:r>
      <w:r>
        <w:rPr>
          <w:rFonts w:hint="eastAsia" w:eastAsia="仿宋_GB2312" w:cs="Times New Roman"/>
          <w:lang w:val="en-US" w:eastAsia="zh-CN"/>
        </w:rPr>
        <w:t>政务公开</w:t>
      </w:r>
      <w:r>
        <w:rPr>
          <w:rFonts w:hint="default" w:ascii="Times New Roman" w:hAnsi="Times New Roman" w:eastAsia="仿宋_GB2312" w:cs="Times New Roman"/>
        </w:rPr>
        <w:t>工作承担机构，</w:t>
      </w:r>
      <w:r>
        <w:rPr>
          <w:rFonts w:hint="eastAsia" w:eastAsia="仿宋_GB2312" w:cs="Times New Roman"/>
          <w:lang w:val="en-US" w:eastAsia="zh-CN"/>
        </w:rPr>
        <w:t>确保</w:t>
      </w:r>
      <w:r>
        <w:rPr>
          <w:rFonts w:hint="default" w:ascii="Times New Roman" w:hAnsi="Times New Roman" w:eastAsia="仿宋_GB2312" w:cs="Times New Roman"/>
        </w:rPr>
        <w:t>有专人负责</w:t>
      </w:r>
      <w:r>
        <w:rPr>
          <w:rFonts w:hint="eastAsia" w:eastAsia="仿宋_GB2312" w:cs="Times New Roman"/>
          <w:lang w:eastAsia="zh-CN"/>
        </w:rPr>
        <w:t>；</w:t>
      </w:r>
      <w:r>
        <w:rPr>
          <w:rFonts w:hint="default" w:ascii="Times New Roman" w:hAnsi="Times New Roman" w:eastAsia="仿宋_GB2312" w:cs="Times New Roman"/>
        </w:rPr>
        <w:t>将公开责任落实到每个</w:t>
      </w:r>
      <w:r>
        <w:rPr>
          <w:rFonts w:hint="eastAsia" w:eastAsia="仿宋_GB2312" w:cs="Times New Roman"/>
          <w:lang w:val="en-US" w:eastAsia="zh-CN"/>
        </w:rPr>
        <w:t>科室</w:t>
      </w:r>
      <w:r>
        <w:rPr>
          <w:rFonts w:hint="default" w:ascii="Times New Roman" w:hAnsi="Times New Roman" w:eastAsia="仿宋_GB2312" w:cs="Times New Roman"/>
        </w:rPr>
        <w:t>，形成工作合力，确保各项公开工作顺利完成</w:t>
      </w:r>
      <w:r>
        <w:rPr>
          <w:rFonts w:hint="eastAsia" w:eastAsia="仿宋_GB2312" w:cs="Times New Roman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黑体" w:hAnsi="黑体" w:eastAsia="黑体" w:cs="黑体"/>
        </w:rPr>
        <w:t>二、突出公开重点，提升公开质量。</w:t>
      </w:r>
      <w:r>
        <w:rPr>
          <w:rFonts w:hint="eastAsia" w:ascii="Times New Roman" w:hAnsi="Times New Roman" w:eastAsia="仿宋_GB2312" w:cs="Times New Roman"/>
          <w:lang w:val="en-US" w:eastAsia="zh-CN"/>
        </w:rPr>
        <w:t>各级各部门</w:t>
      </w:r>
      <w:r>
        <w:rPr>
          <w:rFonts w:hint="default" w:ascii="Times New Roman" w:hAnsi="Times New Roman" w:eastAsia="仿宋_GB2312" w:cs="Times New Roman"/>
        </w:rPr>
        <w:t>在做好政务公开基础工作的同时，</w:t>
      </w:r>
      <w:r>
        <w:rPr>
          <w:rFonts w:hint="eastAsia" w:ascii="Times New Roman" w:hAnsi="Times New Roman" w:eastAsia="仿宋_GB2312" w:cs="Times New Roman"/>
          <w:lang w:val="en-US" w:eastAsia="zh-CN"/>
        </w:rPr>
        <w:t>要</w:t>
      </w:r>
      <w:r>
        <w:rPr>
          <w:rFonts w:hint="default" w:ascii="Times New Roman" w:hAnsi="Times New Roman" w:eastAsia="仿宋_GB2312" w:cs="Times New Roman"/>
        </w:rPr>
        <w:t>突出做好决策公开、执行公开、重点领域信息公开、重要政策措施解读、政务舆情和社会热点回应、政民互动等重点工作。要完善依申请公开办理工作制度，优化办理流程，规范答复格式，做好材料归档，不断提升依申请公开答复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黑体" w:hAnsi="黑体" w:eastAsia="黑体" w:cs="黑体"/>
        </w:rPr>
        <w:t>三、严格督导考核，强化日常监督。</w:t>
      </w:r>
      <w:r>
        <w:rPr>
          <w:rFonts w:hint="default" w:ascii="Times New Roman" w:hAnsi="Times New Roman" w:eastAsia="仿宋_GB2312" w:cs="Times New Roman"/>
        </w:rPr>
        <w:t>政务公开已连续三年纳入全县经济社会发展综合考核指标体系，各级各部门</w:t>
      </w:r>
      <w:r>
        <w:rPr>
          <w:rFonts w:hint="eastAsia" w:eastAsia="仿宋_GB2312" w:cs="Times New Roman"/>
          <w:lang w:val="en-US" w:eastAsia="zh-CN"/>
        </w:rPr>
        <w:t>务必</w:t>
      </w:r>
      <w:r>
        <w:rPr>
          <w:rFonts w:hint="default" w:ascii="Times New Roman" w:hAnsi="Times New Roman" w:eastAsia="仿宋_GB2312" w:cs="Times New Roman"/>
        </w:rPr>
        <w:t>高度重视</w:t>
      </w:r>
      <w:r>
        <w:rPr>
          <w:rFonts w:hint="eastAsia" w:eastAsia="仿宋_GB2312" w:cs="Times New Roman"/>
          <w:lang w:eastAsia="zh-CN"/>
        </w:rPr>
        <w:t>，</w:t>
      </w:r>
      <w:r>
        <w:rPr>
          <w:rFonts w:hint="default" w:ascii="Times New Roman" w:hAnsi="Times New Roman" w:eastAsia="仿宋_GB2312" w:cs="Times New Roman"/>
        </w:rPr>
        <w:t>对年度工作任务逐项对照检查落实情况。县政府办公室将强化日常监督，通过建立台账、跟踪调度、重点督查等形式，定期对任务落实情况进行督查通报。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黑体" w:hAnsi="黑体" w:eastAsia="黑体" w:cs="黑体"/>
        </w:rPr>
        <w:t>四、立足基层实际，积极探索创新。</w:t>
      </w:r>
      <w:r>
        <w:rPr>
          <w:rFonts w:hint="default" w:ascii="Times New Roman" w:hAnsi="Times New Roman" w:eastAsia="仿宋_GB2312" w:cs="Times New Roman"/>
        </w:rPr>
        <w:t>各级各部门要主动学习借鉴其他地区好的经验做法，结合我县实际，围绕行政权力运行全过程、重点领域信息公开、社会关切回应全方位等方面，在公开机制、公开目录、公开标准、公开流程、公开平台建设和公开效果提升上大胆探索创新，多出可复制可推广的经验和案例，全面提升政务公开工作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各级各部门要围绕县委、县政府中心工作，认真对照《2021年汶上县政务公开工作任务分解表》，结合部门实际，进一步细化任务目标，落实职责分工，制定具体实施方案或工作措施，</w:t>
      </w:r>
      <w:r>
        <w:rPr>
          <w:rFonts w:hint="default" w:ascii="Times New Roman" w:hAnsi="Times New Roman" w:eastAsia="仿宋_GB2312" w:cs="Times New Roman"/>
          <w:lang w:val="en-US" w:eastAsia="zh-CN"/>
        </w:rPr>
        <w:t>以部门正式文件予以印发，并</w:t>
      </w:r>
      <w:r>
        <w:rPr>
          <w:rFonts w:hint="default" w:ascii="Times New Roman" w:hAnsi="Times New Roman" w:eastAsia="仿宋_GB2312" w:cs="Times New Roman"/>
        </w:rPr>
        <w:t>于</w:t>
      </w:r>
      <w:r>
        <w:rPr>
          <w:rFonts w:hint="default" w:ascii="Times New Roman" w:hAnsi="Times New Roman" w:eastAsia="仿宋_GB2312" w:cs="Times New Roman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</w:rPr>
        <w:t>月</w:t>
      </w:r>
      <w:r>
        <w:rPr>
          <w:rFonts w:hint="default" w:ascii="Times New Roman" w:hAnsi="Times New Roman" w:eastAsia="仿宋_GB2312" w:cs="Times New Roman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</w:rPr>
        <w:t>日前通过县政府门户网站</w:t>
      </w:r>
      <w:r>
        <w:rPr>
          <w:rFonts w:hint="default" w:ascii="Times New Roman" w:hAnsi="Times New Roman" w:eastAsia="仿宋_GB2312" w:cs="Times New Roman"/>
          <w:lang w:val="en-US" w:eastAsia="zh-CN"/>
        </w:rPr>
        <w:t>政府信息公开</w:t>
      </w:r>
      <w:r>
        <w:rPr>
          <w:rFonts w:hint="default" w:ascii="Times New Roman" w:hAnsi="Times New Roman" w:eastAsia="仿宋_GB2312" w:cs="Times New Roman"/>
        </w:rPr>
        <w:t>专栏向社会公开发布，并将落实情况纳入政府信息公开工作年度报告。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附件：2021年汶上县政务公开工作任务分解表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0" w:firstLineChars="15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 xml:space="preserve">汶上县人民政府办公室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right"/>
        <w:textAlignment w:val="auto"/>
        <w:rPr>
          <w:rFonts w:hint="default" w:ascii="Times New Roman" w:hAnsi="Times New Roman" w:eastAsia="仿宋_GB2312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</w:rPr>
        <w:t>2021年</w:t>
      </w:r>
      <w:r>
        <w:rPr>
          <w:rFonts w:hint="eastAsia" w:eastAsia="仿宋_GB2312" w:cs="Times New Roman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</w:rPr>
        <w:t>月</w:t>
      </w:r>
      <w:r>
        <w:rPr>
          <w:rFonts w:hint="eastAsia" w:eastAsia="仿宋_GB2312" w:cs="Times New Roman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</w:rPr>
        <w:t>日</w:t>
      </w:r>
      <w:r>
        <w:rPr>
          <w:rFonts w:hint="eastAsia" w:eastAsia="仿宋_GB2312" w:cs="Times New Roman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</w:rPr>
        <w:sectPr>
          <w:footerReference r:id="rId3" w:type="default"/>
          <w:pgSz w:w="11906" w:h="16838"/>
          <w:pgMar w:top="1587" w:right="1474" w:bottom="1587" w:left="1474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line="600" w:lineRule="exact"/>
        <w:jc w:val="left"/>
        <w:rPr>
          <w:rFonts w:hint="eastAsia" w:ascii="黑体" w:hAnsi="黑体" w:eastAsia="黑体" w:cs="黑体"/>
          <w:b w:val="0"/>
          <w:bCs/>
          <w:color w:val="000000"/>
        </w:rPr>
      </w:pPr>
      <w:r>
        <w:rPr>
          <w:rFonts w:hint="eastAsia" w:ascii="黑体" w:hAnsi="黑体" w:eastAsia="黑体" w:cs="黑体"/>
          <w:b w:val="0"/>
          <w:bCs/>
          <w:color w:val="000000"/>
        </w:rPr>
        <w:t>附件</w:t>
      </w:r>
    </w:p>
    <w:p>
      <w:pPr>
        <w:spacing w:line="560" w:lineRule="exact"/>
        <w:jc w:val="center"/>
        <w:rPr>
          <w:rFonts w:ascii="方正小标宋简体" w:hAnsi="宋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宋体" w:eastAsia="方正小标宋简体" w:cs="方正小标宋简体"/>
          <w:b w:val="0"/>
          <w:bCs/>
          <w:sz w:val="44"/>
          <w:szCs w:val="44"/>
          <w:lang w:bidi="ar"/>
        </w:rPr>
        <w:t>2021年汶上县政务公开工作任务分解表</w:t>
      </w:r>
    </w:p>
    <w:p>
      <w:pPr>
        <w:spacing w:line="240" w:lineRule="exact"/>
        <w:jc w:val="center"/>
        <w:rPr>
          <w:rFonts w:ascii="方正小标宋简体" w:hAnsi="宋体" w:eastAsia="方正小标宋简体" w:cs="方正小标宋简体"/>
          <w:b/>
          <w:sz w:val="44"/>
          <w:szCs w:val="44"/>
        </w:rPr>
      </w:pPr>
    </w:p>
    <w:tbl>
      <w:tblPr>
        <w:tblStyle w:val="9"/>
        <w:tblW w:w="141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2939"/>
        <w:gridCol w:w="3799"/>
        <w:gridCol w:w="6152"/>
        <w:gridCol w:w="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trHeight w:val="425" w:hRule="atLeast"/>
          <w:tblHeader/>
          <w:jc w:val="center"/>
        </w:trPr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黑体简体" w:hAnsi="宋体" w:eastAsia="方正黑体简体" w:cs="方正黑体简体"/>
                <w:b w:val="0"/>
                <w:bCs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方正黑体简体"/>
                <w:b w:val="0"/>
                <w:bCs/>
                <w:sz w:val="24"/>
                <w:szCs w:val="24"/>
                <w:lang w:bidi="ar"/>
              </w:rPr>
              <w:t>工作任务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黑体简体" w:hAnsi="宋体" w:eastAsia="方正黑体简体" w:cs="方正黑体简体"/>
                <w:b w:val="0"/>
                <w:bCs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方正黑体简体"/>
                <w:b w:val="0"/>
                <w:bCs/>
                <w:sz w:val="24"/>
                <w:szCs w:val="24"/>
                <w:lang w:bidi="ar"/>
              </w:rPr>
              <w:t>牵头部门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黑体简体" w:hAnsi="宋体" w:eastAsia="方正黑体简体" w:cs="方正黑体简体"/>
                <w:b w:val="0"/>
                <w:bCs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方正黑体简体"/>
                <w:b w:val="0"/>
                <w:bCs/>
                <w:sz w:val="24"/>
                <w:szCs w:val="24"/>
                <w:lang w:bidi="ar"/>
              </w:rPr>
              <w:t>责任单位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方正黑体简体" w:hAnsi="宋体" w:eastAsia="方正黑体简体" w:cs="方正黑体简体"/>
                <w:b w:val="0"/>
                <w:bCs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方正黑体简体"/>
                <w:b w:val="0"/>
                <w:bCs/>
                <w:sz w:val="24"/>
                <w:szCs w:val="24"/>
                <w:lang w:bidi="ar"/>
              </w:rPr>
              <w:t>具体要求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418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方正楷体简体" w:hAnsi="宋体" w:eastAsia="方正楷体简体" w:cs="方正黑体简体"/>
                <w:b/>
                <w:sz w:val="24"/>
                <w:szCs w:val="24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/>
                <w:sz w:val="21"/>
                <w:szCs w:val="21"/>
                <w:lang w:bidi="ar"/>
              </w:rPr>
              <w:t>一、深化重点领域政府信息公开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978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（一）立足实施重大战略推进政务公开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县自然资源和规划局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主动公开本地区“十四五”规划和专项规划、空间规划、区域规划等，做好本地历史规划（计划）的归集整理和主动公开工作。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91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抓好区域协调发展重点任务落实信息公开。开展新旧动能转换显著成效、政策举措和“三年初见成效”重大成果的宣传活动。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54" w:hRule="atLeast"/>
          <w:jc w:val="center"/>
        </w:trPr>
        <w:tc>
          <w:tcPr>
            <w:tcW w:w="126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（二）着眼畅通经济循环推进政务公开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县工业和信息化局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县商务局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做好重点项目建设和产业政策实施情况公开。实施大数据创新应用突破行动，做好数据开放工作。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39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县市场监督管理局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县商务局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做好培育新一代消费热点、全面促进消费升级等政策措施落实情况公开。加大推进我县省级食品安全县创建工作信息公开力度。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77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县财政局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稳步扩大财政预决算公开范围，推进部门和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乡镇（街道）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预算、决算及相关报表公开。持续深化地方政府债务信息公开。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749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  <w:t>县财政局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县农业农村局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加大惠民惠农政策和资金发放信息公开力度，推动补贴信息公开向农村和社区延伸。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90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（三）聚焦优化营商环境推进政务公开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县委编办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更新完善权责清单和本级政府行政机关机构职能目录并按要求公开，结合法律法规修订、行政权力变化情况，进行动态调整。推进政务服务标准化、规范化、便利化。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201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县行政审批服务局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县财政局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县司法局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县市场监督管理局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做好精准落实宏观政策、深化减权放权、完善监管机制、创新服务方式等方面的信息公开。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8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县市场监督管理局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县政府有关部门、单位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做好市场规则标准和监管执法信息公开。及时公开建设高标准市场体系行动方案的落实举措，加强反垄断与反不正当竞争执法信息发布工作。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79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县司法局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县政府有关部门、单位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，、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7"/>
              <w:widowControl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加大“互联网+执法”、公共法律服务等信息公开力度。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00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（四）聚力保民生保安全推进政务公开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县人力资源和社会保障局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县退役军人事务局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县民政局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县政府有关部门、单位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 xml:space="preserve">各乡镇（街道）人民政府（办事处） 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加大高校毕业生、退役军人、困难人员等就业信息公开力度。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543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县教育和体育局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持续做好学前教育行动计划、义务教育入学等信息公开。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1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县人力资源和社会保障局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县民政局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县医疗保障局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深化社会保障、社会救助和养老医疗服务信息公开。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94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市生态环境局汶上县分局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县自然资源和规划局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县工业和信息化局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县政府有关部门、单位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-64" w:leftChars="-20" w:right="-64" w:rightChars="-20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推进实行排污许可、自然资源统一确权登记等信息公开。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76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" w:bidi="ar"/>
              </w:rPr>
              <w:t>应急管理局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-64" w:leftChars="-20" w:right="-64" w:rightChars="-20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加强安全生产信息公开，加大事故查处和责任追究信息公开力度。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730" w:hRule="atLeast"/>
          <w:jc w:val="center"/>
        </w:trPr>
        <w:tc>
          <w:tcPr>
            <w:tcW w:w="126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（五）突出疫情防控推进政务公开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县卫生健康局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县公安局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县市场监督管理局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县政府有关部门、单位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widowControl/>
              <w:snapToGrid w:val="0"/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 xml:space="preserve">各乡镇（街道）人民政府（办事处） 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-64" w:leftChars="-20" w:right="-64" w:rightChars="-20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准确把握常态化新冠肺炎疫情防控的阶段性特征，重点围绕散发疫情、隔离管控、精准防控、冷链运输、流调溯源、疫苗使用、假期人员流动等发布权威信息。提高疫情防控信息发布规范化水平，发布社会关注的重大政策、内容敏感的重要信息前，强化政府系统内部信息整合，统一步调对外发声。做好国家和省、市重大健康行动方案的信息公开，大力开展健康科普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2255" w:hRule="atLeast"/>
          <w:jc w:val="center"/>
        </w:trPr>
        <w:tc>
          <w:tcPr>
            <w:tcW w:w="126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（六）全面推进公共企事业单位信息公开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县教育和体育局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县卫生健康局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县住房和城乡建设局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县水务局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县交通运输局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县供电公司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-64" w:leftChars="-20" w:right="-64" w:rightChars="-20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认真贯彻落实《公共企事业单位信息公开规定制定办法》，对照国务院有关部委出台的公共企事业单位信息公开规定，及时制定落实措施，重点公开与人民群众日常生产生活密切相关、对营商环境影响较大、直接关系服务对象切身利益、事关生产安全和消费者人身财产安全、社会舆论关注度高、反映问题较多的重要信息。要抓紧建立申诉工作制度，明确处理期限和流程，依法依规及时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3940" w:hRule="atLeast"/>
          <w:jc w:val="center"/>
        </w:trPr>
        <w:tc>
          <w:tcPr>
            <w:tcW w:w="126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（七）主动公开2021年政府工作报告决策事项工作进展、取得成效、后续举措和落实情况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 xml:space="preserve">县工业和信息化局 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县发展和改革局、县科技局、县商务局、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 xml:space="preserve">各乡镇（街道）人民政府（办事处） 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聚焦打造制造业强县，对接“231”产业集群，围绕“3+1”产业布局，全面推行“链长制”，一链一策一专班，提升产业链供应链稳定性和竞争力，确保三大主导产业主营业务收入增长10%以上，规模工业增加值增长7%以上。装备制造产业，抢抓国家“两新一重”战略机遇，引导华首重工、海纬机车、金成机械，加大轨道交通、节能电气、智能装备、工程机械及零部件生产研发，融入全市高端装备产业链条。高端化工产业，以绿色、安全、循环利用为方向，以中银电化、洲蓝环保、中科功能新材料为龙头，加强上下游企业配套，布局高端催化剂、电子化学品等新产品，推动产业沿链聚合、集群发展。纺织服装产业，发挥凯蒙纺织、华城百灵、爱丝制衣加工优势，鼓励发展个性化定制、柔性化生产，补齐研发设计、品牌营销等短板，推动产业全链条优化升级。实施产业培育示范工程，鼓励本土企业关联配套、产业合作，提高地方产品配套率，形成以领航型企业带动、上下游产业配套、中小微企业协同发展的“企业链”。新增规模工业企业50家以上，纳税过亿元非煤企业1家、过千万元企业3家。实施百项技改工程，加快装备换芯、机器换人、生产换线，实现工业技改投资60亿元。大力弘扬“企业家精神”“工匠精神”，加强企业家队伍建设，构建“亲清”新型政商关系，让企业家政治上更受重视、发展上更有活力、权益上更有保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01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县工业和信息化局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县科技局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聚焦数字经济、人工智能等新领域，抓好大数据、云计算新技术应用，推进华力机电、鹰联光电项目建设，加快实现新兴产业“新苗发金芽”。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448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县工业和信息化局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县统计局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县发展和改革局、县科技局、县商务局、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县商贸物流发展中心，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实施“双20”制造业企业培育行动，“一企一策”精准扶持。引导华力机电、洲蓝环保等企业，敢于拿出优质资源，靠大联强、膨胀规模。建立“小升规”企业培育库，引导中小企业专注研发、壮大实力，培育一批单项冠军、瞪羚企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82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县金融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  <w:t>发展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服务中心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县公安局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县发展和改革局、县工业和信息化局、县商务局、县行政审批服务局、县人行、县银保监办、各金融机构、县经济开发区管委会、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强化企业上市培育，推进华力机电、华首重工上市步伐，助推新风光电子科创板成功上市，完成10家企业新四板挂牌。优化民营经济发展环境，深化政银企对接合作，加大中小微企业金融支持。严厉打击恶意逃废金融债务行为，大力压降不良贷款，维护良好金融生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63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县文化和旅游局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汶上街道办事处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中都街道办事处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郭楼镇人民政府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白石镇人民政府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、县商务局</w:t>
            </w:r>
            <w:r>
              <w:rPr>
                <w:rFonts w:hint="eastAsia" w:eastAsia="仿宋_GB2312" w:cs="Times New Roman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有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关乡镇（街道）人民政府（办事处）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 xml:space="preserve">推进全域旅游。编制大运河国家文化公园概念性规划，加快南旺枢纽遗址公园建设，打造运河文化新高地；聚合宝相寺、莲花湖景区优势，分步实施宝相寺路、尚书路和中都大街北段改造，打造特色文化街区；推进古城、昙山风景区提档升级，打造八里桥“万亩花海”，发展壮大旅游经济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33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县商务局</w:t>
            </w:r>
          </w:p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</w:pP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县商贸物流发展中心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县发展和改革局、县农业农村局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实施“电商换市”战略。建设汶上电子商务产业园，支持电商带货、网络直播等新模式，推进电商、快递进农村，争创省级电子商务进农村综合示范县。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县工业和信息化局、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县商务局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县投资促进服务中心、县行政审批服务局、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推动生活性服务业品质化。培育发展联民、银座、利客来城市商圈，繁荣发展夜间经济、假日经济，引导消费升级，激发消费潜能。全力攻坚项目建设。持续开展“项目建设年”活动，高效运行“1+3+N”项目推进机制，实行重点项目全过程代办、全链条跟踪、全方位服务，确保项目早落地、早建设、早投产。加快汶华香兰素、西曼克机器人、中科功能新材料等13个亿元项目建设，确保邦达化工、协力气体、汉峰新材料等8个项目竣工投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67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县交通运输局</w:t>
            </w:r>
          </w:p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</w:pP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县商贸物流发展中心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康驿镇人民政府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县发展和改革局、县商务局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南旺镇人民政府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加快南旺港作业区建设，推进天梓物流园、华儒智慧冷链物流园建设，让更多产品“走出汶上、直销全国”。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63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</w:pP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县商贸物流发展中心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县卫生健康局</w:t>
            </w:r>
          </w:p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县金融发展服务中心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县发展和改革局、县商务局、县人行、县银保监办、中都街道办事处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加快发展楼宇经济、金融保险、医养健康等新业态，推进北京汶商科技研发中心、县中医院康养中心建设，确保1家商业银行落户。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县商务局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县投资促进服务中心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县发展和改革局、县工业和信息化局、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聚力突破招商引资。聚焦国家“双循环”战略，围绕三大主导产业，细分产业链、完善信息链，绘制产业招商图谱，盯紧重点区域，瞄准头部企业，确保引进一批强链型、补链型项目。发挥产业招商办、驻外联络处和招商公司作用，建立“招商合伙人”制度，开展以商招商、市场化招商，招引一批投资规模大、产出效率高的新项目、好项目。年内引进过亿元项目16个以上，过10亿元项目2个以上，过50亿元项目1个以上。鼓励如意技术、万发服饰等企业，利用跨境电商发展对外贸易，支持企业出口转内销，稳住外贸基本盘；借助青洽会、厦洽会、儒商大会等平台，拓展对外合作空间，全年实际利用外资2500万美元，完成外贸进出口总额13亿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县自然资源和规划局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县发展和改革局、县工业和信息化局、县住房和城乡建设局、县行政审批服务局、县农业农村局、县投资促进服务中心、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 xml:space="preserve">各乡镇（街道）人民政府（办事处） 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实行“要素跟着项目走”，推进闲散地增减挂钩，加大工矿废弃地复垦，保障重点项目用地需求。强化“亩均论英雄”导向，推行“标准地”供地模式，鼓励建设标准厂房，把有限资源优先用于大项目、好项目。高质量完成县级国土空间规划编制，加快乡镇空间规划和村级规划编制，科学划定“三区三线”，让空间布局更加合理、城市魅力更加彰显。稳步推进住房产权历史遗留问题化解。开展国土绿化行动，全面推行“林长制”，实施通道连绿、水系扩绿、镇村增绿、荒山披绿工程，新增造林面积2000亩，让中都大地处处绿意盎然。坚守耕地保护红线，采取长牙齿的硬措施，严格落实农村乱占耕地“八不准”要求，加大违法用地整治力度，坚决遏制新增违法用地，守护好宝贵的土地资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93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县财政局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县税务局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落实减税降费政策，助推企业纾难解困，让企业获得更多“阳光雨露”。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68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县经济开发区管委会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县发展和改革局、县商务局、</w:t>
            </w:r>
          </w:p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县投资促进服务中心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开发区（化工区）聚焦主责主业，编制发展规划，严格扎口管理，加快时尚智造产业园、鲁西南两高两新“区中园”建设，推进基础设施、智慧平台PPP项目，提升园区承载能力和集群效应，奋力冲刺全省30强。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16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康驿镇人民政府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县工业和信息化局、县商务局、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县投资促进服务中心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汶南产城融合发展示范区立足区位优势，完成详规编制，强化项目招引，加快深圳建筑科技谷项目建设，打造济汶融合发展产业承接区。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48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</w:pP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县商贸物流发展中心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中都街道办事处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县发展和改革局、县工业和信息化局、县商务局、县投资促进服务中心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商贸物流区围绕商贸物流、电子商务、总部经济等新兴业态，推进智慧化服务平台、中农批二期、现代金融产业园建设，打造创新创智高地、宜商宜业新区。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22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白石镇人民政府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县石材产业服务中心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县工业和信息化局、县自然资源和规划局、市生态环境局汶上县分局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石材产业园围绕绿色循环发展，加强矿山环境整治和生态修复，规范石材加工企业，推进企业入园生产，建设高标准绿色园区，推动石材产业提档升级、长远发展。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69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县农业农村局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县自然资源和规划局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坚持藏粮于地、藏粮于技，深化粮食绿色高质高效创建，完成6万亩高标准农田建设，坚决遏制耕地“非农化”、防止“非粮化”，保障粮食安全。实施国家级农村宅基地制度改革，探索宅基地“三权分置”具体实现形式，推进农村资源变资产、资金变股金、农民变股民，增加农民收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县农业农村局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县发展和改革局、县市场监督管理局、县商务局、县自然资源和规划局、</w:t>
            </w:r>
          </w:p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县供销社、县投资促进服务中心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依托特色农业资源优势，发展脱毒甘薯种苗培育，推进芦花鸡精深加工，延伸农业产业链条，提高农产品附加值和品牌效益，打造更多叫得响、立得住的“汶字号”农业品牌。以“粮头食尾”“农头工尾”为抓手，启动食品工业园建设，强化龙头企业培育，加大农业项目招引，确保无花果小镇项目落地，逐步健全生产、加工、仓储、物流全链条。坚持一镇一业、一村一品，发展核桃、中药材、设施瓜菜等特色产业，推进现代农业产业园建设，鼓励发展休闲农业、创意农业，推动农业全环节提升、全链条增值，让农业好吃好看又好玩。发展农业适度规模经营，加大土地流转力度，推广“1+4+N”服务模式，实现农户和现代农业有机衔接，土地流转率保持在75%以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县住房和城乡建设局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县农业农村局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县水务局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县交通运输局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县卫生健康局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围绕“服务农民的区域中心”功能定位，实施乡村建设行动，加快乡镇驻地“十个一”改造提升，推进杨店、次邱、郭仓等镇驻地建设，提高镇驻地吸附力、集聚度，打造功能齐全、环境优美、宜居宜业的新型小城镇。稳步推进美丽宜居乡村建设，加快美和佳苑二期、寅阳新城等5个社区建设，完成北园二期、万庄二期社区回迁，打造群众满意、秀美宜居的美丽家园。实施新一轮农村人居环境整治行动，全域治理残垣断壁、破旧房屋，深化农村垃圾分类试点，探索实施环卫保洁“双轨制”；加快农村供水管网升级改造，完成65个行政村生活污水治理，建成次邱镇污水处理厂，完善“户户通”工程建设，创建国家卫生乡镇4个，新增美丽乡村示范村17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县民政局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县残联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深入推进移风易俗，巩固殡葬改革成果，形成文明乡风、良好家风、淳朴民风。加强和改进乡村治理，按期完成村（社区）换届选举，持续开展村务公开。改革完善社会救助制度，实施“先行救助”模式，稳步提高养老、社会救助标准；完善社区养老服务设施，加快社会福利中心建设，新建小区养老设施配建率达到100%。完善残疾人、孤残儿童关爱服务，推进全国“护童成长”试点项目，完成未成年人救助保护中心建设，大力发展慈善事业，构建多层次社会保障体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22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县财政局</w:t>
            </w:r>
          </w:p>
          <w:p>
            <w:pPr>
              <w:spacing w:line="300" w:lineRule="exact"/>
              <w:rPr>
                <w:rFonts w:hint="default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县农业农村局</w:t>
            </w:r>
          </w:p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县金融发展服务中心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县人行、县银保监办、</w:t>
            </w:r>
          </w:p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省农担公司汶上办事处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创新财政金融支持乡村振兴服务模式，大力推行“鲁担惠农贷”，扩大农业保险覆盖面。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431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县扶贫办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严格落实“四个不摘”要求，保持帮扶政策总体稳定，持续巩固脱贫攻坚成果。探索解决相对贫困长效机制，健全防止返贫动态监测和帮扶机制；壮大扶贫特色产业，推进脱贫攻坚与乡村振兴有效衔接，让人民群众的小康生活成色更足、质量更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县住房和城乡建设局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县交通运输局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快林庄片区回迁楼建设，力争小楼、东门片区年内实现回迁。推进老旧住宅小区改造提升，完成3大片区、10个老旧小区改造，让居民生活更便捷、住得更舒适。优化路网结构，新改扩建五台山路、宝塔路等道路7条，适时启动汽车南站、城西公交枢纽建设，构建畅通便捷的交通体系。完善城区集中供热系统，加快热电联产项目建设，完成城区换热站改造，新增集中供热面积30万平方米。推进管道天然气向社区延伸，新增天然气用户6000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67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县水务局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汶上街道办事处、中都街道办事处、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南站街道办事处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加快城区雨污分流改造，完成雨污管网20公里，增强城市防洪排涝能力。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21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  <w:t>县综合行政执法局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市生态环境局汶上县分局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县水务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  <w:t>局</w:t>
            </w:r>
          </w:p>
          <w:p>
            <w:pPr>
              <w:spacing w:line="300" w:lineRule="exact"/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eastAsia="zh-CN" w:bidi="ar"/>
              </w:rPr>
            </w:pP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 w:bidi="ar"/>
              </w:rPr>
              <w:t>县商贸物流发展中心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县政府有关部门、单位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县开元集团、汶上街道办事处、中都街道办事处、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南站街道办事处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加快全民健身广场、潜流湿地、森林公园建设，新建一批口袋绿地、袖珍公园和滨河廊道，形成“出门见绿、小行见园”的5分钟绿地圈，新增绿化面积30万平方米。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89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  <w:t>县水务局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县综合行政执法局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县住房和城乡建设局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县工业和信息化局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  <w:t>县公安局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县交通运输局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县卫生健康局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县政府有关部门、单位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汶上街道办事处、中都街道办事处、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南站街道办事处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实施城市“亮化”工程，扮靓中都夜景。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完善数字化城管平台功能，建立地下管网电子档案，加快建设智慧城市。巩固国家卫生县城创建成果，推进市容环境综合整治，抓好背街小巷环境治理，建立“无缝隙、全覆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盖”环卫保洁制度，新建公厕5座、垃圾转运站2座，让城市更洁净。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9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县公安局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县综合行政执法局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县交通运输局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有关乡镇（街道）人民政府（办事处）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开展城区交通秩序整治，全面攻坚“三小车辆”整治问题，优化公交线路，合理配置停车位，有效改善城区交通秩序，让城市更畅通。实施交通畅通安全工程，加快次义公路西段、济北旅游大道升级改造，推进临邹线大修、泉河大道延伸工程，科学规划济宁新机场、鲁南高铁站连接线，构建外联内通、覆盖城乡的综合交通体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58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pacing w:val="-6"/>
                <w:sz w:val="21"/>
                <w:szCs w:val="21"/>
                <w:lang w:bidi="ar"/>
              </w:rPr>
              <w:t>县住房保障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pacing w:val="-6"/>
                <w:sz w:val="21"/>
                <w:szCs w:val="21"/>
                <w:lang w:val="en-US" w:eastAsia="zh-CN" w:bidi="ar"/>
              </w:rPr>
              <w:t>和房地产发展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pacing w:val="-6"/>
                <w:sz w:val="21"/>
                <w:szCs w:val="21"/>
                <w:lang w:bidi="ar"/>
              </w:rPr>
              <w:t>中心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汶上街道办事处、中都街道办事处、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南站街道办事处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坚持“房住不炒”定位，促进房地产市场平稳健康发展。开展“物业管理服务提升年”活动，推进小区物业全覆盖，提升群众幸福感和满意度，让城市更温暖。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03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县发展和改革局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县工业和信息化局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县供电公司、各通信公司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加快“新基建”布局，推进5G基站、新能源和充电设施建设，实现城区5G网络全覆盖，让5G赋能千行百业、千家万户。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49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县委编办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高标准完成事业单位改革，推进乡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镇（街道）</w:t>
            </w:r>
            <w:bookmarkStart w:id="0" w:name="_GoBack"/>
            <w:bookmarkEnd w:id="0"/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赋权增能减负。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96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县开元集团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县汶源集团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县行政审批服务局、县住房和城乡建设局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县综合行政执法局、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南站街道办事处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加快为民服务中心建设，确保年内投入使用。54．持续深化国企改革，支持开元集团、汶源集团做大做强。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68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县行政审批服务局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县市场监督管理局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聚焦群众感受、企业感知，更大力度简政放权、制度创新、流程再造，深化“一网通办”“一次办好”，完善“1+3+3”审批新模式，提升“济时通”APP汶上分厅功能，实现“跨省通办”事项58项，“全省通办”事项191项，行政许可事项网办率达到100%，让企业和群众办事“跑一次”成为上限、“不用跑”成为常态。创新柔性监管、信用监管、智慧监管，使监管既“无事不扰”又“无处不在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581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县行政审批服务局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新增市场主体6000个。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县科技局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县发展和改革局、县工业和信息化局、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坚持把创新放在核心位置，集聚创新资源，提升创新能力，梯次培育壮大科技型企业。年内新增国家级高新技术企业6家。实施研发机构培育三年行动，推动骨干企业创建工程实验室，支持“校企”合作，共建共享创新平台，成立汶上服饰文化与产业研究院，年内新增省级以上研发平台2家。发挥好复材成型技术与装备研究院平台优势，加速科研成果转化，培育发展新动能，高新技术产业产值占比提高3个百分点以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县人力资源和社会保障局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县医疗保障局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县发展和改革局、县工业和信息化局、县科技局、县教育和体育局、县财政局、县卫生健康局、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坚持人才第一资源理念，用好博士智库联盟资源，实施领军人才培育、产业人才集聚、人才平台提质等五大工程，探索“人才+项目+资本”模式，吸引各类人才来汶创新创业，年内引进高层次人才30名以上。用好就业创业孵化基地，实施高技能人才素质提升、企业优秀青年成长计划，拓展“产教结合、校企合作、工学一体”培养模式，培训各类技能人才6000名，打造知识型、技能型劳动者大军。强化就业优先政策，加大援企稳岗支持力度，千方百计稳定和扩大就业。坚持创业就业联动，统筹做好高校毕业生、就业困难人员、农民工等重点群体就业，年内新增城镇就业2600人以上，城镇登记失业率控制在3%以内。持续实施全民参保计划，推行“电子社保”，推进社保转移接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县农业农村局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县人力资源和社会保障局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实施乡村工匠培训工程，推进职业农民职称制度改革，建立乡土人才数据库，培育高素质农民，筑牢乡村振兴人才基石。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市生态环境局汶上县分局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县交通运输局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县公安局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县水务局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县农业农村局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县综合行政执法局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县发展和改革局、县工业和信息化局、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县商贸物流发展中心，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深入推进“四减四增”，打好蓝天、碧水、净土保卫战。围绕空气提优，压实21条工作专线职责，深度治理燃煤、扬尘、移动源污染，全面淘汰国Ⅲ及以下柴油货车，抓好城区烟花爆竹禁放，实现化工企业达标排放监测全覆盖，确保空气质量持续好转、优良天数持续增加。围绕水体提标，深入落实河长制，抓好河流断面水质管控，严厉打击偷排偷放行为，确保水质稳定达标；加强污水处理厂运营管理，治理农村废旧坑塘，确保饮用水水源地水质安全。围绕土壤提质，严控农业面源污染，深化畜禽养殖污染防治，加强土壤环境管理修复，全面提升耕地质量，建设用地和耕地污染地块安全利用率达到90%以上。规范危险废弃物管理，提升固体废弃物综合利用，确保圣泽环保科技发电项目投入运营。严把生态保护红线、环境质量底线和资源利用上线，严控产业导向、项目准入、节能减排“三个关口”，大力发展循环经济、低碳经济，严防高耗能、高污染项目落户，提高经济发展“含绿量”。倡导绿色低碳生活，开展生态文明创建，让勤俭节约、低碳绿色、健康文明的生活方式成为新风尚。加大环境执法力度，严厉打击破坏生态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356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县水务局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县文化和旅游局</w:t>
            </w:r>
            <w:r>
              <w:rPr>
                <w:rFonts w:hint="eastAsia" w:eastAsia="仿宋_GB2312" w:cs="Times New Roman"/>
                <w:b w:val="0"/>
                <w:bCs/>
                <w:sz w:val="21"/>
                <w:szCs w:val="21"/>
                <w:lang w:eastAsia="zh-CN"/>
              </w:rPr>
              <w:t>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加强重点水利工程建设，规划大汶河生态观光带，推进泉河南支河道拦蓄、防洪除涝工程，完成泉河下游、小汶河、泉汶渠建设，逐步打通23条骨干排水沟，确保所有村庄不进水、作物不受淹。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县委统筹疫情防控和经济运行工作领导小组（指挥部）办公室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县卫生健康局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常态长效抓好疫情防控。坚持慎终如始、严防死守，毫不放松抓好“外防输入、内防反弹”，落实落细常态化精准防控措施，坚决捍卫来之不易的疫情防控成果。完善突发公共卫生事件监测预警处置机制，科学规划公共卫生医疗中心，扎紧织密防护网，筑牢筑实隔离墙，保障人民群众生命健康安全。建设“健康汶上”。健全公共卫生体系，支持县中医院争创三级甲等中医院，确保县二院新院区投入使用；规划建设县康复医院新院区，推进乡镇一级卫生院全覆盖，提升村级卫生室规范化水平，逐步实现“小病不出乡、大病不出县”。提高优生优育服务水平，促进人口长期均衡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90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县教育和体育局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建设“教育强县”。实施新一轮学前教育行动计划，新增学位1080个，普惠率达到87%以上。高标准规划建设一处九年一贯制学校，加快第二实验中学等3所学校建设，确保西和园中学、特殊教育学校投入使用，均衡发展乡镇中小学，让更多的孩子在家门口“上好学”；大力发展现代职业教育，提升对产业的支撑能力，打造汶上职业教育创新高地；坚持立德树人，加强师德师风建设，高质量开展教师培训，壮大高素质教师队伍，办好人民满意的教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19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县文化和旅游局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县广播电视台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建设“文化名县”。提升公共文化服务水平，丰富群众文体活动，大力倡导全民阅读，确保行政村儒学讲堂实现全覆盖。用好县级融媒体中心，构建全媒体传播体系，讲好汶上故事、发出最美“汶上声音”。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431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县应急管理局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严格落实安全生产责任制，开展安全生产专项整治三年行动，推进双重预防体系建设，严防各类事故发生。健全应急管理体系，加强应急救灾物资储备，开展自然灾害综合风险普查，提高防灾、减灾、抗灾、救灾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64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县市场监督管理局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加强食品药品全程监管，创成省级食品安全县，守护好群众“舌尖上的安全”。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49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县公安局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推进“雪亮工程”扩面提标，建设一批智慧安防社区；常态化推进扫黑除恶，保持社会和谐稳定。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1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县信访局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拓展“和为贵”社会治理服务中心功能，推进信访积案化解，及时回应群众诉求，构建共建共治共享社会治理新格局。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564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县统计局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推进统计改革创新，圆满完成第七次全国人口普查。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2" w:hRule="atLeast"/>
          <w:jc w:val="center"/>
        </w:trPr>
        <w:tc>
          <w:tcPr>
            <w:tcW w:w="1418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二、加强和改进政策发布解读回应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90" w:hRule="atLeast"/>
          <w:jc w:val="center"/>
        </w:trPr>
        <w:tc>
          <w:tcPr>
            <w:tcW w:w="12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（八）持续加强重大政策发布解读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以推动新旧动能转换、服务和改善民生、招商引资、重大基础设施建设、重大科技创新等领域为重点，及时发布权威信息，精心解读相关政策措施，促进各项政策落地见效。严格落实政策解读“三同步”制度，行政规范性文件、重要政策文件、有关工作年度报告等，均应进行解读。扩大政策解读传播面，对于重要政策文件及解读材料，要协调主要新闻媒体、重点网站和新媒体平台转发转载，提高政策到达率和知晓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66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（九）不断改进政策解读方式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政策制定机关要积极解答政策执行机关和社会公众的咨询，精准传达政策意图。政府信息公开工作机构要加强内部协调，畅通本机关政策咨询渠道。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9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 xml:space="preserve">县政府各部门、单位 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依托政务热线服务中心、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实体服务大厅和政务服务网，设立政策咨询综合服务窗口，为企业群众提供“一号答”“一站式”的政策咨询服务。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6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全面提升解读工作质量，更加注重对政策背景、出台目的、重要举措等方面的实质性解读。推行政策施行后解读，对政策公布后社会的普遍疑虑和争议点，有针对性地开展深度解读、延伸解读。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65" w:hRule="atLeast"/>
          <w:jc w:val="center"/>
        </w:trPr>
        <w:tc>
          <w:tcPr>
            <w:tcW w:w="126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（十）积极回应社会关切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做好人大代表和政协委员建议提案办理情况信息公开工作。加强舆情回应台账管理，注意对照检查并及时公开2021年政府工作报告决策事项的工作进展和落实情况。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278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县人力资源和社会保障局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县教育和体育局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县卫生健康局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县应急管理局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县市场监督管理局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县金融发展服务中心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县民政局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市生态环境局汶上县分局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县自然资源和规划局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县住房和城乡建设局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县医疗保障局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县政府有关部门、单位，</w:t>
            </w:r>
          </w:p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密切关注涉及疫情防控、经济金融、工资拖欠、生态环境污染、食药安全、教育医疗养老、安全生产、市场监管、房地产市场、困难群众生活等方面的舆情，及时作出回应。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8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 xml:space="preserve">县政府各部门、单位 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进一步完善政务公开、宣传、网信、信访等部门沟通和协调联动机制，综合用好依申请公开、“一网通办”、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政务热线服务中心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、领导信箱、政务微博微信、政府网站留言板、O20等渠道，提高对社会热点的发现、搜集和反馈能力。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14187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三、强化公众参与推动高水平决策公开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2675" w:hRule="atLeast"/>
          <w:jc w:val="center"/>
        </w:trPr>
        <w:tc>
          <w:tcPr>
            <w:tcW w:w="126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（十一）组织编制年度重大决策事项目录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县司法局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认真落实《重大行政决策程序暂行条例》（国务院令第713号）《山东省重大行政决策程序规定》（省政府令第336号）等要求，结合我县实际和年度重点工作，组织编制年度决策事项目录，明确决策事项名称、承办单位等内容。除依法应当保密的外，应当及时公开。后续要根据决策事项的推进情况，以目录归集的方式，对各事项的决策草案、制订背景、意见征集采纳情况、会议审议情况、决策结果等各项信息进行超链接展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2045" w:hRule="atLeast"/>
          <w:jc w:val="center"/>
        </w:trPr>
        <w:tc>
          <w:tcPr>
            <w:tcW w:w="126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（十二）畅通公众参与渠道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决策机关应在政府网站及时发布重大行政决策相关信息、征求意见及其反馈情况。决策承办单位可以采取座谈会、书面征求意见、向社会公开征求意见、实地走访、听证会、问卷调查、民意调查等多种方式广泛听取意见，意见收集、采纳情况，以及较为集中意见不予采纳的原因要向社会公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400" w:hRule="atLeast"/>
          <w:jc w:val="center"/>
        </w:trPr>
        <w:tc>
          <w:tcPr>
            <w:tcW w:w="126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（十三）扎实搞好政民互动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常态化落实邀请利益相关方等列席政府决策会议制度，代表列席和意见发表采纳情况向社会公开。积极开展政府开放日或政府开放周、政务公开日、网络问政、电视问政等多种形式的公众参与活动。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62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县行政审批服务局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县住房和城乡建设局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县自然资源和规划局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县教育和体育局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县卫生健康局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县应急管理局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县政府有关部门、单位，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对优化营商环境、征地拆迁、教育医疗、安全生产等社会关注度高的工作，鼓励借助5G、云直播、视频直播、VR等新技术开展线上系列主题活动，引导利益相关方和公众代表参与工作监督和评价。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1418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四、全面提升基层政务公开标准化规范化水平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2215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（十四）严格政府信息管理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用好行政法规集中统一公开成果，对照中国政府法制信息网行政法规库的国家正式版本，更新网站上的行政法规文本。全面推进行政规范性文件和政策性文件集中统一公开，2021年年底前系统清理本机关现行有效的行政规范性文件和政策性文件（2016年以后制定的），通过政府网站的政府信息公开专栏集中公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529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严格落实公文公开属性源头认定机制，县政府各部门、单位报请县政府或县政府办公室发文的，须明确标识主动公开、依申请公开、不予公开属性，并同步报送政策解读稿件。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415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（十五）提高依申请公开工作质量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推进依申请公开标准化规范化建设，进一步健全完善登记、审核、办理、答复、归档等工作制度，严格依法依规办理。完善申请办理会商机制，加强部门协作研究，防范法律风险。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34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完善依申请公开定期分析机制，梳理总结群众关注的征地拆迁、就业就学、社会保障等方面的热点难点，积极推动向主动公开转化。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9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县司法局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行政复议机关要加强与市政府有关部门对接，规范政府信息公开行政复议案件审理标准。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855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（十六）加强政务公开平台建设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县行政审批服务局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聚焦数字政府“一个平台一个号、一张网络一朵云”建设，深入推进政府门户网站、政务公开网、政务服务网全面融合，实现“进一张网，办全省事”。健全政务新媒体监管机制，针对一哄而上、重复建设、“娱乐化”、“空壳”等问题有序开展清理整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77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28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2021年年底前，确保县政府门户网站支持互联网协议第6版。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49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健全法定主动公开内容专栏的日常检查、维护和更新机制。定期出版发行政府公报，统一刊登县级政府规范性文件以及所属部门规范性文件。明确纸质版政府公报赠阅范围，将创刊以来的所有政府公报实现入库管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350" w:hRule="atLeast"/>
          <w:jc w:val="center"/>
        </w:trPr>
        <w:tc>
          <w:tcPr>
            <w:tcW w:w="126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（十七）推进基层政务公开标准化规范化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根据国务院相关部门其他领域标准指引编制情况，进一步完善本级政务公开事项标准目录。对政务公开事项标准目录进行跟踪评估，以基层群众实际需求为导向及时优化调整完善。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37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 xml:space="preserve">县政府各部门、单位 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进一步做好政务公开专区、政府信息公开窗口等线下公开场所和平台建设，充分将专区运营和企业市民办事需求相融合。推动基层政务公开标准化规范化向农村和社区延伸。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  <w:jc w:val="center"/>
        </w:trPr>
        <w:tc>
          <w:tcPr>
            <w:tcW w:w="1418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五、严格政务公开工作保障和落实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26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（十八）进一步健全工作协调机制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各级政务公开领导小组要定期召开会议，切实发挥统筹指导协调推进职责。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090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加强政务公开工作经费保障，要在年度预算中统筹考虑，确保政策解读、第三方评估、公开专栏建设等工作顺利开展。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604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县政府各部门、单位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各乡镇（街道）人民政府（办事处）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加强政务公开宣传，营造良好的公开氛围。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879" w:hRule="atLeast"/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（十九）进一步加强培训考核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 xml:space="preserve">县政府各部门、单位 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完善政务公开培训工作，分级分类做好培训组织。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785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建立健全政务公开考核制度，继续开展第三方评估和专项评议。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589" w:hRule="atLeast"/>
          <w:jc w:val="center"/>
        </w:trPr>
        <w:tc>
          <w:tcPr>
            <w:tcW w:w="12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强化激励问责，对政务公开工作推动有力、贡献突出的单位和个人予以表扬。对工作落实不到位、考核长期落后的单位，公开通报批评，督促工作整改提升。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162" w:hRule="atLeast"/>
          <w:jc w:val="center"/>
        </w:trPr>
        <w:tc>
          <w:tcPr>
            <w:tcW w:w="12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（二十）进一步改进工作作风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加强工作指导，打造具有本地特色的政务公开品牌。日常指导和评估考核工作中，充分借助信息化手段。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417" w:hRule="atLeast"/>
          <w:jc w:val="center"/>
        </w:trPr>
        <w:tc>
          <w:tcPr>
            <w:tcW w:w="12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（二十一）进一步抓好任务落实</w:t>
            </w:r>
          </w:p>
        </w:tc>
        <w:tc>
          <w:tcPr>
            <w:tcW w:w="2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县政府办公室</w:t>
            </w:r>
          </w:p>
        </w:tc>
        <w:tc>
          <w:tcPr>
            <w:tcW w:w="3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县政府各部门、单位，</w:t>
            </w:r>
          </w:p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</w:rPr>
              <w:t>各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乡镇（街道）人民政府（办事处）</w:t>
            </w:r>
          </w:p>
        </w:tc>
        <w:tc>
          <w:tcPr>
            <w:tcW w:w="6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1"/>
                <w:szCs w:val="21"/>
                <w:lang w:bidi="ar"/>
              </w:rPr>
              <w:t>对本要点提出的涉及本地、本系统的重点任务，梳理形成工作台账，加强监督，确保落实到位。对上一年度工作要点落实情况开展回头看，重点针对有明确责任主体和时限要求的工作任务，逐项核查落实情况，未完成的要依法督促整改。</w:t>
            </w:r>
          </w:p>
        </w:tc>
      </w:tr>
    </w:tbl>
    <w:p/>
    <w:p/>
    <w:p/>
    <w:p/>
    <w:p/>
    <w:p/>
    <w:p/>
    <w:p/>
    <w:p>
      <w:p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320" w:firstLineChars="100"/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54610</wp:posOffset>
                </wp:positionV>
                <wp:extent cx="573405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5pt;margin-top:4.3pt;height:0pt;width:451.5pt;z-index:251659264;mso-width-relative:page;mso-height-relative:page;" filled="f" stroked="t" coordsize="21600,21600" o:gfxdata="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4RgLo9MAAAAGAQAADwAAAAAAAAABACAAAAAiAAAAZHJzL2Rvd25yZXYueG1sUEsB&#10;AhQAFAAAAAgAh07iQFcTg8L6AQAA8gMAAA4AAAAAAAAAAQAgAAAAI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  <w:t>抄送：县委各部门，县人大常委会办公室，县政协办公室，县人武部，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1061" w:firstLineChars="379"/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  <w:t>县法院，县检察院。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firstLine="320" w:firstLineChars="100"/>
        <w:textAlignment w:val="center"/>
      </w:pPr>
      <w:r>
        <w:rPr>
          <w:rFonts w:hint="default" w:ascii="Times New Roman" w:hAnsi="Times New Roman" w:cs="Times New Roman"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20955</wp:posOffset>
                </wp:positionV>
                <wp:extent cx="573405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75pt;margin-top:1.65pt;height:0pt;width:451.5pt;z-index:251661312;mso-width-relative:page;mso-height-relative:page;" filled="f" stroked="t" coordsize="21600,21600" o:gfxdata="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AObK0gAAAAYBAAAPAAAAAAAAAAEAIAAAACIAAABkcnMvZG93bnJldi54bWxQSwEC&#10;FAAUAAAACACHTuJAmJCYGfoBAADyAwAADgAAAAAAAAABACAAAAAh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367665</wp:posOffset>
                </wp:positionV>
                <wp:extent cx="573405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95pt;margin-top:28.95pt;height:0pt;width:451.5pt;z-index:251660288;mso-width-relative:page;mso-height-relative:page;" filled="f" stroked="t" coordsize="21600,21600" o:gfxdata="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X30Bc9cAAAAIAQAADwAAAAAAAAABACAAAAAiAAAAZHJzL2Rvd25yZXYueG1s&#10;UEsBAhQAFAAAAAgAh07iQDekC7v5AQAA8gMAAA4AAAAAAAAAAQAgAAAAJg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  <w:t xml:space="preserve">汶上县人民政府办公室                  </w:t>
      </w: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  <w:t xml:space="preserve">  202</w:t>
      </w: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  <w:t>年</w:t>
      </w:r>
      <w:r>
        <w:rPr>
          <w:rFonts w:hint="eastAsia" w:eastAsia="仿宋_GB2312" w:cs="Times New Roman"/>
          <w:snapToGrid w:val="0"/>
          <w:color w:val="auto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  <w:t>月</w:t>
      </w:r>
      <w:r>
        <w:rPr>
          <w:rFonts w:hint="eastAsia" w:eastAsia="仿宋_GB2312" w:cs="Times New Roman"/>
          <w:snapToGrid w:val="0"/>
          <w:color w:val="auto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napToGrid w:val="0"/>
          <w:color w:val="auto"/>
          <w:sz w:val="28"/>
          <w:szCs w:val="28"/>
        </w:rPr>
        <w:t>日印发</w:t>
      </w:r>
    </w:p>
    <w:sectPr>
      <w:footerReference r:id="rId4" w:type="default"/>
      <w:pgSz w:w="11906" w:h="16838"/>
      <w:pgMar w:top="1587" w:right="1474" w:bottom="1587" w:left="1474" w:header="851" w:footer="1191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FB09EE-10C2-4490-BD32-F83C754178F4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52D16940-08FD-4B58-94EC-6A79C7DDA5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8FAC0D5-D87E-4E44-8286-D16BD6A588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98ABF4C-CB40-4862-86EB-718570F361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FB7B9AD-85DE-44D3-B76D-125247B73EBB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2352258B-FAB8-4923-8B53-E88C1CD4521A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20D1BBE-E99C-4974-8FAF-8F18F43C04E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98501A86-915F-4CA0-88C1-EB2BC541884F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D6156482-24B1-4420-B9E7-8F92F5A1BB0B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19C3210E-EC1E-422A-9D47-131F02517FD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26905C88-3623-4E3D-86D5-C39D75FCB7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4B67FF"/>
    <w:rsid w:val="00081F7A"/>
    <w:rsid w:val="000B1914"/>
    <w:rsid w:val="00116B38"/>
    <w:rsid w:val="00155BDB"/>
    <w:rsid w:val="002125A4"/>
    <w:rsid w:val="00244D09"/>
    <w:rsid w:val="002E7E82"/>
    <w:rsid w:val="003A5787"/>
    <w:rsid w:val="00477CEF"/>
    <w:rsid w:val="004974EE"/>
    <w:rsid w:val="00571D6C"/>
    <w:rsid w:val="005D6692"/>
    <w:rsid w:val="005E41C7"/>
    <w:rsid w:val="00635E07"/>
    <w:rsid w:val="00665A73"/>
    <w:rsid w:val="00674795"/>
    <w:rsid w:val="006D6054"/>
    <w:rsid w:val="00727818"/>
    <w:rsid w:val="007D222A"/>
    <w:rsid w:val="008116EC"/>
    <w:rsid w:val="00841726"/>
    <w:rsid w:val="008F53DB"/>
    <w:rsid w:val="00900995"/>
    <w:rsid w:val="00A25EBA"/>
    <w:rsid w:val="00AC3656"/>
    <w:rsid w:val="00AC648A"/>
    <w:rsid w:val="00AD6EE2"/>
    <w:rsid w:val="00B13DF1"/>
    <w:rsid w:val="00BE15A7"/>
    <w:rsid w:val="00C76E2A"/>
    <w:rsid w:val="00C85C74"/>
    <w:rsid w:val="00CD7C4F"/>
    <w:rsid w:val="00E40467"/>
    <w:rsid w:val="00E635A9"/>
    <w:rsid w:val="00EB3455"/>
    <w:rsid w:val="00EF79E1"/>
    <w:rsid w:val="00F0348D"/>
    <w:rsid w:val="00F20B24"/>
    <w:rsid w:val="00F93322"/>
    <w:rsid w:val="00F93D3E"/>
    <w:rsid w:val="01C068D1"/>
    <w:rsid w:val="026C3EB7"/>
    <w:rsid w:val="041117D8"/>
    <w:rsid w:val="05147114"/>
    <w:rsid w:val="05B368C7"/>
    <w:rsid w:val="06604F03"/>
    <w:rsid w:val="07AB1827"/>
    <w:rsid w:val="07F0196E"/>
    <w:rsid w:val="09084890"/>
    <w:rsid w:val="0BA6352A"/>
    <w:rsid w:val="0CB42B25"/>
    <w:rsid w:val="0E1A0E65"/>
    <w:rsid w:val="10EB0103"/>
    <w:rsid w:val="14192683"/>
    <w:rsid w:val="14DE0C8C"/>
    <w:rsid w:val="17836E88"/>
    <w:rsid w:val="18D30277"/>
    <w:rsid w:val="18ED7D7E"/>
    <w:rsid w:val="196E4949"/>
    <w:rsid w:val="1CB0064A"/>
    <w:rsid w:val="1CDE27D2"/>
    <w:rsid w:val="1D0203EF"/>
    <w:rsid w:val="1FB1756D"/>
    <w:rsid w:val="211A336A"/>
    <w:rsid w:val="22651AED"/>
    <w:rsid w:val="22DA2451"/>
    <w:rsid w:val="22EF2755"/>
    <w:rsid w:val="239343D4"/>
    <w:rsid w:val="23BE4573"/>
    <w:rsid w:val="23C724D8"/>
    <w:rsid w:val="25894BBF"/>
    <w:rsid w:val="275517BF"/>
    <w:rsid w:val="27B93929"/>
    <w:rsid w:val="29581A44"/>
    <w:rsid w:val="2AF71D6F"/>
    <w:rsid w:val="2CB95767"/>
    <w:rsid w:val="2DB04134"/>
    <w:rsid w:val="2F4E277E"/>
    <w:rsid w:val="30076A28"/>
    <w:rsid w:val="307C71A3"/>
    <w:rsid w:val="31F34FF2"/>
    <w:rsid w:val="32A73241"/>
    <w:rsid w:val="36C4518B"/>
    <w:rsid w:val="37B143C2"/>
    <w:rsid w:val="3BE32E87"/>
    <w:rsid w:val="3C4D4838"/>
    <w:rsid w:val="3CBF0ED3"/>
    <w:rsid w:val="3F0874FB"/>
    <w:rsid w:val="3F2B540B"/>
    <w:rsid w:val="40956E4D"/>
    <w:rsid w:val="412232A5"/>
    <w:rsid w:val="47781612"/>
    <w:rsid w:val="484035CC"/>
    <w:rsid w:val="489D2BAD"/>
    <w:rsid w:val="4DC64168"/>
    <w:rsid w:val="4F575DB6"/>
    <w:rsid w:val="51845C3F"/>
    <w:rsid w:val="52180808"/>
    <w:rsid w:val="55873F3E"/>
    <w:rsid w:val="55AC41ED"/>
    <w:rsid w:val="566C545D"/>
    <w:rsid w:val="56BA7B54"/>
    <w:rsid w:val="5B1E40A7"/>
    <w:rsid w:val="5D231672"/>
    <w:rsid w:val="5D3A3690"/>
    <w:rsid w:val="5D4B67FF"/>
    <w:rsid w:val="5DD14B1A"/>
    <w:rsid w:val="5E42457F"/>
    <w:rsid w:val="5FA218EA"/>
    <w:rsid w:val="5FC126C0"/>
    <w:rsid w:val="5FC83C22"/>
    <w:rsid w:val="600B54D4"/>
    <w:rsid w:val="60402A04"/>
    <w:rsid w:val="62AB2A31"/>
    <w:rsid w:val="63B7433E"/>
    <w:rsid w:val="65FF054F"/>
    <w:rsid w:val="67643CB8"/>
    <w:rsid w:val="68473D3B"/>
    <w:rsid w:val="694237C7"/>
    <w:rsid w:val="69C715FA"/>
    <w:rsid w:val="6AC12BD6"/>
    <w:rsid w:val="6E5E0A39"/>
    <w:rsid w:val="6FBF3515"/>
    <w:rsid w:val="70510DB0"/>
    <w:rsid w:val="726923F9"/>
    <w:rsid w:val="72E64EA8"/>
    <w:rsid w:val="73137236"/>
    <w:rsid w:val="73D81F0B"/>
    <w:rsid w:val="75035E6D"/>
    <w:rsid w:val="75187E96"/>
    <w:rsid w:val="75422A97"/>
    <w:rsid w:val="75470D1D"/>
    <w:rsid w:val="77C5017A"/>
    <w:rsid w:val="79F62A3E"/>
    <w:rsid w:val="7ABC7CE5"/>
    <w:rsid w:val="7BBC2176"/>
    <w:rsid w:val="7D7337C9"/>
    <w:rsid w:val="7DAA5881"/>
    <w:rsid w:val="7DC644A4"/>
    <w:rsid w:val="7ED223B4"/>
    <w:rsid w:val="7FD4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文件格式"/>
    <w:basedOn w:val="1"/>
    <w:qFormat/>
    <w:uiPriority w:val="0"/>
    <w:pPr>
      <w:widowControl/>
      <w:spacing w:line="460" w:lineRule="atLeast"/>
      <w:ind w:left="1" w:firstLine="419"/>
      <w:jc w:val="both"/>
      <w:textAlignment w:val="bottom"/>
    </w:pPr>
    <w:rPr>
      <w:kern w:val="0"/>
      <w:szCs w:val="32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/>
      <w:kern w:val="0"/>
      <w:sz w:val="24"/>
      <w:szCs w:val="24"/>
    </w:rPr>
  </w:style>
  <w:style w:type="paragraph" w:styleId="8">
    <w:name w:val="Body Text First Indent 2"/>
    <w:basedOn w:val="3"/>
    <w:next w:val="1"/>
    <w:qFormat/>
    <w:uiPriority w:val="99"/>
    <w:pPr>
      <w:ind w:firstLine="420" w:firstLineChars="200"/>
    </w:pPr>
    <w:rPr>
      <w:rFonts w:eastAsia="方正仿宋简体"/>
      <w:kern w:val="2"/>
      <w:sz w:val="32"/>
      <w:szCs w:val="32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qFormat/>
    <w:uiPriority w:val="0"/>
  </w:style>
  <w:style w:type="character" w:customStyle="1" w:styleId="13">
    <w:name w:val="批注框文本 Char"/>
    <w:basedOn w:val="10"/>
    <w:link w:val="4"/>
    <w:qFormat/>
    <w:uiPriority w:val="0"/>
    <w:rPr>
      <w:rFonts w:eastAsia="方正仿宋简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896071-A9A6-4D56-B463-9E4A59F717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2325</Words>
  <Characters>13255</Characters>
  <Lines>110</Lines>
  <Paragraphs>31</Paragraphs>
  <TotalTime>31</TotalTime>
  <ScaleCrop>false</ScaleCrop>
  <LinksUpToDate>false</LinksUpToDate>
  <CharactersWithSpaces>15549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2021-04-27T06:56:00Z</dcterms:created>
  <dc:creator>YX    DD</dc:creator>
  <cp:lastModifiedBy>Administrator</cp:lastModifiedBy>
  <cp:lastPrinted>2021-06-01T09:01:00Z</cp:lastPrinted>
  <dcterms:modified xsi:type="dcterms:W3CDTF">2021-06-08T01:58:22Z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ACDAB1ACCC1545FDA4575E0822A6D3C9</vt:lpwstr>
  </property>
  <property fmtid="{D5CDD505-2E9C-101B-9397-08002B2CF9AE}" pid="4" name="KSOSaveFontToCloudKey">
    <vt:lpwstr>0_btnclosed</vt:lpwstr>
  </property>
</Properties>
</file>