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830C1">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lang w:val="en-US" w:eastAsia="zh-CN"/>
        </w:rPr>
        <w:t>附件：</w:t>
      </w:r>
    </w:p>
    <w:p w14:paraId="7A6A1AE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《县人民政府工作报告》重点工作三季度进展情况表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3"/>
        <w:gridCol w:w="5464"/>
        <w:gridCol w:w="2418"/>
        <w:gridCol w:w="1196"/>
      </w:tblGrid>
      <w:tr w14:paraId="3C4E8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blHeader/>
        </w:trPr>
        <w:tc>
          <w:tcPr>
            <w:tcW w:w="733" w:type="dxa"/>
            <w:vAlign w:val="center"/>
          </w:tcPr>
          <w:p w14:paraId="29992ACD">
            <w:pPr>
              <w:pStyle w:val="2"/>
              <w:ind w:left="0" w:leftChars="0" w:firstLine="0" w:firstLineChars="0"/>
              <w:jc w:val="center"/>
              <w:rPr>
                <w:rFonts w:hint="default" w:ascii="Times New Roman" w:hAnsi="Times New Roman" w:cs="Times New Roman"/>
                <w:lang w:val="en-US" w:eastAsia="zh-CN"/>
              </w:rPr>
            </w:pPr>
            <w:r>
              <w:rPr>
                <w:rFonts w:hint="default" w:ascii="Times New Roman" w:hAnsi="Times New Roman" w:eastAsia="方正黑体简体" w:cs="Times New Roman"/>
                <w:b/>
                <w:bCs/>
                <w:kern w:val="2"/>
                <w:sz w:val="24"/>
                <w:szCs w:val="24"/>
                <w:lang w:val="en-US" w:eastAsia="zh-CN" w:bidi="ar-SA"/>
              </w:rPr>
              <w:t>序号</w:t>
            </w:r>
          </w:p>
        </w:tc>
        <w:tc>
          <w:tcPr>
            <w:tcW w:w="4363" w:type="dxa"/>
            <w:vAlign w:val="center"/>
          </w:tcPr>
          <w:p w14:paraId="5CEB5C81">
            <w:pPr>
              <w:spacing w:line="380" w:lineRule="exact"/>
              <w:jc w:val="center"/>
              <w:rPr>
                <w:rFonts w:hint="default" w:ascii="Times New Roman" w:hAnsi="Times New Roman" w:eastAsia="方正黑体简体" w:cs="Times New Roman"/>
                <w:b/>
                <w:bCs/>
                <w:sz w:val="24"/>
                <w:szCs w:val="24"/>
                <w:lang w:val="en-US" w:eastAsia="zh-CN"/>
              </w:rPr>
            </w:pPr>
            <w:r>
              <w:rPr>
                <w:rFonts w:hint="default" w:ascii="Times New Roman" w:hAnsi="Times New Roman" w:eastAsia="方正黑体简体" w:cs="Times New Roman"/>
                <w:b/>
                <w:bCs/>
                <w:sz w:val="24"/>
                <w:szCs w:val="24"/>
                <w:lang w:val="en-US" w:eastAsia="zh-CN"/>
              </w:rPr>
              <w:t>具体任务与要求</w:t>
            </w:r>
          </w:p>
        </w:tc>
        <w:tc>
          <w:tcPr>
            <w:tcW w:w="5464" w:type="dxa"/>
            <w:vAlign w:val="center"/>
          </w:tcPr>
          <w:p w14:paraId="67636066">
            <w:pPr>
              <w:spacing w:line="380" w:lineRule="exact"/>
              <w:jc w:val="center"/>
              <w:rPr>
                <w:rFonts w:hint="default" w:ascii="Times New Roman" w:hAnsi="Times New Roman" w:eastAsia="方正仿宋简体" w:cs="Times New Roman"/>
                <w:b/>
                <w:bCs/>
                <w:sz w:val="24"/>
                <w:szCs w:val="24"/>
                <w:lang w:val="en-US" w:eastAsia="zh-CN"/>
              </w:rPr>
            </w:pPr>
            <w:r>
              <w:rPr>
                <w:rFonts w:hint="default" w:ascii="Times New Roman" w:hAnsi="Times New Roman" w:eastAsia="方正黑体简体" w:cs="Times New Roman"/>
                <w:b/>
                <w:bCs/>
                <w:sz w:val="24"/>
                <w:szCs w:val="24"/>
                <w:lang w:val="en-US" w:eastAsia="zh-CN"/>
              </w:rPr>
              <w:t>进展情况</w:t>
            </w:r>
          </w:p>
        </w:tc>
        <w:tc>
          <w:tcPr>
            <w:tcW w:w="2418" w:type="dxa"/>
            <w:vAlign w:val="center"/>
          </w:tcPr>
          <w:p w14:paraId="401593EB">
            <w:pPr>
              <w:spacing w:line="380" w:lineRule="exact"/>
              <w:jc w:val="center"/>
              <w:rPr>
                <w:rFonts w:hint="default" w:ascii="Times New Roman" w:hAnsi="Times New Roman" w:eastAsia="方正黑体简体" w:cs="Times New Roman"/>
                <w:b/>
                <w:bCs/>
                <w:sz w:val="24"/>
                <w:szCs w:val="24"/>
                <w:lang w:val="en-US" w:eastAsia="zh-CN"/>
              </w:rPr>
            </w:pPr>
            <w:r>
              <w:rPr>
                <w:rFonts w:hint="default" w:ascii="Times New Roman" w:hAnsi="Times New Roman" w:eastAsia="方正黑体简体" w:cs="Times New Roman"/>
                <w:b/>
                <w:bCs/>
                <w:sz w:val="24"/>
                <w:szCs w:val="24"/>
                <w:lang w:val="en-US" w:eastAsia="zh-CN"/>
              </w:rPr>
              <w:t>责任单位</w:t>
            </w:r>
          </w:p>
        </w:tc>
        <w:tc>
          <w:tcPr>
            <w:tcW w:w="1196" w:type="dxa"/>
            <w:vAlign w:val="center"/>
          </w:tcPr>
          <w:p w14:paraId="3D60BAD2">
            <w:pPr>
              <w:spacing w:line="380" w:lineRule="exact"/>
              <w:jc w:val="center"/>
              <w:rPr>
                <w:rFonts w:hint="default" w:ascii="Times New Roman" w:hAnsi="Times New Roman" w:eastAsia="方正黑体简体" w:cs="Times New Roman"/>
                <w:b/>
                <w:bCs/>
                <w:sz w:val="24"/>
                <w:szCs w:val="24"/>
                <w:lang w:val="en-US" w:eastAsia="zh-CN"/>
              </w:rPr>
            </w:pPr>
            <w:r>
              <w:rPr>
                <w:rFonts w:hint="default" w:ascii="Times New Roman" w:hAnsi="Times New Roman" w:eastAsia="方正黑体简体" w:cs="Times New Roman"/>
                <w:b/>
                <w:bCs/>
                <w:sz w:val="24"/>
                <w:szCs w:val="24"/>
                <w:lang w:val="en-US" w:eastAsia="zh-CN"/>
              </w:rPr>
              <w:t>牵头领导</w:t>
            </w:r>
          </w:p>
        </w:tc>
      </w:tr>
      <w:tr w14:paraId="657A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733" w:type="dxa"/>
            <w:vAlign w:val="center"/>
          </w:tcPr>
          <w:p w14:paraId="4761C1E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3</w:t>
            </w:r>
          </w:p>
        </w:tc>
        <w:tc>
          <w:tcPr>
            <w:tcW w:w="4363" w:type="dxa"/>
            <w:vAlign w:val="center"/>
          </w:tcPr>
          <w:p w14:paraId="53D7BF12">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实施更高层次技术改造和设备更新，用足用好设备奖补、贷款贴息、技改基金等政策工具，滚动实施总投资245亿元的124个工业技改项目。</w:t>
            </w:r>
          </w:p>
        </w:tc>
        <w:tc>
          <w:tcPr>
            <w:tcW w:w="5464" w:type="dxa"/>
            <w:vAlign w:val="center"/>
          </w:tcPr>
          <w:p w14:paraId="3DBB7117">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pPr>
            <w:r>
              <w:rPr>
                <w:rFonts w:hint="eastAsia"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t>1.今年以来，精准指导新风光、中银电化两家企业申报工业重点领域设备更新改造超长期特别国债资金支持，已争取资金1059万元，目前正在持续推进项目建设、资金拨付事宜。</w:t>
            </w:r>
          </w:p>
          <w:p w14:paraId="2D9BABD4">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lang w:val="en-US" w:eastAsia="zh-CN"/>
              </w:rPr>
            </w:pPr>
            <w:r>
              <w:rPr>
                <w:rFonts w:hint="eastAsia"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t>2.</w:t>
            </w:r>
            <w:r>
              <w:rPr>
                <w:rFonts w:hint="default"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t>华翔热力集团有限公司汶上县城区老旧小区供热设备及供热设施升级改造项目已申报争取2026年设备更新和技术改造贷款项目，贷款需求3000万元。目前</w:t>
            </w:r>
            <w:bookmarkStart w:id="0" w:name="_GoBack"/>
            <w:bookmarkEnd w:id="0"/>
            <w:r>
              <w:rPr>
                <w:rFonts w:hint="default"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t>该项目已通过省级审核，县级已完成现场复核，等待国家反馈意见。</w:t>
            </w:r>
          </w:p>
        </w:tc>
        <w:tc>
          <w:tcPr>
            <w:tcW w:w="2418" w:type="dxa"/>
            <w:vAlign w:val="center"/>
          </w:tcPr>
          <w:p w14:paraId="2971CDC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default" w:ascii="Times New Roman" w:hAnsi="Times New Roman" w:eastAsia="方正楷体简体" w:cs="Times New Roman"/>
                <w:b/>
                <w:bCs/>
                <w:kern w:val="2"/>
                <w:sz w:val="24"/>
                <w:szCs w:val="24"/>
                <w:vertAlign w:val="baseline"/>
                <w:lang w:val="en-US" w:eastAsia="zh-CN" w:bidi="ar-SA"/>
              </w:rPr>
              <w:t>县发展和改革局</w:t>
            </w:r>
          </w:p>
          <w:p w14:paraId="2DA6CDB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default" w:ascii="Times New Roman" w:hAnsi="Times New Roman" w:eastAsia="方正楷体简体" w:cs="Times New Roman"/>
                <w:b/>
                <w:bCs/>
                <w:kern w:val="2"/>
                <w:sz w:val="24"/>
                <w:szCs w:val="24"/>
                <w:vertAlign w:val="baseline"/>
                <w:lang w:val="en-US" w:eastAsia="zh-CN" w:bidi="ar-SA"/>
              </w:rPr>
              <w:t>县工业和信息化局</w:t>
            </w:r>
          </w:p>
        </w:tc>
        <w:tc>
          <w:tcPr>
            <w:tcW w:w="1196" w:type="dxa"/>
            <w:vAlign w:val="center"/>
          </w:tcPr>
          <w:p w14:paraId="2996F9B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default" w:ascii="Times New Roman" w:hAnsi="Times New Roman" w:eastAsia="方正楷体简体" w:cs="Times New Roman"/>
                <w:b/>
                <w:bCs/>
                <w:kern w:val="2"/>
                <w:sz w:val="24"/>
                <w:szCs w:val="24"/>
                <w:vertAlign w:val="baseline"/>
                <w:lang w:val="en-US" w:eastAsia="zh-CN" w:bidi="ar-SA"/>
              </w:rPr>
              <w:t>张钦国</w:t>
            </w:r>
          </w:p>
          <w:p w14:paraId="4492F28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default" w:ascii="Times New Roman" w:hAnsi="Times New Roman" w:eastAsia="方正楷体简体" w:cs="Times New Roman"/>
                <w:b/>
                <w:bCs/>
                <w:kern w:val="2"/>
                <w:sz w:val="24"/>
                <w:szCs w:val="24"/>
                <w:vertAlign w:val="baseline"/>
                <w:lang w:val="en-US" w:eastAsia="zh-CN" w:bidi="ar-SA"/>
              </w:rPr>
              <w:t>葛</w:t>
            </w:r>
            <w:r>
              <w:rPr>
                <w:rFonts w:hint="eastAsia" w:ascii="Times New Roman" w:hAnsi="Times New Roman" w:eastAsia="方正楷体简体" w:cs="Times New Roman"/>
                <w:b/>
                <w:bCs/>
                <w:kern w:val="2"/>
                <w:sz w:val="24"/>
                <w:szCs w:val="24"/>
                <w:vertAlign w:val="baseline"/>
                <w:lang w:val="en-US" w:eastAsia="zh-CN" w:bidi="ar-SA"/>
              </w:rPr>
              <w:t xml:space="preserve">  </w:t>
            </w:r>
            <w:r>
              <w:rPr>
                <w:rFonts w:hint="default" w:ascii="Times New Roman" w:hAnsi="Times New Roman" w:eastAsia="方正楷体简体" w:cs="Times New Roman"/>
                <w:b/>
                <w:bCs/>
                <w:kern w:val="2"/>
                <w:sz w:val="24"/>
                <w:szCs w:val="24"/>
                <w:vertAlign w:val="baseline"/>
                <w:lang w:val="en-US" w:eastAsia="zh-CN" w:bidi="ar-SA"/>
              </w:rPr>
              <w:t>虎</w:t>
            </w:r>
          </w:p>
        </w:tc>
      </w:tr>
      <w:tr w14:paraId="213D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5" w:hRule="atLeast"/>
        </w:trPr>
        <w:tc>
          <w:tcPr>
            <w:tcW w:w="733" w:type="dxa"/>
            <w:vAlign w:val="center"/>
          </w:tcPr>
          <w:p w14:paraId="55BDD30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5</w:t>
            </w:r>
          </w:p>
        </w:tc>
        <w:tc>
          <w:tcPr>
            <w:tcW w:w="4363" w:type="dxa"/>
            <w:vAlign w:val="center"/>
          </w:tcPr>
          <w:p w14:paraId="1BA4F860">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高端装备产业聚焦规模化增长、数智化转型，强化“整机+零部件”协同发展，加速推进金成技术、海纬机车、北骏汽车、迪格重工等投资74亿元的25个项目，推动李尔汽车、华首重工、华汶3D打印、沃尔鑫机械等融入头部企业供应链，加快产业向价值链中高端迈进。</w:t>
            </w:r>
          </w:p>
        </w:tc>
        <w:tc>
          <w:tcPr>
            <w:tcW w:w="5464" w:type="dxa"/>
            <w:vAlign w:val="center"/>
          </w:tcPr>
          <w:p w14:paraId="3F8D03F4">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color w:val="0000FF"/>
                <w:kern w:val="2"/>
                <w:sz w:val="24"/>
                <w:szCs w:val="24"/>
                <w:vertAlign w:val="baseline"/>
                <w:lang w:val="en-US" w:eastAsia="zh-CN" w:bidi="ar-SA"/>
              </w:rPr>
            </w:pPr>
            <w:r>
              <w:rPr>
                <w:rFonts w:hint="default" w:ascii="Times New Roman" w:hAnsi="Times New Roman" w:eastAsia="方正仿宋简体" w:cs="Times New Roman"/>
                <w:b/>
                <w:bCs/>
                <w:color w:val="auto"/>
                <w:kern w:val="2"/>
                <w:sz w:val="24"/>
                <w:szCs w:val="24"/>
                <w:vertAlign w:val="baseline"/>
                <w:lang w:val="en-US" w:eastAsia="zh-CN" w:bidi="ar-SA"/>
              </w:rPr>
              <w:t>我县入选省市重点项目24个，其中省级重点项目11个、总投资130.7亿元，1-8月份完成投资46.23亿元，年度投资完成率91.63%。市级重点项目半年调整后为13个，全部为实施类项目，总投资76.1亿元，年计划投资19.1亿元，1-8月份完成投资13.17亿元，年度投资完成率68.95%。</w:t>
            </w:r>
          </w:p>
        </w:tc>
        <w:tc>
          <w:tcPr>
            <w:tcW w:w="2418" w:type="dxa"/>
            <w:vAlign w:val="center"/>
          </w:tcPr>
          <w:p w14:paraId="44FC8F3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rPr>
            </w:pPr>
            <w:r>
              <w:rPr>
                <w:rFonts w:hint="default" w:ascii="Times New Roman" w:hAnsi="Times New Roman" w:eastAsia="方正楷体简体" w:cs="Times New Roman"/>
                <w:b/>
                <w:bCs/>
                <w:sz w:val="24"/>
                <w:szCs w:val="24"/>
                <w:vertAlign w:val="baseline"/>
              </w:rPr>
              <w:t>县发展和改革局</w:t>
            </w:r>
          </w:p>
          <w:p w14:paraId="139E4AB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rPr>
            </w:pPr>
            <w:r>
              <w:rPr>
                <w:rFonts w:hint="default" w:ascii="Times New Roman" w:hAnsi="Times New Roman" w:eastAsia="方正楷体简体" w:cs="Times New Roman"/>
                <w:b/>
                <w:bCs/>
                <w:sz w:val="24"/>
                <w:szCs w:val="24"/>
                <w:vertAlign w:val="baseline"/>
                <w:lang w:val="en-US" w:eastAsia="zh-CN"/>
              </w:rPr>
              <w:t>县工业和信息化局</w:t>
            </w:r>
          </w:p>
        </w:tc>
        <w:tc>
          <w:tcPr>
            <w:tcW w:w="1196" w:type="dxa"/>
            <w:vAlign w:val="center"/>
          </w:tcPr>
          <w:p w14:paraId="252E860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p w14:paraId="4920CEB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葛  虎</w:t>
            </w:r>
          </w:p>
        </w:tc>
      </w:tr>
      <w:tr w14:paraId="6CE2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5" w:hRule="atLeast"/>
        </w:trPr>
        <w:tc>
          <w:tcPr>
            <w:tcW w:w="733" w:type="dxa"/>
            <w:vAlign w:val="center"/>
          </w:tcPr>
          <w:p w14:paraId="695F9A9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7</w:t>
            </w:r>
          </w:p>
        </w:tc>
        <w:tc>
          <w:tcPr>
            <w:tcW w:w="4363" w:type="dxa"/>
            <w:vAlign w:val="center"/>
          </w:tcPr>
          <w:p w14:paraId="6B983598">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绿色化工产业瞄准精细化、材料化发展方向，强化中银电化、辰欣佛都药业等龙头企业带动引领，突出抓好长胜新材料、汶华香兰素、兴邦新材料二期等投资76亿元的18个项目，壮大氯碱化工、医药化工等细分产业链条，加速向百亿级产业迈进。</w:t>
            </w:r>
          </w:p>
        </w:tc>
        <w:tc>
          <w:tcPr>
            <w:tcW w:w="5464" w:type="dxa"/>
            <w:vAlign w:val="center"/>
          </w:tcPr>
          <w:p w14:paraId="0D7CA206">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color w:val="0000FF"/>
                <w:kern w:val="2"/>
                <w:sz w:val="24"/>
                <w:szCs w:val="24"/>
                <w:vertAlign w:val="baseline"/>
                <w:lang w:val="en-US" w:eastAsia="zh-CN" w:bidi="ar-SA"/>
              </w:rPr>
            </w:pPr>
            <w:r>
              <w:rPr>
                <w:rFonts w:hint="default" w:ascii="Times New Roman" w:hAnsi="Times New Roman" w:eastAsia="方正仿宋简体" w:cs="Times New Roman"/>
                <w:b/>
                <w:bCs/>
                <w:color w:val="auto"/>
                <w:kern w:val="2"/>
                <w:sz w:val="24"/>
                <w:szCs w:val="24"/>
                <w:vertAlign w:val="baseline"/>
                <w:lang w:val="en-US" w:eastAsia="zh-CN" w:bidi="ar-SA"/>
              </w:rPr>
              <w:t>我县绿色化工产业聚焦精细化、材料化发展，依托龙头企业带动，推进18个总投资76亿元项目建设，完善氯碱化工、医药化工产业链，向百亿级产业加速迈进。长胜新材料项目已进入试生产阶段，汶华香兰素、兴邦新材料二期已投产运行。</w:t>
            </w:r>
          </w:p>
        </w:tc>
        <w:tc>
          <w:tcPr>
            <w:tcW w:w="2418" w:type="dxa"/>
            <w:vAlign w:val="center"/>
          </w:tcPr>
          <w:p w14:paraId="5234928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县发展和改革局</w:t>
            </w:r>
          </w:p>
          <w:p w14:paraId="659B827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县工业和信息化局</w:t>
            </w:r>
          </w:p>
          <w:p w14:paraId="6BF7618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lang w:val="en-US" w:eastAsia="zh-CN"/>
              </w:rPr>
            </w:pPr>
            <w:r>
              <w:rPr>
                <w:rFonts w:hint="eastAsia" w:ascii="Times New Roman" w:hAnsi="Times New Roman" w:eastAsia="方正楷体简体" w:cs="Times New Roman"/>
                <w:b/>
                <w:bCs/>
                <w:kern w:val="2"/>
                <w:sz w:val="24"/>
                <w:szCs w:val="24"/>
                <w:vertAlign w:val="baseline"/>
                <w:lang w:val="en-US" w:eastAsia="zh-CN" w:bidi="ar-SA"/>
              </w:rPr>
              <w:t>县经济开发区</w:t>
            </w:r>
          </w:p>
        </w:tc>
        <w:tc>
          <w:tcPr>
            <w:tcW w:w="1196" w:type="dxa"/>
            <w:vAlign w:val="center"/>
          </w:tcPr>
          <w:p w14:paraId="3756E51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张钦国</w:t>
            </w:r>
          </w:p>
          <w:p w14:paraId="75B2984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葛  虎</w:t>
            </w:r>
          </w:p>
        </w:tc>
      </w:tr>
      <w:tr w14:paraId="2F95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0" w:hRule="atLeast"/>
        </w:trPr>
        <w:tc>
          <w:tcPr>
            <w:tcW w:w="733" w:type="dxa"/>
            <w:vAlign w:val="center"/>
          </w:tcPr>
          <w:p w14:paraId="422BE29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8</w:t>
            </w:r>
          </w:p>
        </w:tc>
        <w:tc>
          <w:tcPr>
            <w:tcW w:w="4363" w:type="dxa"/>
            <w:vAlign w:val="center"/>
          </w:tcPr>
          <w:p w14:paraId="1240C3CA">
            <w:pPr>
              <w:keepNext w:val="0"/>
              <w:keepLines w:val="0"/>
              <w:pageBreakBefore w:val="0"/>
              <w:widowControl w:val="0"/>
              <w:kinsoku/>
              <w:wordWrap/>
              <w:overflowPunct/>
              <w:topLinePunct w:val="0"/>
              <w:autoSpaceDE/>
              <w:autoSpaceDN/>
              <w:bidi w:val="0"/>
              <w:adjustRightInd/>
              <w:snapToGrid/>
              <w:spacing w:line="32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新能源产业，聚焦储能装备、锂电材料两个主攻方向，放大新风光电子链主企业示范引领作用，加快布局新能源智慧储能、电能质量治理等核心领域；推动华宇同方、聚能力创、信敏惠化工、德比电子材料等企业纳入宁德时代、比亚迪产业链体系；依托电子信创基地吸引更多项目集聚，打造智慧高效储能产业集聚区。</w:t>
            </w:r>
          </w:p>
        </w:tc>
        <w:tc>
          <w:tcPr>
            <w:tcW w:w="5464" w:type="dxa"/>
            <w:vAlign w:val="center"/>
          </w:tcPr>
          <w:p w14:paraId="05D49421">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color w:val="0000FF"/>
                <w:sz w:val="24"/>
                <w:szCs w:val="24"/>
                <w:vertAlign w:val="baseline"/>
                <w:lang w:eastAsia="zh-CN"/>
              </w:rPr>
            </w:pPr>
            <w:r>
              <w:rPr>
                <w:rFonts w:hint="eastAsia" w:ascii="Times New Roman" w:hAnsi="Times New Roman" w:eastAsia="方正仿宋简体" w:cs="Times New Roman"/>
                <w:b/>
                <w:bCs/>
                <w:color w:val="auto"/>
                <w:kern w:val="2"/>
                <w:sz w:val="24"/>
                <w:szCs w:val="24"/>
                <w:vertAlign w:val="baseline"/>
                <w:lang w:val="en-US" w:eastAsia="zh-CN" w:bidi="ar-SA"/>
              </w:rPr>
              <w:t>市新能源产业链专班将德比电子纳入了宁德时代本地（拟）配套企业清单，并与县专班建立了常态化沟通对接机制，全力推动上下游企业配套合作。同时，整理形成了《济宁市新能源产业链装备制造优秀产品推介手册》，定稿后，企业可按照市场化方式洽谈合作。</w:t>
            </w:r>
          </w:p>
        </w:tc>
        <w:tc>
          <w:tcPr>
            <w:tcW w:w="2418" w:type="dxa"/>
            <w:vAlign w:val="center"/>
          </w:tcPr>
          <w:p w14:paraId="771D142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
              </w:rPr>
            </w:pPr>
            <w:r>
              <w:rPr>
                <w:rFonts w:hint="default" w:ascii="Times New Roman" w:hAnsi="Times New Roman" w:eastAsia="方正楷体简体" w:cs="Times New Roman"/>
                <w:b/>
                <w:bCs/>
                <w:sz w:val="24"/>
                <w:szCs w:val="24"/>
                <w:vertAlign w:val="baseline"/>
                <w:lang w:val="en-US" w:eastAsia="zh"/>
              </w:rPr>
              <w:t>县发展和改革局</w:t>
            </w:r>
          </w:p>
          <w:p w14:paraId="39297E8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rPr>
            </w:pPr>
            <w:r>
              <w:rPr>
                <w:rFonts w:hint="default" w:ascii="Times New Roman" w:hAnsi="Times New Roman" w:eastAsia="方正楷体简体" w:cs="Times New Roman"/>
                <w:b/>
                <w:bCs/>
                <w:sz w:val="24"/>
                <w:szCs w:val="24"/>
                <w:vertAlign w:val="baseline"/>
              </w:rPr>
              <w:t>县工业和信息化局</w:t>
            </w:r>
          </w:p>
        </w:tc>
        <w:tc>
          <w:tcPr>
            <w:tcW w:w="1196" w:type="dxa"/>
            <w:vAlign w:val="center"/>
          </w:tcPr>
          <w:p w14:paraId="3096FE5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p w14:paraId="4E26DA6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葛  虎</w:t>
            </w:r>
          </w:p>
        </w:tc>
      </w:tr>
      <w:tr w14:paraId="336C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0" w:hRule="atLeast"/>
        </w:trPr>
        <w:tc>
          <w:tcPr>
            <w:tcW w:w="733" w:type="dxa"/>
            <w:vAlign w:val="center"/>
          </w:tcPr>
          <w:p w14:paraId="54A8838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eastAsiaTheme="minorEastAsia"/>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9</w:t>
            </w:r>
          </w:p>
        </w:tc>
        <w:tc>
          <w:tcPr>
            <w:tcW w:w="4363" w:type="dxa"/>
            <w:vAlign w:val="center"/>
          </w:tcPr>
          <w:p w14:paraId="3A55850D">
            <w:pPr>
              <w:keepNext w:val="0"/>
              <w:keepLines w:val="0"/>
              <w:pageBreakBefore w:val="0"/>
              <w:widowControl w:val="0"/>
              <w:kinsoku/>
              <w:wordWrap/>
              <w:overflowPunct/>
              <w:topLinePunct w:val="0"/>
              <w:autoSpaceDE/>
              <w:autoSpaceDN/>
              <w:bidi w:val="0"/>
              <w:adjustRightInd/>
              <w:snapToGrid/>
              <w:spacing w:line="32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新一代信息技术产业，精准招引一批软件服务、工业互联网建设企业落地，支持西曼克、华准机械拓展市场，持续培育壮大奥特美森、烛龙机器人等企业规模，加快AGV机器人、工业机器人模组研发迭代，推动华尚智能变压器、鹰联光电产储运项目投产达效。</w:t>
            </w:r>
          </w:p>
        </w:tc>
        <w:tc>
          <w:tcPr>
            <w:tcW w:w="5464" w:type="dxa"/>
            <w:vAlign w:val="center"/>
          </w:tcPr>
          <w:p w14:paraId="23FA2BB3">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pPr>
            <w:r>
              <w:rPr>
                <w:rFonts w:hint="eastAsia"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t>1.</w:t>
            </w:r>
            <w:r>
              <w:rPr>
                <w:rFonts w:hint="default"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t>9月11日，发改局组织开展“汶上县杨店镇边缘智算中心项目”专家评审会议，会同工信、行政审批、大数据中心对该项目所涉及的算力规模、企业性质等信息进行核实确认，确认该项目属于民企小型算力中心项目，立项前无需进行窗口指导或准备其他手续，目前已按照省发改委要求逐级对上报备，已完成立项。</w:t>
            </w:r>
          </w:p>
          <w:p w14:paraId="5E0CED96">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lang w:val="en-US"/>
              </w:rPr>
            </w:pPr>
            <w:r>
              <w:rPr>
                <w:rFonts w:hint="eastAsia" w:ascii="Times New Roman" w:hAnsi="Times New Roman" w:eastAsia="方正仿宋简体" w:cs="Times New Roman"/>
                <w:b/>
                <w:bCs/>
                <w:color w:val="000000" w:themeColor="text1"/>
                <w:kern w:val="2"/>
                <w:sz w:val="24"/>
                <w:szCs w:val="24"/>
                <w:vertAlign w:val="baseline"/>
                <w:lang w:val="en-US" w:eastAsia="zh-CN" w:bidi="ar-SA"/>
                <w14:textFill>
                  <w14:solidFill>
                    <w14:schemeClr w14:val="tx1"/>
                  </w14:solidFill>
                </w14:textFill>
              </w:rPr>
              <w:t>2.尚智能变压器、鹰联光电产储运项目正在推进建设；重点企业市场拓展与技术研发有序实施。</w:t>
            </w:r>
          </w:p>
        </w:tc>
        <w:tc>
          <w:tcPr>
            <w:tcW w:w="2418" w:type="dxa"/>
            <w:vAlign w:val="center"/>
          </w:tcPr>
          <w:p w14:paraId="3E70816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县发展和改革局</w:t>
            </w:r>
          </w:p>
          <w:p w14:paraId="044C941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县工业和信息化局</w:t>
            </w:r>
          </w:p>
          <w:p w14:paraId="1154D5C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县投资促进服务中心</w:t>
            </w:r>
          </w:p>
        </w:tc>
        <w:tc>
          <w:tcPr>
            <w:tcW w:w="1196" w:type="dxa"/>
            <w:vAlign w:val="center"/>
          </w:tcPr>
          <w:p w14:paraId="19FC450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张钦国</w:t>
            </w:r>
          </w:p>
          <w:p w14:paraId="7C9CD0A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葛  虎</w:t>
            </w:r>
          </w:p>
          <w:p w14:paraId="5AD28B7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刘海韵</w:t>
            </w:r>
          </w:p>
        </w:tc>
      </w:tr>
      <w:tr w14:paraId="7767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5" w:hRule="atLeast"/>
        </w:trPr>
        <w:tc>
          <w:tcPr>
            <w:tcW w:w="733" w:type="dxa"/>
            <w:vAlign w:val="center"/>
          </w:tcPr>
          <w:p w14:paraId="272F8F6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10</w:t>
            </w:r>
          </w:p>
        </w:tc>
        <w:tc>
          <w:tcPr>
            <w:tcW w:w="4363" w:type="dxa"/>
            <w:vAlign w:val="center"/>
          </w:tcPr>
          <w:p w14:paraId="71DD6DDC">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低空经济产业，加快基础设施规划，持续优化低空感知网络，深度融入市级低空智能网联系统，全域推进无人机在文化遗产保护、自然资源巡查、应急值守、城市治理、农林植保、旅游等场景规模化、智能化应用，打造低空经济应用示范标杆。开展未来产业培育行动，谋划布局人工智能、生物制造等前沿领域。</w:t>
            </w:r>
          </w:p>
        </w:tc>
        <w:tc>
          <w:tcPr>
            <w:tcW w:w="5464" w:type="dxa"/>
            <w:vAlign w:val="center"/>
          </w:tcPr>
          <w:p w14:paraId="360C9925">
            <w:pPr>
              <w:keepNext w:val="0"/>
              <w:keepLines w:val="0"/>
              <w:pageBreakBefore w:val="0"/>
              <w:widowControl w:val="0"/>
              <w:kinsoku/>
              <w:wordWrap/>
              <w:overflowPunct/>
              <w:topLinePunct w:val="0"/>
              <w:autoSpaceDE/>
              <w:autoSpaceDN/>
              <w:bidi w:val="0"/>
              <w:adjustRightInd/>
              <w:snapToGrid/>
              <w:spacing w:line="340" w:lineRule="exact"/>
              <w:ind w:firstLine="422" w:firstLineChars="200"/>
              <w:jc w:val="both"/>
              <w:textAlignment w:val="auto"/>
              <w:rPr>
                <w:rFonts w:hint="eastAsia" w:ascii="Times New Roman" w:hAnsi="Times New Roman" w:eastAsia="方正仿宋简体" w:cs="Times New Roman"/>
                <w:color w:val="0000FF"/>
                <w:sz w:val="24"/>
                <w:szCs w:val="24"/>
                <w:vertAlign w:val="baseline"/>
                <w:lang w:val="en-US" w:eastAsia="zh-CN"/>
              </w:rPr>
            </w:pPr>
            <w:r>
              <w:rPr>
                <w:rFonts w:hint="eastAsia" w:ascii="Times New Roman" w:hAnsi="Times New Roman" w:eastAsia="方正仿宋简体" w:cs="Times New Roman"/>
                <w:b/>
                <w:bCs/>
                <w:color w:val="000000" w:themeColor="text1"/>
                <w:sz w:val="21"/>
                <w:szCs w:val="21"/>
                <w:vertAlign w:val="baseline"/>
                <w:lang w:val="en-US" w:eastAsia="zh-CN"/>
                <w14:textFill>
                  <w14:solidFill>
                    <w14:schemeClr w14:val="tx1"/>
                  </w14:solidFill>
                </w14:textFill>
              </w:rPr>
              <w:t>今年以来，我局结合省市要求，对辖区内低空经济进行20余次摸底调研，全面掌握县域低空产业发展情况；强化低空监管，指导相关运营单位制定“两方案一清单”，做好山东省低空经济“三张清单”系统维护工作。受国家不允许市县两级出台低空领域相关规划影响，我县《汶上县低空经济高质量发展行动方案》编制工作停止。</w:t>
            </w:r>
          </w:p>
        </w:tc>
        <w:tc>
          <w:tcPr>
            <w:tcW w:w="2418" w:type="dxa"/>
            <w:vAlign w:val="center"/>
          </w:tcPr>
          <w:p w14:paraId="031924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县政府办公室</w:t>
            </w:r>
          </w:p>
          <w:p w14:paraId="36042F6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县发展和改革局</w:t>
            </w:r>
          </w:p>
          <w:p w14:paraId="598059D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县交通运输局</w:t>
            </w:r>
          </w:p>
        </w:tc>
        <w:tc>
          <w:tcPr>
            <w:tcW w:w="1196" w:type="dxa"/>
            <w:vAlign w:val="center"/>
          </w:tcPr>
          <w:p w14:paraId="21151BD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张钦国</w:t>
            </w:r>
          </w:p>
          <w:p w14:paraId="3CADA69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赵红雨</w:t>
            </w:r>
          </w:p>
          <w:p w14:paraId="7B91033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葛  虎</w:t>
            </w:r>
          </w:p>
        </w:tc>
      </w:tr>
      <w:tr w14:paraId="753A0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3" w:hRule="atLeast"/>
        </w:trPr>
        <w:tc>
          <w:tcPr>
            <w:tcW w:w="733" w:type="dxa"/>
            <w:vAlign w:val="center"/>
          </w:tcPr>
          <w:p w14:paraId="6485ADA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11</w:t>
            </w:r>
          </w:p>
        </w:tc>
        <w:tc>
          <w:tcPr>
            <w:tcW w:w="4363" w:type="dxa"/>
            <w:vAlign w:val="center"/>
          </w:tcPr>
          <w:p w14:paraId="4F498055">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煤炭产业瞄准绿色化转型，加快阳城煤矿绿色开采技术应用，推进义桥煤矿智能化升级改造，力争四大煤矿原煤入选率稳步提高，销售收入突破30亿元。</w:t>
            </w:r>
          </w:p>
        </w:tc>
        <w:tc>
          <w:tcPr>
            <w:tcW w:w="5464" w:type="dxa"/>
            <w:vAlign w:val="center"/>
          </w:tcPr>
          <w:p w14:paraId="6ABFE0E9">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color w:val="0000FF"/>
                <w:sz w:val="24"/>
                <w:szCs w:val="24"/>
                <w:vertAlign w:val="baseline"/>
              </w:rPr>
            </w:pPr>
            <w:r>
              <w:rPr>
                <w:rFonts w:hint="eastAsia" w:ascii="Times New Roman" w:hAnsi="Times New Roman" w:eastAsia="方正仿宋简体" w:cs="Times New Roman"/>
                <w:b/>
                <w:bCs/>
                <w:color w:val="auto"/>
                <w:sz w:val="24"/>
                <w:szCs w:val="24"/>
                <w:vertAlign w:val="baseline"/>
                <w:lang w:val="en-US" w:eastAsia="zh-CN"/>
              </w:rPr>
              <w:t>截至</w:t>
            </w:r>
            <w:r>
              <w:rPr>
                <w:rFonts w:hint="default" w:ascii="Times New Roman" w:hAnsi="Times New Roman" w:eastAsia="方正仿宋简体" w:cs="Times New Roman"/>
                <w:b/>
                <w:bCs/>
                <w:color w:val="auto"/>
                <w:sz w:val="24"/>
                <w:szCs w:val="24"/>
                <w:vertAlign w:val="baseline"/>
                <w:lang w:val="en-US" w:eastAsia="zh-CN"/>
              </w:rPr>
              <w:t>目前，我县4家煤矿按照济宁市能源局《关于加快人工智能赋能煤矿领域高质量发展的实施方案》（济能字〔2026〕3号）有关要求，有序推进煤矿智能化升级改造，煤电产业链累计完成营业收入25.31亿元，同比增长3.26%。</w:t>
            </w:r>
          </w:p>
        </w:tc>
        <w:tc>
          <w:tcPr>
            <w:tcW w:w="2418" w:type="dxa"/>
            <w:vAlign w:val="center"/>
          </w:tcPr>
          <w:p w14:paraId="151861E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县发展和改革局</w:t>
            </w:r>
          </w:p>
          <w:p w14:paraId="35A587B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县粮食和物资储备保障中心</w:t>
            </w:r>
          </w:p>
        </w:tc>
        <w:tc>
          <w:tcPr>
            <w:tcW w:w="1196" w:type="dxa"/>
            <w:vAlign w:val="center"/>
          </w:tcPr>
          <w:p w14:paraId="2817124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tc>
      </w:tr>
      <w:tr w14:paraId="46E4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trPr>
        <w:tc>
          <w:tcPr>
            <w:tcW w:w="733" w:type="dxa"/>
            <w:vAlign w:val="center"/>
          </w:tcPr>
          <w:p w14:paraId="0A1211E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17</w:t>
            </w:r>
          </w:p>
        </w:tc>
        <w:tc>
          <w:tcPr>
            <w:tcW w:w="4363" w:type="dxa"/>
            <w:vAlign w:val="center"/>
          </w:tcPr>
          <w:p w14:paraId="55286420">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eastAsia="zh-CN"/>
              </w:rPr>
              <w:t>围绕主导产业和新兴产业方向，瞄准产业链缺失环节，加快推进</w:t>
            </w:r>
            <w:r>
              <w:rPr>
                <w:rFonts w:hint="default" w:ascii="Times New Roman" w:hAnsi="Times New Roman" w:eastAsia="方正仿宋简体" w:cs="Times New Roman"/>
                <w:b/>
                <w:bCs/>
                <w:sz w:val="24"/>
                <w:szCs w:val="24"/>
                <w:vertAlign w:val="baseline"/>
                <w:lang w:val="en-US" w:eastAsia="zh-CN"/>
              </w:rPr>
              <w:t>领秀新能源二期</w:t>
            </w:r>
            <w:r>
              <w:rPr>
                <w:rFonts w:hint="default" w:ascii="Times New Roman" w:hAnsi="Times New Roman" w:eastAsia="方正仿宋简体" w:cs="Times New Roman"/>
                <w:b/>
                <w:bCs/>
                <w:sz w:val="24"/>
                <w:szCs w:val="24"/>
                <w:vertAlign w:val="baseline"/>
                <w:lang w:eastAsia="zh-CN"/>
              </w:rPr>
              <w:t>、时尚智造产业园二期等1</w:t>
            </w:r>
            <w:r>
              <w:rPr>
                <w:rFonts w:hint="default" w:ascii="Times New Roman" w:hAnsi="Times New Roman" w:eastAsia="方正仿宋简体" w:cs="Times New Roman"/>
                <w:b/>
                <w:bCs/>
                <w:sz w:val="24"/>
                <w:szCs w:val="24"/>
                <w:vertAlign w:val="baseline"/>
                <w:lang w:val="en-US" w:eastAsia="zh-CN"/>
              </w:rPr>
              <w:t>0</w:t>
            </w:r>
            <w:r>
              <w:rPr>
                <w:rFonts w:hint="default" w:ascii="Times New Roman" w:hAnsi="Times New Roman" w:eastAsia="方正仿宋简体" w:cs="Times New Roman"/>
                <w:b/>
                <w:bCs/>
                <w:sz w:val="24"/>
                <w:szCs w:val="24"/>
                <w:vertAlign w:val="baseline"/>
                <w:lang w:eastAsia="zh-CN"/>
              </w:rPr>
              <w:t>个优质项目，力争</w:t>
            </w:r>
            <w:r>
              <w:rPr>
                <w:rFonts w:hint="default" w:ascii="Times New Roman" w:hAnsi="Times New Roman" w:eastAsia="方正仿宋简体" w:cs="Times New Roman"/>
                <w:b/>
                <w:bCs/>
                <w:sz w:val="24"/>
                <w:szCs w:val="24"/>
                <w:vertAlign w:val="baseline"/>
                <w:lang w:val="en-US" w:eastAsia="zh-CN"/>
              </w:rPr>
              <w:t>5</w:t>
            </w:r>
            <w:r>
              <w:rPr>
                <w:rFonts w:hint="default" w:ascii="Times New Roman" w:hAnsi="Times New Roman" w:eastAsia="方正仿宋简体" w:cs="Times New Roman"/>
                <w:b/>
                <w:bCs/>
                <w:sz w:val="24"/>
                <w:szCs w:val="24"/>
                <w:vertAlign w:val="baseline"/>
                <w:lang w:eastAsia="zh-CN"/>
              </w:rPr>
              <w:t>个过5亿元项目落地开工，加速向</w:t>
            </w:r>
            <w:r>
              <w:rPr>
                <w:rFonts w:hint="default" w:ascii="Times New Roman" w:hAnsi="Times New Roman" w:eastAsia="方正仿宋简体" w:cs="Times New Roman"/>
                <w:b/>
                <w:bCs/>
                <w:sz w:val="24"/>
                <w:szCs w:val="24"/>
                <w:vertAlign w:val="baseline"/>
                <w:lang w:val="en-US" w:eastAsia="zh-CN"/>
              </w:rPr>
              <w:t>200亿级园区迈进。</w:t>
            </w:r>
          </w:p>
        </w:tc>
        <w:tc>
          <w:tcPr>
            <w:tcW w:w="5464" w:type="dxa"/>
            <w:vAlign w:val="center"/>
          </w:tcPr>
          <w:p w14:paraId="489D7E57">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color w:val="0000FF"/>
                <w:sz w:val="24"/>
                <w:szCs w:val="24"/>
                <w:vertAlign w:val="baseline"/>
                <w:lang w:val="en-US" w:eastAsia="zh-CN"/>
              </w:rPr>
            </w:pPr>
            <w:r>
              <w:rPr>
                <w:rFonts w:hint="eastAsia" w:ascii="Times New Roman" w:hAnsi="Times New Roman" w:eastAsia="方正仿宋简体" w:cs="Times New Roman"/>
                <w:b/>
                <w:bCs/>
                <w:color w:val="auto"/>
                <w:sz w:val="24"/>
                <w:szCs w:val="24"/>
                <w:vertAlign w:val="baseline"/>
                <w:lang w:val="en-US" w:eastAsia="zh-CN"/>
              </w:rPr>
              <w:t>聚焦产业链补短板，目前正在推进开发区优质项目建设，领秀新能源二期正在进行厂房建设，其余项目有序推进。</w:t>
            </w:r>
          </w:p>
        </w:tc>
        <w:tc>
          <w:tcPr>
            <w:tcW w:w="2418" w:type="dxa"/>
            <w:vAlign w:val="center"/>
          </w:tcPr>
          <w:p w14:paraId="0FA94C3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县发展和改革局</w:t>
            </w:r>
          </w:p>
          <w:p w14:paraId="47D209D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县经济开发区</w:t>
            </w:r>
          </w:p>
        </w:tc>
        <w:tc>
          <w:tcPr>
            <w:tcW w:w="1196" w:type="dxa"/>
            <w:vAlign w:val="center"/>
          </w:tcPr>
          <w:p w14:paraId="6633172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p w14:paraId="4476830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葛  虎</w:t>
            </w:r>
          </w:p>
        </w:tc>
      </w:tr>
      <w:tr w14:paraId="73FA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733" w:type="dxa"/>
            <w:vAlign w:val="center"/>
          </w:tcPr>
          <w:p w14:paraId="5BC935F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18</w:t>
            </w:r>
          </w:p>
        </w:tc>
        <w:tc>
          <w:tcPr>
            <w:tcW w:w="4363" w:type="dxa"/>
            <w:vAlign w:val="center"/>
          </w:tcPr>
          <w:p w14:paraId="2ABF6983">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坚持特色定位、错位发展，培育壮大商贸物流区、汶南产城融合发展示范区、食品产业园区，规划建设镇街小微园区，构建园区发展新格局。</w:t>
            </w:r>
          </w:p>
        </w:tc>
        <w:tc>
          <w:tcPr>
            <w:tcW w:w="5464" w:type="dxa"/>
            <w:vAlign w:val="center"/>
          </w:tcPr>
          <w:p w14:paraId="3A280A5E">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color w:val="0000FF"/>
                <w:kern w:val="2"/>
                <w:sz w:val="24"/>
                <w:szCs w:val="24"/>
                <w:lang w:val="en-US" w:eastAsia="zh-CN" w:bidi="ar-SA"/>
              </w:rPr>
            </w:pPr>
            <w:r>
              <w:rPr>
                <w:rFonts w:hint="eastAsia" w:ascii="Times New Roman" w:hAnsi="Times New Roman" w:eastAsia="方正仿宋简体" w:cs="Times New Roman"/>
                <w:b/>
                <w:bCs/>
                <w:color w:val="auto"/>
                <w:kern w:val="2"/>
                <w:sz w:val="24"/>
                <w:szCs w:val="24"/>
                <w:lang w:val="en-US" w:eastAsia="zh-CN" w:bidi="ar-SA"/>
              </w:rPr>
              <w:t>高标准编制印发全县“十五五”规划《纲要》，明确“十五五”时期园区发展方向：构建“一核引领、多区协同”园区布局，壮大链条集聚、特色鲜明的园区经济。</w:t>
            </w:r>
          </w:p>
        </w:tc>
        <w:tc>
          <w:tcPr>
            <w:tcW w:w="2418" w:type="dxa"/>
            <w:vAlign w:val="center"/>
          </w:tcPr>
          <w:p w14:paraId="0D8CF47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康驿镇人民政府</w:t>
            </w:r>
          </w:p>
          <w:p w14:paraId="6682EF2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次邱镇人民政府</w:t>
            </w:r>
          </w:p>
          <w:p w14:paraId="2BB86C2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县发展和改革局</w:t>
            </w:r>
          </w:p>
          <w:p w14:paraId="58FE2F2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县商贸物流发展中心</w:t>
            </w:r>
          </w:p>
        </w:tc>
        <w:tc>
          <w:tcPr>
            <w:tcW w:w="1196" w:type="dxa"/>
            <w:vAlign w:val="center"/>
          </w:tcPr>
          <w:p w14:paraId="707FEC7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p w14:paraId="3FD8464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葛  虎</w:t>
            </w:r>
          </w:p>
        </w:tc>
      </w:tr>
      <w:tr w14:paraId="62FA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5" w:hRule="atLeast"/>
        </w:trPr>
        <w:tc>
          <w:tcPr>
            <w:tcW w:w="733" w:type="dxa"/>
            <w:vAlign w:val="center"/>
          </w:tcPr>
          <w:p w14:paraId="4DC8B69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19</w:t>
            </w:r>
          </w:p>
        </w:tc>
        <w:tc>
          <w:tcPr>
            <w:tcW w:w="4363" w:type="dxa"/>
            <w:vAlign w:val="center"/>
          </w:tcPr>
          <w:p w14:paraId="22727246">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抢抓全市十大领域、25条扶持政策机遇，加快10个省级重点项目建设，做大做强20家龙头骨干企业，推动规上服务业营收增长10%。</w:t>
            </w:r>
          </w:p>
        </w:tc>
        <w:tc>
          <w:tcPr>
            <w:tcW w:w="5464" w:type="dxa"/>
            <w:vAlign w:val="center"/>
          </w:tcPr>
          <w:p w14:paraId="13D057A9">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FF"/>
                <w:sz w:val="24"/>
                <w:szCs w:val="24"/>
                <w:vertAlign w:val="baseline"/>
                <w:lang w:val="en-US" w:eastAsia="zh-CN"/>
              </w:rPr>
            </w:pPr>
            <w:r>
              <w:rPr>
                <w:rFonts w:hint="eastAsia" w:ascii="Times New Roman" w:hAnsi="Times New Roman" w:eastAsia="方正仿宋简体" w:cs="Times New Roman"/>
                <w:b/>
                <w:bCs/>
                <w:sz w:val="24"/>
                <w:szCs w:val="24"/>
                <w:vertAlign w:val="baseline"/>
                <w:lang w:val="en-US" w:eastAsia="zh-CN"/>
              </w:rPr>
              <w:t>1.我县入选省级重点项目11个、总投资130.7亿元，1-8</w:t>
            </w:r>
            <w:r>
              <w:rPr>
                <w:rFonts w:hint="eastAsia" w:ascii="Times New Roman" w:hAnsi="Times New Roman" w:eastAsia="方正仿宋简体" w:cs="Times New Roman"/>
                <w:b/>
                <w:bCs/>
                <w:color w:val="auto"/>
                <w:sz w:val="24"/>
                <w:szCs w:val="24"/>
                <w:vertAlign w:val="baseline"/>
                <w:lang w:val="en-US" w:eastAsia="zh-CN"/>
              </w:rPr>
              <w:t>月份完成投资46.23亿元，年度投资完成率91.63%。</w:t>
            </w:r>
          </w:p>
          <w:p w14:paraId="766E4EE7">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lang w:val="en-US" w:eastAsia="zh-CN"/>
              </w:rPr>
            </w:pPr>
            <w:r>
              <w:rPr>
                <w:rFonts w:hint="eastAsia" w:ascii="Times New Roman" w:hAnsi="Times New Roman" w:eastAsia="方正仿宋简体" w:cs="Times New Roman"/>
                <w:b/>
                <w:bCs/>
                <w:sz w:val="24"/>
                <w:szCs w:val="24"/>
                <w:vertAlign w:val="baseline"/>
                <w:lang w:val="en-US" w:eastAsia="zh-CN"/>
              </w:rPr>
              <w:t>2.健全监测预警体系，聚焦重点镇街、优势行业、龙头企业，常态化开展服务业运行调度，“一企一策”精准帮扶，推动政策和服务高效直达企业，以重点企业稳产稳收支撑行业平稳运行、服务业提质增效。1-8月份，全县规模以上服务业营业收入15.3亿元，同比增长9.9%。全力推进省重点项目建设，韵丰物流、联民综合体等2个项目竣工投产，昌泰智慧云仓项目成功争取服务业引导资金100万元，积极推动韵丰数字文化智能仓配等重点项目对上申报，最大限度争取省级资金支持。</w:t>
            </w:r>
          </w:p>
        </w:tc>
        <w:tc>
          <w:tcPr>
            <w:tcW w:w="2418" w:type="dxa"/>
            <w:vAlign w:val="center"/>
          </w:tcPr>
          <w:p w14:paraId="70A8CE4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县发展和改革局</w:t>
            </w:r>
          </w:p>
          <w:p w14:paraId="384AA8B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县工业和信息化局</w:t>
            </w:r>
          </w:p>
        </w:tc>
        <w:tc>
          <w:tcPr>
            <w:tcW w:w="1196" w:type="dxa"/>
            <w:vAlign w:val="center"/>
          </w:tcPr>
          <w:p w14:paraId="2FFE529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r>
              <w:rPr>
                <w:rFonts w:hint="eastAsia" w:ascii="Times New Roman" w:hAnsi="Times New Roman" w:eastAsia="方正楷体简体" w:cs="Times New Roman"/>
                <w:b/>
                <w:bCs/>
                <w:sz w:val="24"/>
                <w:szCs w:val="24"/>
                <w:vertAlign w:val="baseline"/>
                <w:lang w:val="en-US" w:eastAsia="zh-CN"/>
              </w:rPr>
              <w:br w:type="textWrapping"/>
            </w:r>
            <w:r>
              <w:rPr>
                <w:rFonts w:hint="eastAsia" w:ascii="Times New Roman" w:hAnsi="Times New Roman" w:eastAsia="方正楷体简体" w:cs="Times New Roman"/>
                <w:b/>
                <w:bCs/>
                <w:sz w:val="24"/>
                <w:szCs w:val="24"/>
                <w:vertAlign w:val="baseline"/>
                <w:lang w:val="en-US" w:eastAsia="zh-CN"/>
              </w:rPr>
              <w:t>葛  虎</w:t>
            </w:r>
          </w:p>
        </w:tc>
      </w:tr>
      <w:tr w14:paraId="3711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trPr>
        <w:tc>
          <w:tcPr>
            <w:tcW w:w="733" w:type="dxa"/>
            <w:vAlign w:val="center"/>
          </w:tcPr>
          <w:p w14:paraId="2182EC1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20</w:t>
            </w:r>
          </w:p>
        </w:tc>
        <w:tc>
          <w:tcPr>
            <w:tcW w:w="4363" w:type="dxa"/>
            <w:vAlign w:val="center"/>
          </w:tcPr>
          <w:p w14:paraId="5B963B8F">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实施服务业攀登进阶和生产性服务业倍增行动，攻坚突破信息技术、仓储物流等重点领域，分类完善精准服务计划，“清单管理+政策赋能”双路径推进，新增规上生产性服务业企业35家，力争生产性服务业规模突破80亿元。</w:t>
            </w:r>
          </w:p>
        </w:tc>
        <w:tc>
          <w:tcPr>
            <w:tcW w:w="5464" w:type="dxa"/>
            <w:vAlign w:val="center"/>
          </w:tcPr>
          <w:p w14:paraId="79AC17FE">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color w:val="0000FF"/>
                <w:kern w:val="0"/>
                <w:sz w:val="24"/>
                <w:szCs w:val="24"/>
                <w:lang w:val="en-US" w:eastAsia="zh-CN" w:bidi="ar-SA"/>
              </w:rPr>
            </w:pPr>
            <w:r>
              <w:rPr>
                <w:rFonts w:hint="default" w:ascii="Times New Roman" w:hAnsi="Times New Roman" w:eastAsia="方正仿宋简体" w:cs="Times New Roman"/>
                <w:b/>
                <w:bCs/>
                <w:color w:val="auto"/>
                <w:kern w:val="0"/>
                <w:sz w:val="24"/>
                <w:szCs w:val="24"/>
                <w:lang w:val="en-US" w:eastAsia="zh-CN" w:bidi="ar-SA"/>
              </w:rPr>
              <w:t>高规格召</w:t>
            </w:r>
            <w:r>
              <w:rPr>
                <w:rFonts w:hint="eastAsia" w:ascii="Times New Roman" w:hAnsi="Times New Roman" w:eastAsia="方正仿宋简体" w:cs="Times New Roman"/>
                <w:b/>
                <w:bCs/>
                <w:color w:val="auto"/>
                <w:kern w:val="0"/>
                <w:sz w:val="24"/>
                <w:szCs w:val="24"/>
                <w:lang w:val="en-US" w:eastAsia="zh-CN" w:bidi="ar-SA"/>
              </w:rPr>
              <w:t>开</w:t>
            </w:r>
            <w:r>
              <w:rPr>
                <w:rFonts w:hint="default" w:ascii="Times New Roman" w:hAnsi="Times New Roman" w:eastAsia="方正仿宋简体" w:cs="Times New Roman"/>
                <w:b/>
                <w:bCs/>
                <w:color w:val="auto"/>
                <w:kern w:val="0"/>
                <w:sz w:val="24"/>
                <w:szCs w:val="24"/>
                <w:lang w:val="en-US" w:eastAsia="zh-CN" w:bidi="ar-SA"/>
              </w:rPr>
              <w:t>全县服务业高质量发展推进会，县委书记李强、县长李家亮出席会议，明确“发改统筹、行业部门主抓、属地镇街落实”三级责任体系，合力推动服务业总量扩容、质效提升。1-8月份新增纳统规上服务业领域企业4家，亿企信息、聚实现电子等2家企业补齐软件和信息技术服务业行业空白；自行测算我县规上生产性服务业营收实现12.6亿元，增长11.94%。</w:t>
            </w:r>
          </w:p>
        </w:tc>
        <w:tc>
          <w:tcPr>
            <w:tcW w:w="2418" w:type="dxa"/>
            <w:vAlign w:val="center"/>
          </w:tcPr>
          <w:p w14:paraId="6170686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县发展和改革局</w:t>
            </w:r>
          </w:p>
          <w:p w14:paraId="0AB89D9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县商务局</w:t>
            </w:r>
          </w:p>
        </w:tc>
        <w:tc>
          <w:tcPr>
            <w:tcW w:w="1196" w:type="dxa"/>
            <w:vAlign w:val="center"/>
          </w:tcPr>
          <w:p w14:paraId="095B7CA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p w14:paraId="5127DCD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刘海韵</w:t>
            </w:r>
          </w:p>
        </w:tc>
      </w:tr>
      <w:tr w14:paraId="68E2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733" w:type="dxa"/>
            <w:vAlign w:val="center"/>
          </w:tcPr>
          <w:p w14:paraId="458DA16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21</w:t>
            </w:r>
          </w:p>
        </w:tc>
        <w:tc>
          <w:tcPr>
            <w:tcW w:w="4363" w:type="dxa"/>
            <w:vAlign w:val="center"/>
          </w:tcPr>
          <w:p w14:paraId="082D427A">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深入开展重大项目突破年活动，发挥政府投资带动放大效应，提高投资效益，力争全年完成总投资140亿元以上。</w:t>
            </w:r>
          </w:p>
        </w:tc>
        <w:tc>
          <w:tcPr>
            <w:tcW w:w="5464" w:type="dxa"/>
            <w:vAlign w:val="center"/>
          </w:tcPr>
          <w:p w14:paraId="1EB12297">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color w:val="0000FF"/>
                <w:sz w:val="24"/>
                <w:szCs w:val="24"/>
                <w:vertAlign w:val="baseline"/>
                <w:lang w:val="en-US" w:eastAsia="zh-CN"/>
              </w:rPr>
            </w:pPr>
            <w:r>
              <w:rPr>
                <w:rFonts w:hint="eastAsia" w:ascii="Times New Roman" w:hAnsi="Times New Roman" w:eastAsia="方正仿宋简体" w:cs="Times New Roman"/>
                <w:b/>
                <w:bCs/>
                <w:color w:val="auto"/>
                <w:sz w:val="24"/>
                <w:szCs w:val="24"/>
                <w:vertAlign w:val="baseline"/>
                <w:lang w:val="en-US" w:eastAsia="zh-CN"/>
              </w:rPr>
              <w:t>我县省市重点项目24个，其中入选省级重点项目11个，总投资130.7亿元；市级重点项目半年调整后为13个，总投资76.1亿元。</w:t>
            </w:r>
          </w:p>
        </w:tc>
        <w:tc>
          <w:tcPr>
            <w:tcW w:w="2418" w:type="dxa"/>
            <w:vAlign w:val="center"/>
          </w:tcPr>
          <w:p w14:paraId="5E263B0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县发展和改革局</w:t>
            </w:r>
          </w:p>
          <w:p w14:paraId="2236252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县财政局</w:t>
            </w:r>
          </w:p>
        </w:tc>
        <w:tc>
          <w:tcPr>
            <w:tcW w:w="1196" w:type="dxa"/>
            <w:vAlign w:val="center"/>
          </w:tcPr>
          <w:p w14:paraId="13A872C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tc>
      </w:tr>
      <w:tr w14:paraId="45AF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0" w:hRule="atLeast"/>
        </w:trPr>
        <w:tc>
          <w:tcPr>
            <w:tcW w:w="733" w:type="dxa"/>
            <w:vAlign w:val="center"/>
          </w:tcPr>
          <w:p w14:paraId="677A6C9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22</w:t>
            </w:r>
          </w:p>
        </w:tc>
        <w:tc>
          <w:tcPr>
            <w:tcW w:w="4363" w:type="dxa"/>
            <w:vAlign w:val="center"/>
          </w:tcPr>
          <w:p w14:paraId="130282F2">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聚焦“两重”、产业升级、绿色转型等领域，紧盯中央预算内资金、超长期特别国债、地方政府专项债等上级资金投向，谋划储备重点项目195个，力争纳入省市重点项目25个，对上争取资金增长10%以上。</w:t>
            </w:r>
          </w:p>
        </w:tc>
        <w:tc>
          <w:tcPr>
            <w:tcW w:w="5464" w:type="dxa"/>
            <w:vAlign w:val="center"/>
          </w:tcPr>
          <w:p w14:paraId="5CC19D9C">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今年以来，精准指导新风光、中银电化两家企业申报工业重点领域设备更新改造超长期特别国债资金支持，已争取资金1059万元，目前正在持续推进项目建设、资金拨付事宜。</w:t>
            </w:r>
          </w:p>
          <w:p w14:paraId="335D646B">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color w:val="0000FF"/>
                <w:sz w:val="24"/>
                <w:szCs w:val="24"/>
                <w:vertAlign w:val="baseline"/>
                <w:lang w:val="en-US" w:eastAsia="zh-CN"/>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重点项目半年调整后，我县省市重点项目调整为24个，其中入选省级重点项目11个、总投资130.7亿元；市级重点项目半年调整后为13个，全部为实施类项目，总投资76.1亿元。</w:t>
            </w:r>
          </w:p>
        </w:tc>
        <w:tc>
          <w:tcPr>
            <w:tcW w:w="2418" w:type="dxa"/>
            <w:vAlign w:val="center"/>
          </w:tcPr>
          <w:p w14:paraId="1683A27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县发展和改革局</w:t>
            </w:r>
          </w:p>
          <w:p w14:paraId="5C7B26C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县财政局</w:t>
            </w:r>
          </w:p>
        </w:tc>
        <w:tc>
          <w:tcPr>
            <w:tcW w:w="1196" w:type="dxa"/>
            <w:vAlign w:val="center"/>
          </w:tcPr>
          <w:p w14:paraId="611DF09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张钦国</w:t>
            </w:r>
          </w:p>
        </w:tc>
      </w:tr>
      <w:tr w14:paraId="398D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733" w:type="dxa"/>
            <w:vAlign w:val="center"/>
          </w:tcPr>
          <w:p w14:paraId="09D2C16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29</w:t>
            </w:r>
          </w:p>
        </w:tc>
        <w:tc>
          <w:tcPr>
            <w:tcW w:w="4363" w:type="dxa"/>
            <w:vAlign w:val="center"/>
          </w:tcPr>
          <w:p w14:paraId="6154DF35">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提速中广核、艾米娜、苏伊士等外资项目建设进度，用好青岛峰会、港澳山东周等载体，统筹推进外资项目动态储备，力争落地过千万美元项目2个，实际利用外资4000万美元以上。</w:t>
            </w:r>
          </w:p>
        </w:tc>
        <w:tc>
          <w:tcPr>
            <w:tcW w:w="5464" w:type="dxa"/>
            <w:vAlign w:val="center"/>
          </w:tcPr>
          <w:p w14:paraId="2E9BA5A7">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FF"/>
                <w:sz w:val="24"/>
                <w:szCs w:val="24"/>
                <w:vertAlign w:val="baseline"/>
                <w:lang w:val="en-US" w:eastAsia="zh-CN"/>
              </w:rPr>
            </w:pPr>
            <w:r>
              <w:rPr>
                <w:rFonts w:hint="eastAsia" w:ascii="Times New Roman" w:hAnsi="Times New Roman" w:eastAsia="方正仿宋简体" w:cs="Times New Roman"/>
                <w:b/>
                <w:bCs/>
                <w:color w:val="auto"/>
                <w:sz w:val="24"/>
                <w:szCs w:val="24"/>
                <w:vertAlign w:val="baseline"/>
                <w:lang w:val="en-US" w:eastAsia="zh-CN"/>
              </w:rPr>
              <w:t>6月29日，中广核汶上20.5万千瓦风电项目已并网投运。7-9月份，已累计发电0.703亿度，营收1769.12万元，利润1586.2万元，上缴税收50.24万元。</w:t>
            </w:r>
          </w:p>
        </w:tc>
        <w:tc>
          <w:tcPr>
            <w:tcW w:w="2418" w:type="dxa"/>
            <w:vAlign w:val="center"/>
          </w:tcPr>
          <w:p w14:paraId="0F4FBDD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县发展和改革局</w:t>
            </w:r>
          </w:p>
          <w:p w14:paraId="32C9A6B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县商务局</w:t>
            </w:r>
          </w:p>
          <w:p w14:paraId="70CB078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县投资促进服务中心</w:t>
            </w:r>
          </w:p>
        </w:tc>
        <w:tc>
          <w:tcPr>
            <w:tcW w:w="1196" w:type="dxa"/>
            <w:vAlign w:val="center"/>
          </w:tcPr>
          <w:p w14:paraId="381E169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张钦国</w:t>
            </w:r>
          </w:p>
          <w:p w14:paraId="637B14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刘海韵</w:t>
            </w:r>
          </w:p>
        </w:tc>
      </w:tr>
      <w:tr w14:paraId="6695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3" w:type="dxa"/>
            <w:vAlign w:val="center"/>
          </w:tcPr>
          <w:p w14:paraId="5B8E0AB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34</w:t>
            </w:r>
          </w:p>
        </w:tc>
        <w:tc>
          <w:tcPr>
            <w:tcW w:w="4363" w:type="dxa"/>
            <w:vAlign w:val="center"/>
          </w:tcPr>
          <w:p w14:paraId="34C67374">
            <w:pPr>
              <w:keepNext w:val="0"/>
              <w:keepLines w:val="0"/>
              <w:pageBreakBefore w:val="0"/>
              <w:widowControl w:val="0"/>
              <w:kinsoku/>
              <w:wordWrap/>
              <w:overflowPunct/>
              <w:topLinePunct w:val="0"/>
              <w:autoSpaceDE/>
              <w:autoSpaceDN/>
              <w:bidi w:val="0"/>
              <w:adjustRightInd/>
              <w:snapToGrid/>
              <w:spacing w:line="32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深化与北京大学、中科院、哈工大等校地合作、产教融合，发挥复材研究院、灵境机器人研究院等平台引领作用，引导企业共建科创载体，新增省级以上创新平台10家，促成产学研合作项目20项。制定出台“人才新政”，深化“接二连三”人才融合发展，用好“科技副总”“科技副职”机制，招引省级以上创新人才2人、青年人才2000人。实施“人才向企集聚”工程，发挥高职校、中都技工学校作用，培育技能人才1000人，发展壮大产业工人队伍。</w:t>
            </w:r>
          </w:p>
        </w:tc>
        <w:tc>
          <w:tcPr>
            <w:tcW w:w="5464" w:type="dxa"/>
            <w:vAlign w:val="center"/>
          </w:tcPr>
          <w:p w14:paraId="6B134714">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color w:val="0000FF"/>
                <w:sz w:val="24"/>
                <w:szCs w:val="24"/>
                <w:vertAlign w:val="baseline"/>
                <w:lang w:val="en-US" w:eastAsia="zh-CN"/>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今年以来，协助鸿瑞轩、兴邦新材料申报市级企业技术中心，目前正在等待结果。8月24日省发展改革委出台最新版《山东省产业技术工程化中心管理办法》《山东省发展改革委企业技术中心认定管理办法》等政策文件，省级正式申报通知暂未印发，待通知印发后组织符合条件的企业开展申报。</w:t>
            </w:r>
          </w:p>
        </w:tc>
        <w:tc>
          <w:tcPr>
            <w:tcW w:w="2418" w:type="dxa"/>
            <w:vAlign w:val="center"/>
          </w:tcPr>
          <w:p w14:paraId="1F1E60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县发展和改革局</w:t>
            </w:r>
          </w:p>
          <w:p w14:paraId="4D0CBDD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县科学技术局</w:t>
            </w:r>
          </w:p>
          <w:p w14:paraId="055C465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县工业和信息化局</w:t>
            </w:r>
          </w:p>
          <w:p w14:paraId="5497346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县人力资源和社会保障局</w:t>
            </w:r>
          </w:p>
        </w:tc>
        <w:tc>
          <w:tcPr>
            <w:tcW w:w="1196" w:type="dxa"/>
            <w:vAlign w:val="center"/>
          </w:tcPr>
          <w:p w14:paraId="758C7A4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p w14:paraId="060D8CC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葛  虎</w:t>
            </w:r>
          </w:p>
        </w:tc>
      </w:tr>
      <w:tr w14:paraId="14CF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7" w:hRule="atLeast"/>
        </w:trPr>
        <w:tc>
          <w:tcPr>
            <w:tcW w:w="733" w:type="dxa"/>
            <w:vAlign w:val="center"/>
          </w:tcPr>
          <w:p w14:paraId="0C7B67D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37</w:t>
            </w:r>
          </w:p>
        </w:tc>
        <w:tc>
          <w:tcPr>
            <w:tcW w:w="4363" w:type="dxa"/>
            <w:vAlign w:val="center"/>
          </w:tcPr>
          <w:p w14:paraId="65E33DA1">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积极服务和融入全国统一大市场，深入实施服务民营企业专项行动，健全政企常态化沟通交流、企业诉求全链条闭环解决机制，持续推进“项目管家”帮办服务，新增“四上”企业110家以上。</w:t>
            </w:r>
          </w:p>
        </w:tc>
        <w:tc>
          <w:tcPr>
            <w:tcW w:w="5464" w:type="dxa"/>
            <w:vAlign w:val="center"/>
          </w:tcPr>
          <w:p w14:paraId="35A99007">
            <w:pPr>
              <w:keepNext w:val="0"/>
              <w:keepLines w:val="0"/>
              <w:pageBreakBefore w:val="0"/>
              <w:widowControl w:val="0"/>
              <w:kinsoku/>
              <w:wordWrap/>
              <w:overflowPunct/>
              <w:topLinePunct w:val="0"/>
              <w:autoSpaceDE/>
              <w:autoSpaceDN/>
              <w:bidi w:val="0"/>
              <w:adjustRightInd/>
              <w:snapToGrid/>
              <w:spacing w:line="300" w:lineRule="exact"/>
              <w:ind w:firstLine="482" w:firstLineChars="200"/>
              <w:jc w:val="both"/>
              <w:textAlignment w:val="auto"/>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1.县发改局会同汶上县市场监管局印发了《全县服务和融入全国统一大市场建设2026年工作要点》，加快融入和主动服务全国统一大市场建设。</w:t>
            </w:r>
          </w:p>
          <w:p w14:paraId="518B2382">
            <w:pPr>
              <w:keepNext w:val="0"/>
              <w:keepLines w:val="0"/>
              <w:pageBreakBefore w:val="0"/>
              <w:widowControl w:val="0"/>
              <w:kinsoku/>
              <w:wordWrap/>
              <w:overflowPunct/>
              <w:topLinePunct w:val="0"/>
              <w:autoSpaceDE/>
              <w:autoSpaceDN/>
              <w:bidi w:val="0"/>
              <w:adjustRightInd/>
              <w:snapToGrid/>
              <w:spacing w:line="300" w:lineRule="exact"/>
              <w:ind w:firstLine="482" w:firstLineChars="200"/>
              <w:jc w:val="both"/>
              <w:textAlignment w:val="auto"/>
              <w:rPr>
                <w:rFonts w:hint="default"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2.县发改局会同县委组织部、县市场监督管理局，组织各相关部门开展全县妨碍建设全国统一大市场事项自查自纠工作，经全面排查，我县不存在妨碍全国统一大市场建设相关情形。</w:t>
            </w:r>
          </w:p>
          <w:p w14:paraId="7121FAE5">
            <w:pPr>
              <w:keepNext w:val="0"/>
              <w:keepLines w:val="0"/>
              <w:pageBreakBefore w:val="0"/>
              <w:widowControl w:val="0"/>
              <w:kinsoku/>
              <w:wordWrap/>
              <w:overflowPunct/>
              <w:topLinePunct w:val="0"/>
              <w:autoSpaceDE/>
              <w:autoSpaceDN/>
              <w:bidi w:val="0"/>
              <w:adjustRightInd/>
              <w:snapToGrid/>
              <w:spacing w:line="300" w:lineRule="exact"/>
              <w:ind w:firstLine="482" w:firstLineChars="200"/>
              <w:jc w:val="both"/>
              <w:textAlignment w:val="auto"/>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3.深入开展服务民营企业专项行动，北骏重工、万生新材料两个项目纳入市级领导帮包企业。</w:t>
            </w:r>
          </w:p>
          <w:p w14:paraId="638E9EE7">
            <w:pPr>
              <w:keepNext w:val="0"/>
              <w:keepLines w:val="0"/>
              <w:pageBreakBefore w:val="0"/>
              <w:widowControl w:val="0"/>
              <w:kinsoku/>
              <w:wordWrap/>
              <w:overflowPunct/>
              <w:topLinePunct w:val="0"/>
              <w:autoSpaceDE/>
              <w:autoSpaceDN/>
              <w:bidi w:val="0"/>
              <w:adjustRightInd/>
              <w:snapToGrid/>
              <w:spacing w:line="300" w:lineRule="exact"/>
              <w:ind w:firstLine="482" w:firstLineChars="200"/>
              <w:jc w:val="both"/>
              <w:textAlignment w:val="auto"/>
              <w:rPr>
                <w:rFonts w:hint="default"/>
                <w:color w:val="0000FF"/>
                <w:lang w:val="en-US" w:eastAsia="zh-CN"/>
              </w:rPr>
            </w:pPr>
            <w:r>
              <w:rPr>
                <w:rFonts w:hint="eastAsia" w:ascii="Times New Roman" w:hAnsi="Times New Roman" w:eastAsia="方正仿宋简体" w:cs="Times New Roman"/>
                <w:b/>
                <w:bCs/>
                <w:color w:val="auto"/>
                <w:sz w:val="24"/>
                <w:szCs w:val="24"/>
                <w:vertAlign w:val="baseline"/>
                <w:lang w:val="en-US" w:eastAsia="zh-CN"/>
              </w:rPr>
              <w:t>4.截至目前，全县新增纳统规上服务业领域企业4家，亿企信息、聚实现电子等2家企业补齐软件和信息技术服务业行业空白。</w:t>
            </w:r>
          </w:p>
        </w:tc>
        <w:tc>
          <w:tcPr>
            <w:tcW w:w="2418" w:type="dxa"/>
            <w:vAlign w:val="center"/>
          </w:tcPr>
          <w:p w14:paraId="453E811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县发展和改革局</w:t>
            </w:r>
          </w:p>
          <w:p w14:paraId="3BEA4D2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县工业和信息化局</w:t>
            </w:r>
          </w:p>
          <w:p w14:paraId="3738BB9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县住房和城乡建设局</w:t>
            </w:r>
          </w:p>
          <w:p w14:paraId="0EF7B17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县商务局</w:t>
            </w:r>
          </w:p>
          <w:p w14:paraId="728E202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县市场监督管理局</w:t>
            </w:r>
          </w:p>
          <w:p w14:paraId="0400C03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县住房保障和房地产发展中心</w:t>
            </w:r>
          </w:p>
        </w:tc>
        <w:tc>
          <w:tcPr>
            <w:tcW w:w="1196" w:type="dxa"/>
            <w:vAlign w:val="center"/>
          </w:tcPr>
          <w:p w14:paraId="59D2144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张钦国</w:t>
            </w:r>
          </w:p>
          <w:p w14:paraId="4AC3797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赵红雨</w:t>
            </w:r>
          </w:p>
          <w:p w14:paraId="1A6542A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乔  明</w:t>
            </w:r>
          </w:p>
          <w:p w14:paraId="16B82E8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葛  虎</w:t>
            </w:r>
          </w:p>
          <w:p w14:paraId="4351147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eastAsia" w:ascii="Times New Roman" w:hAnsi="Times New Roman" w:eastAsia="方正楷体简体" w:cs="Times New Roman"/>
                <w:b/>
                <w:bCs/>
                <w:sz w:val="24"/>
                <w:szCs w:val="24"/>
                <w:vertAlign w:val="baseline"/>
                <w:lang w:val="en-US" w:eastAsia="zh-CN"/>
              </w:rPr>
              <w:t>刘海韵</w:t>
            </w:r>
          </w:p>
        </w:tc>
      </w:tr>
      <w:tr w14:paraId="5DFA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5" w:hRule="atLeast"/>
        </w:trPr>
        <w:tc>
          <w:tcPr>
            <w:tcW w:w="733" w:type="dxa"/>
            <w:vAlign w:val="center"/>
          </w:tcPr>
          <w:p w14:paraId="42FDF57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38</w:t>
            </w:r>
          </w:p>
        </w:tc>
        <w:tc>
          <w:tcPr>
            <w:tcW w:w="4363" w:type="dxa"/>
            <w:vAlign w:val="center"/>
          </w:tcPr>
          <w:p w14:paraId="24067584">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深化“综合查一次”改革，严格规范涉企行政执法，强化产权执法司法保护，完善社会信用体系，弘扬儒商精神、企业家精神，加力构建亲清政商关系，让各类市场主体放心投资、舒心发展。</w:t>
            </w:r>
          </w:p>
        </w:tc>
        <w:tc>
          <w:tcPr>
            <w:tcW w:w="5464" w:type="dxa"/>
            <w:vAlign w:val="center"/>
          </w:tcPr>
          <w:p w14:paraId="445E164F">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1.开展高频失信行为企业信用修复专项行动，今年以来，共计指导企业完成信用修复186条，我县10家高频失信企业全部退出高频失信企业名单。</w:t>
            </w:r>
          </w:p>
          <w:p w14:paraId="69F77FDA">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FF"/>
                <w:sz w:val="24"/>
                <w:szCs w:val="24"/>
                <w:vertAlign w:val="baseline"/>
                <w:lang w:val="en-US" w:eastAsia="zh-CN"/>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2.建立政务失信风险排查台账，定期对全县政府机构涉执行案件、政务履约等情况进行全面排查。对已排查出的涉政府机构执行案件，督促相关责任单位及时履行生效法律文书确定的义务或清偿拖欠账款。</w:t>
            </w:r>
          </w:p>
        </w:tc>
        <w:tc>
          <w:tcPr>
            <w:tcW w:w="2418" w:type="dxa"/>
            <w:vAlign w:val="center"/>
          </w:tcPr>
          <w:p w14:paraId="5C6ACC5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县发展和改革局</w:t>
            </w:r>
          </w:p>
          <w:p w14:paraId="65C3A3B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县司法局</w:t>
            </w:r>
          </w:p>
          <w:p w14:paraId="66CF721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县行政审批服务局</w:t>
            </w:r>
          </w:p>
          <w:p w14:paraId="4E95CE8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县市场监督管理局</w:t>
            </w:r>
          </w:p>
        </w:tc>
        <w:tc>
          <w:tcPr>
            <w:tcW w:w="1196" w:type="dxa"/>
            <w:vAlign w:val="center"/>
          </w:tcPr>
          <w:p w14:paraId="7854523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张钦国</w:t>
            </w:r>
          </w:p>
          <w:p w14:paraId="66921C4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乔  明</w:t>
            </w:r>
          </w:p>
          <w:p w14:paraId="16DD9E9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kern w:val="2"/>
                <w:sz w:val="24"/>
                <w:szCs w:val="24"/>
                <w:vertAlign w:val="baseline"/>
                <w:lang w:val="en-US" w:eastAsia="zh-CN" w:bidi="ar-SA"/>
              </w:rPr>
            </w:pPr>
            <w:r>
              <w:rPr>
                <w:rFonts w:hint="eastAsia" w:ascii="Times New Roman" w:hAnsi="Times New Roman" w:eastAsia="方正楷体简体" w:cs="Times New Roman"/>
                <w:b/>
                <w:bCs/>
                <w:kern w:val="2"/>
                <w:sz w:val="24"/>
                <w:szCs w:val="24"/>
                <w:vertAlign w:val="baseline"/>
                <w:lang w:val="en-US" w:eastAsia="zh-CN" w:bidi="ar-SA"/>
              </w:rPr>
              <w:t>徐西峰</w:t>
            </w:r>
          </w:p>
        </w:tc>
      </w:tr>
      <w:tr w14:paraId="48CE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trPr>
        <w:tc>
          <w:tcPr>
            <w:tcW w:w="733" w:type="dxa"/>
            <w:vAlign w:val="center"/>
          </w:tcPr>
          <w:p w14:paraId="3E67699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40</w:t>
            </w:r>
          </w:p>
        </w:tc>
        <w:tc>
          <w:tcPr>
            <w:tcW w:w="4363" w:type="dxa"/>
            <w:vAlign w:val="center"/>
          </w:tcPr>
          <w:p w14:paraId="3AC8D2F0">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eastAsia="zh-CN"/>
              </w:rPr>
              <w:t>坚持以工补农、以城带乡，促进城乡融合发展，力争</w:t>
            </w:r>
            <w:r>
              <w:rPr>
                <w:rFonts w:hint="default" w:ascii="Times New Roman" w:hAnsi="Times New Roman" w:eastAsia="方正仿宋简体" w:cs="Times New Roman"/>
                <w:b/>
                <w:bCs/>
                <w:sz w:val="24"/>
                <w:szCs w:val="24"/>
                <w:vertAlign w:val="baseline"/>
                <w:lang w:val="en-US" w:eastAsia="zh-CN"/>
              </w:rPr>
              <w:t>城镇化率突破61%。</w:t>
            </w:r>
          </w:p>
        </w:tc>
        <w:tc>
          <w:tcPr>
            <w:tcW w:w="5464" w:type="dxa"/>
            <w:vAlign w:val="center"/>
          </w:tcPr>
          <w:p w14:paraId="00CA9D80">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color w:val="0000FF"/>
                <w:sz w:val="24"/>
                <w:szCs w:val="24"/>
                <w:vertAlign w:val="baseline"/>
                <w:lang w:val="en-US" w:eastAsia="zh-CN"/>
              </w:rPr>
            </w:pPr>
            <w:r>
              <w:rPr>
                <w:rFonts w:hint="eastAsia" w:ascii="Times New Roman" w:hAnsi="Times New Roman" w:eastAsia="方正仿宋简体" w:cs="Times New Roman"/>
                <w:b/>
                <w:bCs/>
                <w:color w:val="auto"/>
                <w:sz w:val="24"/>
                <w:szCs w:val="24"/>
                <w:vertAlign w:val="baseline"/>
                <w:lang w:val="en-US" w:eastAsia="zh-CN"/>
              </w:rPr>
              <w:t>省发改委发布《关于印发2026年省新型城镇化重点项目名单的通知》（鲁发改城镇〔2026〕185号），我县经济开发区南区路网及地下管网提升工程项目成功入选2026年省新型城镇化重点项目。</w:t>
            </w:r>
          </w:p>
        </w:tc>
        <w:tc>
          <w:tcPr>
            <w:tcW w:w="2418" w:type="dxa"/>
            <w:vAlign w:val="center"/>
          </w:tcPr>
          <w:p w14:paraId="2482E75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县发展和改革局</w:t>
            </w:r>
          </w:p>
        </w:tc>
        <w:tc>
          <w:tcPr>
            <w:tcW w:w="1196" w:type="dxa"/>
            <w:vAlign w:val="center"/>
          </w:tcPr>
          <w:p w14:paraId="4B66DC0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张钦国</w:t>
            </w:r>
          </w:p>
        </w:tc>
      </w:tr>
      <w:tr w14:paraId="2A10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0" w:hRule="atLeast"/>
        </w:trPr>
        <w:tc>
          <w:tcPr>
            <w:tcW w:w="733" w:type="dxa"/>
            <w:vAlign w:val="center"/>
          </w:tcPr>
          <w:p w14:paraId="0093F66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71</w:t>
            </w:r>
          </w:p>
        </w:tc>
        <w:tc>
          <w:tcPr>
            <w:tcW w:w="4363" w:type="dxa"/>
            <w:vAlign w:val="center"/>
          </w:tcPr>
          <w:p w14:paraId="32950E14">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积极稳妥推进“双碳”战略，加快形成绿色生产生活方式。大力实施碳达峰十大工程，支持引导重点企业节能降碳增效，确保完成单位GDP能耗下降、煤炭消费压减市定目标。</w:t>
            </w:r>
          </w:p>
        </w:tc>
        <w:tc>
          <w:tcPr>
            <w:tcW w:w="5464" w:type="dxa"/>
            <w:vAlign w:val="center"/>
          </w:tcPr>
          <w:p w14:paraId="3014CAA1">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1.深入落实“双碳”战略，推动园区现有企业节能降碳改造，明确争取设备更新领域超长期特别国债支持项目5个，获批支持资金3115万元。</w:t>
            </w:r>
          </w:p>
          <w:p w14:paraId="35BD2C1C">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2.1-8月份，我县煤炭消费总量34.75万吨，同比增长-13.88%，得满分。</w:t>
            </w:r>
          </w:p>
          <w:p w14:paraId="33703EB0">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3.推进县经济开发区和化工园区完成园区循环化改造并开展验收工作。</w:t>
            </w:r>
          </w:p>
          <w:p w14:paraId="06996417">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lang w:val="en-US" w:eastAsia="zh-CN"/>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4.从严规范“两高”项目管理，分类推进传统行业能效改造提档升级。</w:t>
            </w:r>
          </w:p>
        </w:tc>
        <w:tc>
          <w:tcPr>
            <w:tcW w:w="2418" w:type="dxa"/>
            <w:vAlign w:val="center"/>
          </w:tcPr>
          <w:p w14:paraId="3DE0BF7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县发展和改革局</w:t>
            </w:r>
          </w:p>
        </w:tc>
        <w:tc>
          <w:tcPr>
            <w:tcW w:w="1196" w:type="dxa"/>
            <w:vAlign w:val="center"/>
          </w:tcPr>
          <w:p w14:paraId="64E7FB3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张钦国</w:t>
            </w:r>
          </w:p>
        </w:tc>
      </w:tr>
      <w:tr w14:paraId="4554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5" w:hRule="atLeast"/>
        </w:trPr>
        <w:tc>
          <w:tcPr>
            <w:tcW w:w="733" w:type="dxa"/>
            <w:vAlign w:val="center"/>
          </w:tcPr>
          <w:p w14:paraId="0020503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72</w:t>
            </w:r>
          </w:p>
        </w:tc>
        <w:tc>
          <w:tcPr>
            <w:tcW w:w="4363" w:type="dxa"/>
            <w:vAlign w:val="center"/>
          </w:tcPr>
          <w:p w14:paraId="7F4F423C">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 w:eastAsia="zh-CN"/>
              </w:rPr>
              <w:t>深入推进省级能源绿色低碳转型试点建设，加快中广核、“千乡万村驭风行动”等风电</w:t>
            </w:r>
            <w:r>
              <w:rPr>
                <w:rFonts w:hint="default" w:ascii="Times New Roman" w:hAnsi="Times New Roman" w:eastAsia="方正仿宋简体" w:cs="Times New Roman"/>
                <w:b/>
                <w:bCs/>
                <w:sz w:val="24"/>
                <w:szCs w:val="24"/>
                <w:vertAlign w:val="baseline"/>
                <w:lang w:val="en-US" w:eastAsia="zh-CN"/>
              </w:rPr>
              <w:t>项目竣工并网，确保新能源和可再生能源装机容量新增30万千瓦、占比达到80%。深化智能充电基础设施建设，新建公共充电桩230个以上。</w:t>
            </w:r>
          </w:p>
        </w:tc>
        <w:tc>
          <w:tcPr>
            <w:tcW w:w="5464" w:type="dxa"/>
            <w:vAlign w:val="center"/>
          </w:tcPr>
          <w:p w14:paraId="3FAE02BB">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auto"/>
                <w:sz w:val="24"/>
                <w:szCs w:val="24"/>
                <w:vertAlign w:val="baseline"/>
                <w:lang w:val="en-US" w:eastAsia="zh-CN"/>
              </w:rPr>
            </w:pPr>
            <w:r>
              <w:rPr>
                <w:rFonts w:hint="eastAsia" w:ascii="Times New Roman" w:hAnsi="Times New Roman" w:eastAsia="方正仿宋简体" w:cs="Times New Roman"/>
                <w:b/>
                <w:bCs/>
                <w:color w:val="auto"/>
                <w:sz w:val="24"/>
                <w:szCs w:val="24"/>
                <w:vertAlign w:val="baseline"/>
                <w:lang w:val="en-US" w:eastAsia="zh-CN"/>
              </w:rPr>
              <w:t>1.6月29日，中广核汶上20.5万千瓦风电项目已并网投运。华能汶上“千乡万村驭风行动”60MW风电项目于5月13日取得项目赋码。中广核汶上“千乡万村驭风行动”40MW风电项目于9月10日，取得核准批复，正在办理环评、水保、接入等前期手续。</w:t>
            </w:r>
          </w:p>
          <w:p w14:paraId="411E868C">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auto"/>
                <w:sz w:val="24"/>
                <w:szCs w:val="24"/>
                <w:vertAlign w:val="baseline"/>
                <w:lang w:val="en-US" w:eastAsia="zh-CN"/>
              </w:rPr>
            </w:pPr>
            <w:r>
              <w:rPr>
                <w:rFonts w:hint="eastAsia" w:ascii="Times New Roman" w:hAnsi="Times New Roman" w:eastAsia="方正仿宋简体" w:cs="Times New Roman"/>
                <w:b/>
                <w:bCs/>
                <w:color w:val="auto"/>
                <w:sz w:val="24"/>
                <w:szCs w:val="24"/>
                <w:vertAlign w:val="baseline"/>
                <w:lang w:val="en-US" w:eastAsia="zh-CN"/>
              </w:rPr>
              <w:t>2.全县新能源和可再生能源装机规模已达到73.94万千瓦，新能源和可再生能源装机占比达到82.58%。</w:t>
            </w:r>
          </w:p>
          <w:p w14:paraId="72BB6310">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FF"/>
                <w:sz w:val="24"/>
                <w:szCs w:val="24"/>
                <w:vertAlign w:val="baseline"/>
                <w:lang w:val="en-US" w:eastAsia="zh-CN"/>
              </w:rPr>
            </w:pPr>
            <w:r>
              <w:rPr>
                <w:rFonts w:hint="eastAsia" w:ascii="Times New Roman" w:hAnsi="Times New Roman" w:eastAsia="方正仿宋简体" w:cs="Times New Roman"/>
                <w:b/>
                <w:bCs/>
                <w:color w:val="auto"/>
                <w:sz w:val="24"/>
                <w:szCs w:val="24"/>
                <w:vertAlign w:val="baseline"/>
                <w:lang w:val="en-US" w:eastAsia="zh-CN"/>
              </w:rPr>
              <w:t>3.截至目前，全县已新建公共充电桩238个。</w:t>
            </w:r>
          </w:p>
        </w:tc>
        <w:tc>
          <w:tcPr>
            <w:tcW w:w="2418" w:type="dxa"/>
            <w:vAlign w:val="center"/>
          </w:tcPr>
          <w:p w14:paraId="535396F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县发展和改革局</w:t>
            </w:r>
          </w:p>
        </w:tc>
        <w:tc>
          <w:tcPr>
            <w:tcW w:w="1196" w:type="dxa"/>
            <w:vAlign w:val="center"/>
          </w:tcPr>
          <w:p w14:paraId="4B51C8B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张钦国</w:t>
            </w:r>
          </w:p>
        </w:tc>
      </w:tr>
      <w:tr w14:paraId="1DE7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9" w:hRule="atLeast"/>
        </w:trPr>
        <w:tc>
          <w:tcPr>
            <w:tcW w:w="733" w:type="dxa"/>
            <w:vAlign w:val="center"/>
          </w:tcPr>
          <w:p w14:paraId="3AE43FF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73</w:t>
            </w:r>
          </w:p>
        </w:tc>
        <w:tc>
          <w:tcPr>
            <w:tcW w:w="4363" w:type="dxa"/>
            <w:vAlign w:val="center"/>
          </w:tcPr>
          <w:p w14:paraId="7A4B3CB8">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default" w:ascii="Times New Roman" w:hAnsi="Times New Roman" w:eastAsia="方正仿宋简体" w:cs="Times New Roman"/>
                <w:b/>
                <w:bCs/>
                <w:sz w:val="24"/>
                <w:szCs w:val="24"/>
                <w:vertAlign w:val="baseline"/>
              </w:rPr>
            </w:pPr>
            <w:r>
              <w:rPr>
                <w:rFonts w:hint="default" w:ascii="Times New Roman" w:hAnsi="Times New Roman" w:eastAsia="方正仿宋简体" w:cs="Times New Roman"/>
                <w:b/>
                <w:bCs/>
                <w:sz w:val="24"/>
                <w:szCs w:val="24"/>
                <w:vertAlign w:val="baseline"/>
                <w:lang w:val="en-US" w:eastAsia="zh-CN"/>
              </w:rPr>
              <w:t>实施绿色低碳全民行动，扩大绿色低碳产品供给和消费，推广绿色出行，新开工绿色建筑50万平方米。</w:t>
            </w:r>
          </w:p>
        </w:tc>
        <w:tc>
          <w:tcPr>
            <w:tcW w:w="5464" w:type="dxa"/>
            <w:vAlign w:val="center"/>
          </w:tcPr>
          <w:p w14:paraId="3F4289E4">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1.抢抓“大规模设备更新和消费品以旧换新”政策机遇，实施重点行业节能降碳改造和设备更新项目，积极争取政策性资金支持，今年以来，争取设备更新领域超长期特别国债支持项目5个，获批支持资金3115万元。</w:t>
            </w:r>
          </w:p>
          <w:p w14:paraId="3ADF0D18">
            <w:pPr>
              <w:keepNext w:val="0"/>
              <w:keepLines w:val="0"/>
              <w:pageBreakBefore w:val="0"/>
              <w:widowControl w:val="0"/>
              <w:kinsoku/>
              <w:wordWrap/>
              <w:overflowPunct/>
              <w:topLinePunct w:val="0"/>
              <w:autoSpaceDE/>
              <w:autoSpaceDN/>
              <w:bidi w:val="0"/>
              <w:adjustRightInd/>
              <w:snapToGrid/>
              <w:spacing w:line="340" w:lineRule="exact"/>
              <w:ind w:firstLine="482" w:firstLineChars="200"/>
              <w:jc w:val="both"/>
              <w:textAlignment w:val="auto"/>
              <w:rPr>
                <w:rFonts w:hint="eastAsia" w:ascii="Times New Roman" w:hAnsi="Times New Roman" w:eastAsia="方正仿宋简体" w:cs="Times New Roman"/>
                <w:color w:val="0000FF"/>
                <w:sz w:val="24"/>
                <w:szCs w:val="24"/>
                <w:vertAlign w:val="baseline"/>
                <w:lang w:val="en-US" w:eastAsia="zh-CN"/>
              </w:rPr>
            </w:pPr>
            <w:r>
              <w:rPr>
                <w:rFonts w:hint="eastAsia" w:ascii="Times New Roman" w:hAnsi="Times New Roman" w:eastAsia="方正仿宋简体" w:cs="Times New Roman"/>
                <w:b/>
                <w:bCs/>
                <w:color w:val="000000" w:themeColor="text1"/>
                <w:sz w:val="24"/>
                <w:szCs w:val="24"/>
                <w:vertAlign w:val="baseline"/>
                <w:lang w:val="en-US" w:eastAsia="zh-CN"/>
                <w14:textFill>
                  <w14:solidFill>
                    <w14:schemeClr w14:val="tx1"/>
                  </w14:solidFill>
                </w14:textFill>
              </w:rPr>
              <w:t>2.以节能宣传周和全国生态日为契机，开展《循环经济促进法》、节能降碳宣传，提升群众的节能降碳意识和参与度，推动形成绿色低碳的生产生活方式。</w:t>
            </w:r>
          </w:p>
        </w:tc>
        <w:tc>
          <w:tcPr>
            <w:tcW w:w="2418" w:type="dxa"/>
            <w:vAlign w:val="center"/>
          </w:tcPr>
          <w:p w14:paraId="253C4C6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县发展和改革局</w:t>
            </w:r>
          </w:p>
          <w:p w14:paraId="392A0D7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县住房和城乡建设局</w:t>
            </w:r>
          </w:p>
        </w:tc>
        <w:tc>
          <w:tcPr>
            <w:tcW w:w="1196" w:type="dxa"/>
            <w:vAlign w:val="center"/>
          </w:tcPr>
          <w:p w14:paraId="17FCF2A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张钦国</w:t>
            </w:r>
          </w:p>
          <w:p w14:paraId="4D53FC6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楷体简体" w:cs="Times New Roman"/>
                <w:b/>
                <w:bCs/>
                <w:sz w:val="24"/>
                <w:szCs w:val="24"/>
                <w:vertAlign w:val="baseline"/>
                <w:lang w:val="en-US" w:eastAsia="zh-CN"/>
              </w:rPr>
            </w:pPr>
            <w:r>
              <w:rPr>
                <w:rFonts w:hint="default" w:ascii="Times New Roman" w:hAnsi="Times New Roman" w:eastAsia="方正楷体简体" w:cs="Times New Roman"/>
                <w:b/>
                <w:bCs/>
                <w:sz w:val="24"/>
                <w:szCs w:val="24"/>
                <w:vertAlign w:val="baseline"/>
                <w:lang w:val="en-US" w:eastAsia="zh-CN"/>
              </w:rPr>
              <w:t>赵红雨</w:t>
            </w:r>
          </w:p>
        </w:tc>
      </w:tr>
    </w:tbl>
    <w:p w14:paraId="46F80C89">
      <w:pPr>
        <w:keepNext w:val="0"/>
        <w:keepLines w:val="0"/>
        <w:pageBreakBefore w:val="0"/>
        <w:widowControl w:val="0"/>
        <w:kinsoku/>
        <w:wordWrap/>
        <w:overflowPunct/>
        <w:topLinePunct w:val="0"/>
        <w:autoSpaceDE/>
        <w:autoSpaceDN/>
        <w:bidi w:val="0"/>
        <w:adjustRightInd/>
        <w:snapToGrid/>
        <w:spacing w:line="340" w:lineRule="exact"/>
        <w:textAlignment w:val="auto"/>
        <w:rPr>
          <w:sz w:val="24"/>
          <w:szCs w:val="24"/>
        </w:rPr>
      </w:pPr>
    </w:p>
    <w:sectPr>
      <w:footerReference r:id="rId3" w:type="default"/>
      <w:pgSz w:w="16838" w:h="11906" w:orient="landscape"/>
      <w:pgMar w:top="1803" w:right="1440" w:bottom="1803" w:left="1440"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Roman 10cpi">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4F57">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0BBAEE">
                          <w:pPr>
                            <w:pStyle w:val="9"/>
                            <w:rPr>
                              <w:rFonts w:hint="default"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0BBAEE">
                    <w:pPr>
                      <w:pStyle w:val="9"/>
                      <w:rPr>
                        <w:rFonts w:hint="default"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japaneseCounting"/>
      <w:pStyle w:val="3"/>
      <w:lvlText w:val="%1、"/>
      <w:lvlJc w:val="left"/>
      <w:pPr>
        <w:ind w:left="3360" w:hanging="720"/>
      </w:pPr>
      <w:rPr>
        <w:rFonts w:hint="default"/>
      </w:rPr>
    </w:lvl>
    <w:lvl w:ilvl="1" w:tentative="0">
      <w:start w:val="1"/>
      <w:numFmt w:val="lowerLetter"/>
      <w:lvlText w:val="%2)"/>
      <w:lvlJc w:val="left"/>
      <w:pPr>
        <w:ind w:left="2000" w:hanging="420"/>
      </w:pPr>
    </w:lvl>
    <w:lvl w:ilvl="2" w:tentative="0">
      <w:start w:val="1"/>
      <w:numFmt w:val="lowerRoman"/>
      <w:lvlText w:val="%3."/>
      <w:lvlJc w:val="right"/>
      <w:pPr>
        <w:ind w:left="2420" w:hanging="420"/>
      </w:pPr>
    </w:lvl>
    <w:lvl w:ilvl="3" w:tentative="0">
      <w:start w:val="1"/>
      <w:numFmt w:val="decimal"/>
      <w:lvlText w:val="%4."/>
      <w:lvlJc w:val="left"/>
      <w:pPr>
        <w:ind w:left="2840" w:hanging="420"/>
      </w:pPr>
    </w:lvl>
    <w:lvl w:ilvl="4" w:tentative="0">
      <w:start w:val="1"/>
      <w:numFmt w:val="lowerLetter"/>
      <w:lvlText w:val="%5)"/>
      <w:lvlJc w:val="left"/>
      <w:pPr>
        <w:ind w:left="3260" w:hanging="420"/>
      </w:pPr>
    </w:lvl>
    <w:lvl w:ilvl="5" w:tentative="0">
      <w:start w:val="1"/>
      <w:numFmt w:val="lowerRoman"/>
      <w:lvlText w:val="%6."/>
      <w:lvlJc w:val="right"/>
      <w:pPr>
        <w:ind w:left="3680" w:hanging="420"/>
      </w:pPr>
    </w:lvl>
    <w:lvl w:ilvl="6" w:tentative="0">
      <w:start w:val="1"/>
      <w:numFmt w:val="decimal"/>
      <w:lvlText w:val="%7."/>
      <w:lvlJc w:val="left"/>
      <w:pPr>
        <w:ind w:left="4100" w:hanging="420"/>
      </w:pPr>
    </w:lvl>
    <w:lvl w:ilvl="7" w:tentative="0">
      <w:start w:val="1"/>
      <w:numFmt w:val="lowerLetter"/>
      <w:lvlText w:val="%8)"/>
      <w:lvlJc w:val="left"/>
      <w:pPr>
        <w:ind w:left="4520" w:hanging="420"/>
      </w:pPr>
    </w:lvl>
    <w:lvl w:ilvl="8" w:tentative="0">
      <w:start w:val="1"/>
      <w:numFmt w:val="lowerRoman"/>
      <w:lvlText w:val="%9."/>
      <w:lvlJc w:val="right"/>
      <w:pPr>
        <w:ind w:left="49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yODE2MTEwYTE1MGQwZDk0NjMzMzRjNDc0MjZjOTYifQ=="/>
  </w:docVars>
  <w:rsids>
    <w:rsidRoot w:val="00000000"/>
    <w:rsid w:val="007A3A9F"/>
    <w:rsid w:val="00DA0570"/>
    <w:rsid w:val="01773AFB"/>
    <w:rsid w:val="035A42CC"/>
    <w:rsid w:val="03DC38A9"/>
    <w:rsid w:val="05F61781"/>
    <w:rsid w:val="078660CC"/>
    <w:rsid w:val="07C971F5"/>
    <w:rsid w:val="08A16ACD"/>
    <w:rsid w:val="08B33959"/>
    <w:rsid w:val="0B603134"/>
    <w:rsid w:val="0B6D4294"/>
    <w:rsid w:val="0C9149E6"/>
    <w:rsid w:val="0D286603"/>
    <w:rsid w:val="0DF3229E"/>
    <w:rsid w:val="0E7D2733"/>
    <w:rsid w:val="0F124079"/>
    <w:rsid w:val="0F865924"/>
    <w:rsid w:val="0FAD4E79"/>
    <w:rsid w:val="0FD0094D"/>
    <w:rsid w:val="0FE95EB3"/>
    <w:rsid w:val="10923200"/>
    <w:rsid w:val="10DF3908"/>
    <w:rsid w:val="11BA07BE"/>
    <w:rsid w:val="11C35F0C"/>
    <w:rsid w:val="11F72B09"/>
    <w:rsid w:val="12370063"/>
    <w:rsid w:val="12F11306"/>
    <w:rsid w:val="13557C56"/>
    <w:rsid w:val="13AF13FA"/>
    <w:rsid w:val="141C6C87"/>
    <w:rsid w:val="150F132E"/>
    <w:rsid w:val="155344FA"/>
    <w:rsid w:val="161F618A"/>
    <w:rsid w:val="165C7A79"/>
    <w:rsid w:val="167A73B7"/>
    <w:rsid w:val="16D46F5F"/>
    <w:rsid w:val="17813A3D"/>
    <w:rsid w:val="182962C9"/>
    <w:rsid w:val="18E62DB7"/>
    <w:rsid w:val="1A2E1092"/>
    <w:rsid w:val="1A5D54D3"/>
    <w:rsid w:val="1ADA2FC8"/>
    <w:rsid w:val="1AF8344E"/>
    <w:rsid w:val="1BA80D15"/>
    <w:rsid w:val="1C166281"/>
    <w:rsid w:val="1C5370B7"/>
    <w:rsid w:val="1D6D3C7F"/>
    <w:rsid w:val="1E5D0198"/>
    <w:rsid w:val="20BF2615"/>
    <w:rsid w:val="21036E2E"/>
    <w:rsid w:val="214D44F3"/>
    <w:rsid w:val="21B26104"/>
    <w:rsid w:val="22700A5D"/>
    <w:rsid w:val="2277734E"/>
    <w:rsid w:val="22FF7A6F"/>
    <w:rsid w:val="23E0387B"/>
    <w:rsid w:val="24E52E58"/>
    <w:rsid w:val="26946721"/>
    <w:rsid w:val="28591FD4"/>
    <w:rsid w:val="28776B3D"/>
    <w:rsid w:val="2A3111A3"/>
    <w:rsid w:val="2A950CB9"/>
    <w:rsid w:val="2CDC672B"/>
    <w:rsid w:val="2F210A5E"/>
    <w:rsid w:val="2FF3270A"/>
    <w:rsid w:val="30872E52"/>
    <w:rsid w:val="316D2177"/>
    <w:rsid w:val="32F21E37"/>
    <w:rsid w:val="34076784"/>
    <w:rsid w:val="34B61F58"/>
    <w:rsid w:val="35DF0B77"/>
    <w:rsid w:val="362D1DA6"/>
    <w:rsid w:val="36E41ED4"/>
    <w:rsid w:val="37682743"/>
    <w:rsid w:val="384635F3"/>
    <w:rsid w:val="394E275F"/>
    <w:rsid w:val="39DD5785"/>
    <w:rsid w:val="3A6F6DD6"/>
    <w:rsid w:val="3B9F3746"/>
    <w:rsid w:val="3CA8487C"/>
    <w:rsid w:val="3E01686C"/>
    <w:rsid w:val="3E7F160D"/>
    <w:rsid w:val="3F03223E"/>
    <w:rsid w:val="3F0A62FF"/>
    <w:rsid w:val="406311E6"/>
    <w:rsid w:val="40774C14"/>
    <w:rsid w:val="40B90E06"/>
    <w:rsid w:val="4237620D"/>
    <w:rsid w:val="44705D18"/>
    <w:rsid w:val="44E73CFC"/>
    <w:rsid w:val="451A3E3D"/>
    <w:rsid w:val="453B33C4"/>
    <w:rsid w:val="45561319"/>
    <w:rsid w:val="45717F01"/>
    <w:rsid w:val="468B579A"/>
    <w:rsid w:val="47331014"/>
    <w:rsid w:val="47962D61"/>
    <w:rsid w:val="47981F8D"/>
    <w:rsid w:val="481C50E8"/>
    <w:rsid w:val="4851045A"/>
    <w:rsid w:val="4A8E3303"/>
    <w:rsid w:val="4B135E8C"/>
    <w:rsid w:val="4B80314D"/>
    <w:rsid w:val="4C2555A1"/>
    <w:rsid w:val="4C7F26C2"/>
    <w:rsid w:val="4DA46CB0"/>
    <w:rsid w:val="4DF92551"/>
    <w:rsid w:val="4EF9083A"/>
    <w:rsid w:val="4F552641"/>
    <w:rsid w:val="50455EC1"/>
    <w:rsid w:val="51984A67"/>
    <w:rsid w:val="52A64F62"/>
    <w:rsid w:val="5427219D"/>
    <w:rsid w:val="55057E5C"/>
    <w:rsid w:val="56B018D6"/>
    <w:rsid w:val="5A5B4884"/>
    <w:rsid w:val="5B9919F1"/>
    <w:rsid w:val="5BEC7E8A"/>
    <w:rsid w:val="5C294C3A"/>
    <w:rsid w:val="5C891B7C"/>
    <w:rsid w:val="5D5D62A2"/>
    <w:rsid w:val="5D711697"/>
    <w:rsid w:val="5DE52DE2"/>
    <w:rsid w:val="5E0D4E69"/>
    <w:rsid w:val="5E7245DC"/>
    <w:rsid w:val="608763D3"/>
    <w:rsid w:val="60A8472B"/>
    <w:rsid w:val="60E11BB1"/>
    <w:rsid w:val="61151C31"/>
    <w:rsid w:val="61AA582E"/>
    <w:rsid w:val="61C62FAF"/>
    <w:rsid w:val="62D20258"/>
    <w:rsid w:val="635E38F3"/>
    <w:rsid w:val="63617C53"/>
    <w:rsid w:val="63947D52"/>
    <w:rsid w:val="644F7208"/>
    <w:rsid w:val="65042353"/>
    <w:rsid w:val="654148A5"/>
    <w:rsid w:val="65895079"/>
    <w:rsid w:val="66BB5028"/>
    <w:rsid w:val="67515045"/>
    <w:rsid w:val="675A3B42"/>
    <w:rsid w:val="676C6322"/>
    <w:rsid w:val="678E6299"/>
    <w:rsid w:val="67F109C6"/>
    <w:rsid w:val="680A0DD4"/>
    <w:rsid w:val="6891732E"/>
    <w:rsid w:val="69203EB4"/>
    <w:rsid w:val="694D10E7"/>
    <w:rsid w:val="69855479"/>
    <w:rsid w:val="6A917936"/>
    <w:rsid w:val="6CBF6EF4"/>
    <w:rsid w:val="6D2453CF"/>
    <w:rsid w:val="6D4D2752"/>
    <w:rsid w:val="6DA54362"/>
    <w:rsid w:val="6DD469CF"/>
    <w:rsid w:val="6DFE4F37"/>
    <w:rsid w:val="6F8720A6"/>
    <w:rsid w:val="70385218"/>
    <w:rsid w:val="71123062"/>
    <w:rsid w:val="72C94579"/>
    <w:rsid w:val="72EA1370"/>
    <w:rsid w:val="732D105C"/>
    <w:rsid w:val="73EA3533"/>
    <w:rsid w:val="74C36E18"/>
    <w:rsid w:val="752F0DA8"/>
    <w:rsid w:val="75A57519"/>
    <w:rsid w:val="769C1626"/>
    <w:rsid w:val="76BC598F"/>
    <w:rsid w:val="77026AB1"/>
    <w:rsid w:val="7719000F"/>
    <w:rsid w:val="772E7150"/>
    <w:rsid w:val="791505C8"/>
    <w:rsid w:val="7A287E87"/>
    <w:rsid w:val="7ADD3367"/>
    <w:rsid w:val="7AE069B4"/>
    <w:rsid w:val="7AF91EF7"/>
    <w:rsid w:val="7C3732F3"/>
    <w:rsid w:val="7CA22609"/>
    <w:rsid w:val="7CC1272E"/>
    <w:rsid w:val="7CEF35A8"/>
    <w:rsid w:val="7EFC52A0"/>
    <w:rsid w:val="7F052E8D"/>
    <w:rsid w:val="7F6D368D"/>
    <w:rsid w:val="7F9C7B81"/>
    <w:rsid w:val="7FC5112E"/>
    <w:rsid w:val="7FDB599C"/>
    <w:rsid w:val="7FEDD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numPr>
        <w:ilvl w:val="0"/>
        <w:numId w:val="1"/>
      </w:numPr>
      <w:outlineLvl w:val="1"/>
    </w:pPr>
    <w:rPr>
      <w:rFonts w:ascii="Cambria" w:hAnsi="Cambria" w:eastAsia="宋体" w:cs="Times New Roman"/>
      <w:b/>
      <w:bCs/>
      <w:kern w:val="0"/>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文件格式"/>
    <w:basedOn w:val="1"/>
    <w:qFormat/>
    <w:uiPriority w:val="0"/>
    <w:pPr>
      <w:widowControl/>
      <w:spacing w:line="460" w:lineRule="atLeast"/>
      <w:ind w:left="1" w:firstLine="419"/>
      <w:jc w:val="both"/>
      <w:textAlignment w:val="bottom"/>
    </w:pPr>
    <w:rPr>
      <w:kern w:val="0"/>
      <w:szCs w:val="32"/>
    </w:rPr>
  </w:style>
  <w:style w:type="paragraph" w:styleId="4">
    <w:name w:val="Body Text Indent"/>
    <w:basedOn w:val="1"/>
    <w:next w:val="1"/>
    <w:qFormat/>
    <w:uiPriority w:val="0"/>
    <w:pPr>
      <w:ind w:firstLine="200" w:firstLineChars="200"/>
    </w:pPr>
    <w:rPr>
      <w:rFonts w:ascii="仿宋_GB2312" w:hAnsi="Times New Roman" w:eastAsia="仿宋_GB2312" w:cs="Times New Roman"/>
      <w:color w:val="000000"/>
      <w:sz w:val="32"/>
      <w:szCs w:val="32"/>
    </w:rPr>
  </w:style>
  <w:style w:type="paragraph" w:styleId="5">
    <w:name w:val="Plain Text"/>
    <w:basedOn w:val="1"/>
    <w:qFormat/>
    <w:uiPriority w:val="99"/>
    <w:rPr>
      <w:rFonts w:ascii="宋体" w:hAnsi="Roman 10cpi"/>
    </w:rPr>
  </w:style>
  <w:style w:type="paragraph" w:styleId="6">
    <w:name w:val="Body Text Indent 2"/>
    <w:basedOn w:val="1"/>
    <w:next w:val="7"/>
    <w:qFormat/>
    <w:uiPriority w:val="99"/>
    <w:pPr>
      <w:ind w:firstLine="570"/>
    </w:pPr>
    <w:rPr>
      <w:sz w:val="28"/>
    </w:rPr>
  </w:style>
  <w:style w:type="paragraph" w:customStyle="1" w:styleId="7">
    <w:name w:val="reader-word-layer reader-word-s46-2"/>
    <w:basedOn w:val="1"/>
    <w:next w:val="8"/>
    <w:qFormat/>
    <w:uiPriority w:val="99"/>
    <w:pPr>
      <w:widowControl/>
      <w:spacing w:before="280" w:after="280"/>
    </w:pPr>
  </w:style>
  <w:style w:type="paragraph" w:customStyle="1" w:styleId="8">
    <w:name w:val="xl35"/>
    <w:basedOn w:val="1"/>
    <w:next w:val="1"/>
    <w:qFormat/>
    <w:uiPriority w:val="99"/>
    <w:pPr>
      <w:widowControl/>
      <w:shd w:val="clear" w:color="FFFFFF" w:fill="FFFFFF"/>
      <w:spacing w:before="280" w:after="280"/>
    </w:pPr>
    <w:rPr>
      <w:rFonts w:ascii="Arial Unicode MS" w:eastAsia="Times New Roman"/>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rPr>
      <w:rFonts w:ascii="Times New Roman" w:hAnsi="Times New Roman" w:eastAsia="宋体" w:cs="Times New Roman"/>
    </w:rPr>
  </w:style>
  <w:style w:type="paragraph" w:styleId="12">
    <w:name w:val="footnote text"/>
    <w:basedOn w:val="1"/>
    <w:qFormat/>
    <w:uiPriority w:val="0"/>
    <w:pPr>
      <w:snapToGrid w:val="0"/>
      <w:jc w:val="left"/>
    </w:p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2"/>
    <w:basedOn w:val="4"/>
    <w:next w:val="1"/>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Default"/>
    <w:qFormat/>
    <w:uiPriority w:val="99"/>
    <w:pPr>
      <w:widowControl w:val="0"/>
      <w:autoSpaceDE w:val="0"/>
      <w:autoSpaceDN w:val="0"/>
      <w:adjustRightInd w:val="0"/>
    </w:pPr>
    <w:rPr>
      <w:rFonts w:ascii="仿宋_GB2312" w:hAnsi="仿宋_GB2312" w:eastAsia="仿宋_GB2312" w:cs="仿宋_GB2312"/>
      <w:color w:val="000000"/>
      <w:sz w:val="24"/>
      <w:szCs w:val="24"/>
      <w:lang w:val="en-US" w:eastAsia="zh-CN" w:bidi="ar-SA"/>
    </w:rPr>
  </w:style>
  <w:style w:type="paragraph" w:customStyle="1" w:styleId="19">
    <w:name w:val="Heading5"/>
    <w:next w:val="1"/>
    <w:qFormat/>
    <w:uiPriority w:val="0"/>
    <w:pPr>
      <w:keepNext/>
      <w:keepLines/>
      <w:spacing w:before="280" w:after="290" w:line="376" w:lineRule="auto"/>
      <w:jc w:val="both"/>
      <w:textAlignment w:val="baseline"/>
    </w:pPr>
    <w:rPr>
      <w:rFonts w:ascii="Calibri" w:hAnsi="Calibri" w:eastAsia="宋体" w:cs="Times New Roman"/>
      <w:b/>
      <w:bCs/>
      <w:kern w:val="2"/>
      <w:sz w:val="28"/>
      <w:szCs w:val="28"/>
      <w:lang w:val="en-US" w:eastAsia="zh-CN" w:bidi="ar-SA"/>
    </w:rPr>
  </w:style>
  <w:style w:type="paragraph" w:customStyle="1" w:styleId="20">
    <w:name w:val="z正文"/>
    <w:basedOn w:val="5"/>
    <w:qFormat/>
    <w:uiPriority w:val="0"/>
    <w:pPr>
      <w:tabs>
        <w:tab w:val="left" w:pos="525"/>
      </w:tabs>
      <w:snapToGrid w:val="0"/>
      <w:spacing w:line="360" w:lineRule="auto"/>
    </w:pPr>
    <w:rPr>
      <w:rFonts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1068</Words>
  <Characters>1125</Characters>
  <Lines>0</Lines>
  <Paragraphs>0</Paragraphs>
  <TotalTime>10</TotalTime>
  <ScaleCrop>false</ScaleCrop>
  <LinksUpToDate>false</LinksUpToDate>
  <CharactersWithSpaces>1133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2022-03-28T08:58:00Z</dcterms:created>
  <dc:creator>Lenovo</dc:creator>
  <cp:lastModifiedBy>刘大哥</cp:lastModifiedBy>
  <dcterms:modified xsi:type="dcterms:W3CDTF">2026-10-21T08:34:51Z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CD8138799FF94B55B002BC7352E2DF8D_13</vt:lpwstr>
  </property>
  <property fmtid="{D5CDD505-2E9C-101B-9397-08002B2CF9AE}" pid="4" name="KSOTemplateDocerSaveRecord">
    <vt:lpwstr>eyJoZGlkIjoiY2ZmNTNkMDg0Njk0OTZkZTIxZDcyY2IxZDhkNGNmMDYiLCJ1c2VySWQiOiIzNzE5MDY0MzEifQ==</vt:lpwstr>
  </property>
</Properties>
</file>